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AC" w:rsidRPr="003C24E2" w:rsidRDefault="00DA49AC" w:rsidP="005272F7">
      <w:pPr>
        <w:spacing w:line="240" w:lineRule="auto"/>
        <w:jc w:val="center"/>
        <w:rPr>
          <w:i/>
          <w:sz w:val="32"/>
          <w:szCs w:val="32"/>
        </w:rPr>
      </w:pPr>
      <w:bookmarkStart w:id="0" w:name="_GoBack"/>
      <w:bookmarkEnd w:id="0"/>
      <w:r>
        <w:rPr>
          <w:i/>
          <w:sz w:val="32"/>
          <w:szCs w:val="32"/>
        </w:rPr>
        <w:t xml:space="preserve">Rentier Capitalism and the Equity Market: Shareholders in </w:t>
      </w:r>
      <w:r w:rsidRPr="003C24E2">
        <w:rPr>
          <w:i/>
          <w:sz w:val="32"/>
          <w:szCs w:val="32"/>
        </w:rPr>
        <w:t>Victorian Public Companies</w:t>
      </w:r>
    </w:p>
    <w:p w:rsidR="00DA49AC" w:rsidRDefault="00DA49AC" w:rsidP="005272F7">
      <w:pPr>
        <w:jc w:val="center"/>
        <w:rPr>
          <w:sz w:val="24"/>
          <w:szCs w:val="24"/>
        </w:rPr>
      </w:pPr>
    </w:p>
    <w:p w:rsidR="00DA49AC" w:rsidRDefault="00DA49AC" w:rsidP="005272F7">
      <w:pPr>
        <w:jc w:val="center"/>
        <w:rPr>
          <w:sz w:val="24"/>
          <w:szCs w:val="24"/>
          <w:vertAlign w:val="superscript"/>
        </w:rPr>
      </w:pPr>
      <w:r w:rsidRPr="00CA3997">
        <w:rPr>
          <w:sz w:val="24"/>
          <w:szCs w:val="24"/>
        </w:rPr>
        <w:t>Graeme G. Acheson</w:t>
      </w:r>
      <w:r w:rsidRPr="00CA3997">
        <w:rPr>
          <w:sz w:val="24"/>
          <w:szCs w:val="24"/>
          <w:vertAlign w:val="superscript"/>
        </w:rPr>
        <w:t>1</w:t>
      </w:r>
      <w:r w:rsidRPr="00CA3997">
        <w:rPr>
          <w:sz w:val="24"/>
          <w:szCs w:val="24"/>
        </w:rPr>
        <w:t>, Gareth Campbell</w:t>
      </w:r>
      <w:r w:rsidRPr="00CA3997">
        <w:rPr>
          <w:sz w:val="24"/>
          <w:szCs w:val="24"/>
          <w:vertAlign w:val="superscript"/>
        </w:rPr>
        <w:t>2</w:t>
      </w:r>
      <w:r w:rsidRPr="00CA3997">
        <w:rPr>
          <w:sz w:val="24"/>
          <w:szCs w:val="24"/>
        </w:rPr>
        <w:t xml:space="preserve"> </w:t>
      </w:r>
      <w:r>
        <w:rPr>
          <w:sz w:val="24"/>
          <w:szCs w:val="24"/>
        </w:rPr>
        <w:t xml:space="preserve">and </w:t>
      </w:r>
      <w:r w:rsidRPr="00CA3997">
        <w:rPr>
          <w:sz w:val="24"/>
          <w:szCs w:val="24"/>
        </w:rPr>
        <w:t>John D. Turner</w:t>
      </w:r>
      <w:r w:rsidRPr="00CA3997">
        <w:rPr>
          <w:sz w:val="24"/>
          <w:szCs w:val="24"/>
          <w:vertAlign w:val="superscript"/>
        </w:rPr>
        <w:t>2#</w:t>
      </w:r>
    </w:p>
    <w:p w:rsidR="00DA49AC" w:rsidRDefault="00DA49AC" w:rsidP="005272F7">
      <w:pPr>
        <w:jc w:val="center"/>
        <w:rPr>
          <w:sz w:val="24"/>
          <w:szCs w:val="24"/>
          <w:vertAlign w:val="superscript"/>
        </w:rPr>
      </w:pPr>
    </w:p>
    <w:p w:rsidR="00DA49AC" w:rsidRDefault="00DA49AC" w:rsidP="005272F7">
      <w:pPr>
        <w:jc w:val="center"/>
        <w:rPr>
          <w:sz w:val="24"/>
          <w:szCs w:val="24"/>
          <w:vertAlign w:val="superscript"/>
        </w:rPr>
      </w:pPr>
    </w:p>
    <w:p w:rsidR="00DA49AC" w:rsidRDefault="00DA49AC" w:rsidP="005272F7">
      <w:pPr>
        <w:jc w:val="center"/>
        <w:rPr>
          <w:sz w:val="24"/>
          <w:szCs w:val="24"/>
          <w:vertAlign w:val="superscript"/>
        </w:rPr>
      </w:pPr>
    </w:p>
    <w:p w:rsidR="00DA49AC" w:rsidRPr="005F0F56" w:rsidRDefault="00DA49AC" w:rsidP="005272F7">
      <w:pPr>
        <w:spacing w:line="240" w:lineRule="auto"/>
        <w:jc w:val="both"/>
        <w:rPr>
          <w:b/>
          <w:sz w:val="24"/>
          <w:szCs w:val="24"/>
        </w:rPr>
      </w:pPr>
      <w:r w:rsidRPr="005F0F56">
        <w:rPr>
          <w:b/>
          <w:sz w:val="24"/>
          <w:szCs w:val="24"/>
        </w:rPr>
        <w:t>Abstract</w:t>
      </w:r>
    </w:p>
    <w:p w:rsidR="00DA49AC" w:rsidRDefault="00DA49AC" w:rsidP="0086212A">
      <w:pPr>
        <w:spacing w:line="240" w:lineRule="auto"/>
        <w:jc w:val="both"/>
        <w:rPr>
          <w:sz w:val="24"/>
          <w:szCs w:val="24"/>
        </w:rPr>
      </w:pPr>
      <w:r>
        <w:rPr>
          <w:sz w:val="24"/>
          <w:szCs w:val="24"/>
        </w:rPr>
        <w:t xml:space="preserve">Using data on 453 firm-years and over 172,000 shareholders, this paper examines who invested in the equities of companies created during the substantial expansion of the British equity market in the second half of the nineteenth century. It also analyses whether there were clientele effects, where particular types of stocks and companies were more attractive to certain types of investors.  Over the entire sample, we find that gentlemen capitalists and women rentiers provided circa 60 per cent of capital and constituted about 60 per cent of investors.  We also find that there was a substantial growth in women investors over the century.  In terms of clientele effects, we find that the upper classes were more likely to invest in large, London-based firms.  However, businessmen provided more capital for domestic, family firms, based in the regions. Women investors exhibited a preference for equities which paid a dividend and which were relatively safe.  </w:t>
      </w:r>
    </w:p>
    <w:p w:rsidR="00DA49AC" w:rsidRDefault="00DA49AC" w:rsidP="00F462AD">
      <w:pPr>
        <w:spacing w:line="240" w:lineRule="auto"/>
        <w:jc w:val="both"/>
        <w:rPr>
          <w:sz w:val="24"/>
          <w:szCs w:val="24"/>
          <w:vertAlign w:val="superscript"/>
        </w:rPr>
      </w:pPr>
    </w:p>
    <w:p w:rsidR="00DA49AC" w:rsidRDefault="00DA49AC" w:rsidP="005272F7">
      <w:pPr>
        <w:jc w:val="center"/>
        <w:rPr>
          <w:sz w:val="24"/>
          <w:szCs w:val="24"/>
          <w:vertAlign w:val="superscript"/>
        </w:rPr>
      </w:pPr>
    </w:p>
    <w:p w:rsidR="00DA49AC" w:rsidRDefault="00DA49AC" w:rsidP="0086212A">
      <w:pPr>
        <w:jc w:val="both"/>
        <w:rPr>
          <w:sz w:val="24"/>
          <w:szCs w:val="24"/>
        </w:rPr>
      </w:pPr>
      <w:r w:rsidRPr="00F02C96">
        <w:rPr>
          <w:b/>
          <w:sz w:val="24"/>
          <w:szCs w:val="24"/>
        </w:rPr>
        <w:t>Keywords</w:t>
      </w:r>
      <w:r>
        <w:rPr>
          <w:sz w:val="24"/>
          <w:szCs w:val="24"/>
        </w:rPr>
        <w:t xml:space="preserve">: Shareholders, Equity, Stock market, Gentlemen capitalists, Rentiers, Gender </w:t>
      </w:r>
    </w:p>
    <w:p w:rsidR="00DA49AC" w:rsidRPr="0086212A" w:rsidRDefault="00DA49AC" w:rsidP="0086212A">
      <w:pPr>
        <w:jc w:val="both"/>
        <w:rPr>
          <w:sz w:val="24"/>
          <w:szCs w:val="24"/>
        </w:rPr>
      </w:pPr>
      <w:r w:rsidRPr="00F02C96">
        <w:rPr>
          <w:b/>
          <w:sz w:val="24"/>
          <w:szCs w:val="24"/>
        </w:rPr>
        <w:t>JEL codes</w:t>
      </w:r>
      <w:r>
        <w:rPr>
          <w:sz w:val="24"/>
          <w:szCs w:val="24"/>
        </w:rPr>
        <w:t>: G10, N23</w:t>
      </w:r>
    </w:p>
    <w:p w:rsidR="00DA49AC" w:rsidRDefault="00DA49AC" w:rsidP="005272F7">
      <w:pPr>
        <w:rPr>
          <w:sz w:val="24"/>
          <w:szCs w:val="24"/>
          <w:vertAlign w:val="superscript"/>
        </w:rPr>
      </w:pPr>
    </w:p>
    <w:p w:rsidR="00DA49AC" w:rsidRDefault="00DA49AC" w:rsidP="005272F7">
      <w:pPr>
        <w:jc w:val="center"/>
        <w:rPr>
          <w:sz w:val="24"/>
          <w:szCs w:val="24"/>
          <w:vertAlign w:val="superscript"/>
        </w:rPr>
      </w:pPr>
    </w:p>
    <w:p w:rsidR="00DA49AC" w:rsidRPr="00CA3997" w:rsidRDefault="00DA49AC" w:rsidP="0086212A">
      <w:pPr>
        <w:rPr>
          <w:sz w:val="24"/>
          <w:szCs w:val="24"/>
          <w:vertAlign w:val="superscript"/>
        </w:rPr>
      </w:pPr>
    </w:p>
    <w:p w:rsidR="00DA49AC" w:rsidRPr="00CA3997" w:rsidRDefault="00DA49AC" w:rsidP="005272F7">
      <w:pPr>
        <w:spacing w:line="240" w:lineRule="auto"/>
        <w:jc w:val="both"/>
      </w:pPr>
      <w:r w:rsidRPr="00CA3997">
        <w:rPr>
          <w:vertAlign w:val="superscript"/>
        </w:rPr>
        <w:t>1</w:t>
      </w:r>
      <w:r w:rsidRPr="00CA3997">
        <w:t xml:space="preserve"> University of Stirling</w:t>
      </w:r>
    </w:p>
    <w:p w:rsidR="00DA49AC" w:rsidRPr="00CA3997" w:rsidRDefault="00DA49AC" w:rsidP="005272F7">
      <w:pPr>
        <w:spacing w:line="240" w:lineRule="auto"/>
        <w:jc w:val="both"/>
      </w:pPr>
      <w:r w:rsidRPr="00CA3997">
        <w:rPr>
          <w:vertAlign w:val="superscript"/>
        </w:rPr>
        <w:t>2</w:t>
      </w:r>
      <w:r w:rsidRPr="00CA3997">
        <w:t xml:space="preserve"> Queen’s University Belfast</w:t>
      </w:r>
    </w:p>
    <w:p w:rsidR="00DA49AC" w:rsidRPr="00CA3997" w:rsidRDefault="00DA49AC" w:rsidP="005272F7">
      <w:pPr>
        <w:spacing w:line="240" w:lineRule="auto"/>
        <w:jc w:val="both"/>
      </w:pPr>
      <w:r w:rsidRPr="00CA3997">
        <w:rPr>
          <w:vertAlign w:val="superscript"/>
        </w:rPr>
        <w:t>#</w:t>
      </w:r>
      <w:r w:rsidRPr="00CA3997">
        <w:t xml:space="preserve"> Corresponding author: Queen’s University Management School</w:t>
      </w:r>
      <w:r>
        <w:t xml:space="preserve"> and Queen’s University Centre for Economic History</w:t>
      </w:r>
      <w:r w:rsidRPr="00CA3997">
        <w:t>, Queen's University of Belfast, 185 Stranmillis Rd, Belfast, BT9 5EE, N. Ireland; Email: j.turner@qub.ac.uk</w:t>
      </w:r>
    </w:p>
    <w:p w:rsidR="00DA49AC" w:rsidRPr="00CA3997" w:rsidRDefault="00DA49AC" w:rsidP="005272F7">
      <w:pPr>
        <w:spacing w:line="240" w:lineRule="auto"/>
        <w:jc w:val="both"/>
        <w:rPr>
          <w:sz w:val="24"/>
          <w:szCs w:val="24"/>
        </w:rPr>
      </w:pPr>
    </w:p>
    <w:p w:rsidR="00DA49AC" w:rsidRPr="00CA3997" w:rsidRDefault="00DA49AC" w:rsidP="005272F7">
      <w:pPr>
        <w:spacing w:line="240" w:lineRule="auto"/>
        <w:jc w:val="both"/>
      </w:pPr>
      <w:r w:rsidRPr="00CA3997">
        <w:rPr>
          <w:sz w:val="24"/>
          <w:szCs w:val="24"/>
        </w:rPr>
        <w:t xml:space="preserve">* </w:t>
      </w:r>
      <w:r w:rsidRPr="00CA3997">
        <w:t>Thanks to the Leverhulme Trust (Grant no. F/00203/Z) for financial support.  Turner also wishes to thank Geoff Jones, Walter Friedman</w:t>
      </w:r>
      <w:r>
        <w:t>,</w:t>
      </w:r>
      <w:r w:rsidRPr="00CA3997">
        <w:t xml:space="preserve"> and Harvard Business School for their hospitality at the outset of this project.  Thanks to the archivists </w:t>
      </w:r>
      <w:r>
        <w:t xml:space="preserve">at the National Archives at Kew, </w:t>
      </w:r>
      <w:r w:rsidRPr="00CA3997">
        <w:t>the National Archives of Scotland</w:t>
      </w:r>
      <w:r>
        <w:t>, and the Guildhall Library</w:t>
      </w:r>
      <w:r w:rsidRPr="00CA3997">
        <w:t xml:space="preserve"> for all their assistance.</w:t>
      </w:r>
      <w:r>
        <w:t xml:space="preserve">  </w:t>
      </w:r>
    </w:p>
    <w:p w:rsidR="00DA49AC" w:rsidRPr="006C44D6" w:rsidRDefault="00DA49AC">
      <w:pPr>
        <w:spacing w:line="276" w:lineRule="auto"/>
      </w:pPr>
      <w:r>
        <w:rPr>
          <w:sz w:val="24"/>
          <w:szCs w:val="24"/>
        </w:rPr>
        <w:br w:type="page"/>
      </w:r>
    </w:p>
    <w:p w:rsidR="00DA49AC" w:rsidRDefault="00DA49AC">
      <w:pPr>
        <w:rPr>
          <w:b/>
          <w:sz w:val="24"/>
          <w:szCs w:val="24"/>
        </w:rPr>
      </w:pPr>
      <w:r w:rsidRPr="00805CF4">
        <w:rPr>
          <w:b/>
          <w:sz w:val="24"/>
          <w:szCs w:val="24"/>
        </w:rPr>
        <w:t>1. Introduction</w:t>
      </w:r>
    </w:p>
    <w:p w:rsidR="00DA49AC" w:rsidRDefault="00DA49AC" w:rsidP="003F150C">
      <w:pPr>
        <w:jc w:val="both"/>
        <w:rPr>
          <w:sz w:val="24"/>
          <w:szCs w:val="24"/>
        </w:rPr>
      </w:pPr>
      <w:r>
        <w:rPr>
          <w:sz w:val="24"/>
          <w:szCs w:val="24"/>
        </w:rPr>
        <w:t>Incorporation law in the UK was liberalised in a series of acts between 1856 and 1862.</w:t>
      </w:r>
      <w:r>
        <w:rPr>
          <w:rStyle w:val="FootnoteReference"/>
          <w:sz w:val="24"/>
          <w:szCs w:val="24"/>
        </w:rPr>
        <w:footnoteReference w:id="1"/>
      </w:r>
      <w:r>
        <w:rPr>
          <w:sz w:val="24"/>
          <w:szCs w:val="24"/>
        </w:rPr>
        <w:t xml:space="preserve"> This liberalisation was followed by an expansion of the UK equity market as newly-established, as well as existing, business enterprises issued shares on the London and fledgling regional stock markets.</w:t>
      </w:r>
      <w:r>
        <w:rPr>
          <w:rStyle w:val="FootnoteReference"/>
          <w:sz w:val="24"/>
          <w:szCs w:val="24"/>
        </w:rPr>
        <w:footnoteReference w:id="2"/>
      </w:r>
      <w:r>
        <w:rPr>
          <w:sz w:val="24"/>
          <w:szCs w:val="24"/>
        </w:rPr>
        <w:t xml:space="preserve">  Acheson et al. show that there was a substantial rise in the number of common equities traded on the London market after this liberalisation - between 1862 and 1866, the number of listed common equity securities increased by over 30 per cent.</w:t>
      </w:r>
      <w:r>
        <w:rPr>
          <w:rStyle w:val="FootnoteReference"/>
          <w:sz w:val="24"/>
          <w:szCs w:val="24"/>
        </w:rPr>
        <w:footnoteReference w:id="3"/>
      </w:r>
      <w:r>
        <w:rPr>
          <w:sz w:val="24"/>
          <w:szCs w:val="24"/>
        </w:rPr>
        <w:t xml:space="preserve"> Grossman reveals that the number of common equities quoted in the </w:t>
      </w:r>
      <w:r w:rsidRPr="00095133">
        <w:rPr>
          <w:i/>
          <w:sz w:val="24"/>
          <w:szCs w:val="24"/>
        </w:rPr>
        <w:t>Investor’s Monthly Manual</w:t>
      </w:r>
      <w:r>
        <w:rPr>
          <w:sz w:val="24"/>
          <w:szCs w:val="24"/>
        </w:rPr>
        <w:t xml:space="preserve"> doubles between 1870 and 1900.</w:t>
      </w:r>
      <w:r>
        <w:rPr>
          <w:rStyle w:val="FootnoteReference"/>
          <w:sz w:val="24"/>
          <w:szCs w:val="24"/>
        </w:rPr>
        <w:footnoteReference w:id="4"/>
      </w:r>
      <w:r>
        <w:rPr>
          <w:sz w:val="24"/>
          <w:szCs w:val="24"/>
        </w:rPr>
        <w:t xml:space="preserve">  This expansion of the equity market therefore created a greater range of investment possibilities for savers beyond safe but low-yielding Consols and railway securities.  Thus, the first question addressed in this paper is: who invested in the equities of these new companies? The second question is: were there clientele effects in that companies with particular characteristics attracted certain types of investors?  </w:t>
      </w:r>
    </w:p>
    <w:p w:rsidR="00DA49AC" w:rsidRDefault="00DA49AC" w:rsidP="003C3237">
      <w:pPr>
        <w:ind w:firstLine="720"/>
        <w:jc w:val="both"/>
        <w:rPr>
          <w:sz w:val="24"/>
          <w:szCs w:val="24"/>
        </w:rPr>
      </w:pPr>
      <w:r>
        <w:rPr>
          <w:sz w:val="24"/>
          <w:szCs w:val="24"/>
        </w:rPr>
        <w:t>The answers to these questions are interesting for at least three reasons. First, although we know a little about who financed the large and established companies during this expansion of the UK equity market, we know very little about who financed the new companies which came to the market.</w:t>
      </w:r>
      <w:r>
        <w:rPr>
          <w:rStyle w:val="FootnoteReference"/>
          <w:sz w:val="24"/>
          <w:szCs w:val="24"/>
        </w:rPr>
        <w:footnoteReference w:id="5"/>
      </w:r>
      <w:r>
        <w:rPr>
          <w:sz w:val="24"/>
          <w:szCs w:val="24"/>
        </w:rPr>
        <w:t xml:space="preserve">  Second, we know very little about the motives of investors in this era.</w:t>
      </w:r>
      <w:r>
        <w:rPr>
          <w:rStyle w:val="FootnoteReference"/>
          <w:sz w:val="24"/>
          <w:szCs w:val="24"/>
        </w:rPr>
        <w:footnoteReference w:id="6"/>
      </w:r>
      <w:r>
        <w:rPr>
          <w:sz w:val="24"/>
          <w:szCs w:val="24"/>
        </w:rPr>
        <w:t xml:space="preserve">  By looking at where they invested, we can possibly learn something from their revealed preferences.  Third, there is a debate, which has been ongoing since the 1931 Macmillan Report, as to whether the City and its capital markets failed indigenous companies by directing capital to colonial and overseas companies to the detriment of British firms.</w:t>
      </w:r>
      <w:r>
        <w:rPr>
          <w:rStyle w:val="FootnoteReference"/>
          <w:sz w:val="24"/>
          <w:szCs w:val="24"/>
        </w:rPr>
        <w:footnoteReference w:id="7"/>
      </w:r>
      <w:r>
        <w:rPr>
          <w:sz w:val="24"/>
          <w:szCs w:val="24"/>
        </w:rPr>
        <w:t xml:space="preserve">  Because we have both domestic and foreign companies in our sample, we are able to observe the revealed preferences of different types of investors for indigenous and overseas companies.       </w:t>
      </w:r>
    </w:p>
    <w:p w:rsidR="00DA49AC" w:rsidRDefault="00DA49AC" w:rsidP="003C3237">
      <w:pPr>
        <w:ind w:firstLine="720"/>
        <w:jc w:val="both"/>
        <w:rPr>
          <w:sz w:val="24"/>
          <w:szCs w:val="24"/>
        </w:rPr>
      </w:pPr>
      <w:r>
        <w:rPr>
          <w:sz w:val="24"/>
          <w:szCs w:val="24"/>
        </w:rPr>
        <w:t xml:space="preserve">In this paper, we use shareholder records for companies created in the five decades after the liberalisation of incorporation law in 1856.  We have complete ownership records for 293 companies and 453 company-years.  204 of our companies are domestic, whilst the others are foreign- or colonial-based firms which were incorporated and had their shareholder base in the UK.  In total, we have over 172,000 ordinary and preference shareholders in our sample.  The socio-occupational status of shareholders is used to help us ascertain the degree to which certain occupational groups invested in the equity market.  </w:t>
      </w:r>
    </w:p>
    <w:p w:rsidR="00DA49AC" w:rsidRDefault="00DA49AC" w:rsidP="003C3237">
      <w:pPr>
        <w:ind w:firstLine="720"/>
        <w:jc w:val="both"/>
        <w:rPr>
          <w:sz w:val="24"/>
          <w:szCs w:val="24"/>
        </w:rPr>
      </w:pPr>
      <w:r>
        <w:rPr>
          <w:sz w:val="24"/>
          <w:szCs w:val="24"/>
        </w:rPr>
        <w:t xml:space="preserve">We find that there were three main groups of shareholders in the Victorian era in terms of number of investors and capital provided – the upper classes, businessmen, and women.  The middle classes, consisting of professional and white-collar workers, made up the fourth largest grouping. Unlike the modern era, institutional shareholders such as investment trusts were not substantial investors in equities.  In terms of trends, we find that over the second half of the nineteenth century there was a major growth in the number and capital provided by rentier investors i.e., the upper classes and women.  </w:t>
      </w:r>
    </w:p>
    <w:p w:rsidR="00DA49AC" w:rsidRDefault="00DA49AC" w:rsidP="002D29CB">
      <w:pPr>
        <w:ind w:firstLine="720"/>
        <w:jc w:val="both"/>
        <w:rPr>
          <w:sz w:val="24"/>
          <w:szCs w:val="24"/>
        </w:rPr>
      </w:pPr>
      <w:r>
        <w:rPr>
          <w:sz w:val="24"/>
          <w:szCs w:val="24"/>
        </w:rPr>
        <w:t xml:space="preserve">After establishing who invested, we then use company- and stock-specific data to explore whether there are clientele effects, with certain types of stocks and companies attracting different types of investors.  We find that the upper classes tended not to invest heavily in firms located outside of London, and firms which were family owned.  They also had a preference for mines and relatively illiquid shares, which suggests that as a class they may have been buy-and-hold investors with an appetite for risk.  In contrast, businessmen had a preference for regional firms over London firms, domestic firms over foreign firms, as well as family firms. Women investors exhibited a preference for equities which paid a dividend and which were relatively safe. However, the marketability of shares does not seem to have been a consideration for women. </w:t>
      </w:r>
    </w:p>
    <w:p w:rsidR="00DA49AC" w:rsidRDefault="00DA49AC" w:rsidP="00DA17E2">
      <w:pPr>
        <w:ind w:firstLine="720"/>
        <w:jc w:val="both"/>
        <w:rPr>
          <w:sz w:val="24"/>
          <w:szCs w:val="24"/>
        </w:rPr>
      </w:pPr>
      <w:r>
        <w:rPr>
          <w:sz w:val="24"/>
          <w:szCs w:val="24"/>
        </w:rPr>
        <w:t>This paper contributes to the literature on shareholders in the Victorian era.  This literature has at least five strands. The first strand has been concerned with the geography and background of shareholders in early railways and during the Railway Mania of the mid-1840s.</w:t>
      </w:r>
      <w:r w:rsidRPr="0058052E">
        <w:rPr>
          <w:rStyle w:val="FootnoteReference"/>
          <w:sz w:val="24"/>
          <w:szCs w:val="24"/>
        </w:rPr>
        <w:footnoteReference w:id="8"/>
      </w:r>
      <w:r>
        <w:rPr>
          <w:sz w:val="24"/>
          <w:szCs w:val="24"/>
        </w:rPr>
        <w:t xml:space="preserve"> The second strand of the literature has focused on investors in banks across the nineteenth century.</w:t>
      </w:r>
      <w:r w:rsidRPr="0058052E">
        <w:rPr>
          <w:rStyle w:val="FootnoteReference"/>
          <w:sz w:val="24"/>
          <w:szCs w:val="24"/>
        </w:rPr>
        <w:footnoteReference w:id="9"/>
      </w:r>
      <w:r>
        <w:rPr>
          <w:sz w:val="24"/>
          <w:szCs w:val="24"/>
        </w:rPr>
        <w:t xml:space="preserve"> Since many banks had unlimited liability and converted to limited liability, this literature has focussed on the wealth and suitability of shareholders. It has also focussed on the behaviour of bank investors, finding that investors exhibited a local bias, diversified when they should not have, and viewed bank stocks as consumption goods.</w:t>
      </w:r>
      <w:r>
        <w:rPr>
          <w:rStyle w:val="FootnoteReference"/>
          <w:sz w:val="24"/>
          <w:szCs w:val="24"/>
        </w:rPr>
        <w:footnoteReference w:id="10"/>
      </w:r>
      <w:r>
        <w:rPr>
          <w:sz w:val="24"/>
          <w:szCs w:val="24"/>
        </w:rPr>
        <w:t xml:space="preserve">   The third strand looks at the relationship between gender and investment.</w:t>
      </w:r>
      <w:r w:rsidRPr="0058052E">
        <w:rPr>
          <w:rStyle w:val="FootnoteReference"/>
          <w:sz w:val="24"/>
          <w:szCs w:val="24"/>
        </w:rPr>
        <w:footnoteReference w:id="11"/>
      </w:r>
      <w:r w:rsidRPr="0058052E">
        <w:rPr>
          <w:sz w:val="24"/>
          <w:szCs w:val="24"/>
        </w:rPr>
        <w:t xml:space="preserve"> </w:t>
      </w:r>
      <w:r>
        <w:rPr>
          <w:sz w:val="24"/>
          <w:szCs w:val="24"/>
        </w:rPr>
        <w:t xml:space="preserve">This literature suggests that women were not as passive in this era as has been suggested and were willing to take the risks associated with equity investment. </w:t>
      </w:r>
      <w:r w:rsidRPr="00F46BBC">
        <w:rPr>
          <w:sz w:val="24"/>
          <w:szCs w:val="24"/>
        </w:rPr>
        <w:t>The fourth strand looks at who invested in foreign and colonial firms in the pre-1913 era.</w:t>
      </w:r>
      <w:r w:rsidRPr="00F46BBC">
        <w:rPr>
          <w:rStyle w:val="FootnoteReference"/>
          <w:sz w:val="24"/>
          <w:szCs w:val="24"/>
        </w:rPr>
        <w:footnoteReference w:id="12"/>
      </w:r>
      <w:r>
        <w:rPr>
          <w:sz w:val="24"/>
          <w:szCs w:val="24"/>
        </w:rPr>
        <w:t xml:space="preserve"> The final strand of the literature is socio-cultural in that it looks at novels and literary references to, as well as public perception of, investors.</w:t>
      </w:r>
      <w:r>
        <w:rPr>
          <w:rStyle w:val="FootnoteReference"/>
          <w:sz w:val="24"/>
          <w:szCs w:val="24"/>
        </w:rPr>
        <w:footnoteReference w:id="13"/>
      </w:r>
      <w:r>
        <w:rPr>
          <w:sz w:val="24"/>
          <w:szCs w:val="24"/>
        </w:rPr>
        <w:t xml:space="preserve">    We augment these various strands of the literature on Victorian shareholders by looking at a large number of shareholders across a wide variety of industries in the second half of the nineteenth century and attempt to identify clientele effects in this era.</w:t>
      </w:r>
    </w:p>
    <w:p w:rsidR="00DA49AC" w:rsidRDefault="00DA49AC" w:rsidP="00DA17E2">
      <w:pPr>
        <w:ind w:firstLine="720"/>
        <w:jc w:val="both"/>
        <w:rPr>
          <w:sz w:val="24"/>
          <w:szCs w:val="24"/>
        </w:rPr>
      </w:pPr>
      <w:r w:rsidRPr="00CB20C2">
        <w:rPr>
          <w:sz w:val="24"/>
          <w:szCs w:val="24"/>
        </w:rPr>
        <w:t xml:space="preserve">This paper also contributes to the literature on whether companies adjust their policies to attract </w:t>
      </w:r>
      <w:r>
        <w:rPr>
          <w:sz w:val="24"/>
          <w:szCs w:val="24"/>
        </w:rPr>
        <w:t>a particular</w:t>
      </w:r>
      <w:r w:rsidRPr="00CB20C2">
        <w:rPr>
          <w:sz w:val="24"/>
          <w:szCs w:val="24"/>
        </w:rPr>
        <w:t xml:space="preserve"> clientele of investors.  In financial economics, the main studies of clientele effects have focussed on dividends, whereby</w:t>
      </w:r>
      <w:r>
        <w:rPr>
          <w:sz w:val="24"/>
          <w:szCs w:val="24"/>
        </w:rPr>
        <w:t xml:space="preserve"> retail</w:t>
      </w:r>
      <w:r w:rsidRPr="00CB20C2">
        <w:rPr>
          <w:sz w:val="24"/>
          <w:szCs w:val="24"/>
        </w:rPr>
        <w:t xml:space="preserve"> investors are attracted to dividend-</w:t>
      </w:r>
      <w:r>
        <w:rPr>
          <w:sz w:val="24"/>
          <w:szCs w:val="24"/>
        </w:rPr>
        <w:t xml:space="preserve"> or non-dividend-</w:t>
      </w:r>
      <w:r w:rsidRPr="00CB20C2">
        <w:rPr>
          <w:sz w:val="24"/>
          <w:szCs w:val="24"/>
        </w:rPr>
        <w:t>paying stocks</w:t>
      </w:r>
      <w:r>
        <w:rPr>
          <w:sz w:val="24"/>
          <w:szCs w:val="24"/>
        </w:rPr>
        <w:t xml:space="preserve"> for behavioural or tax reasons</w:t>
      </w:r>
      <w:r w:rsidRPr="00CB20C2">
        <w:rPr>
          <w:sz w:val="24"/>
          <w:szCs w:val="24"/>
        </w:rPr>
        <w:t>.</w:t>
      </w:r>
      <w:r>
        <w:rPr>
          <w:rStyle w:val="FootnoteReference"/>
          <w:sz w:val="24"/>
          <w:szCs w:val="24"/>
        </w:rPr>
        <w:footnoteReference w:id="14"/>
      </w:r>
      <w:r w:rsidRPr="00CB20C2">
        <w:rPr>
          <w:sz w:val="24"/>
          <w:szCs w:val="24"/>
        </w:rPr>
        <w:t xml:space="preserve">  </w:t>
      </w:r>
      <w:r>
        <w:rPr>
          <w:sz w:val="24"/>
          <w:szCs w:val="24"/>
        </w:rPr>
        <w:t>In the context of the nineteenth century, unoccupied investors may have preferred high-dividend-paying stocks for the income they generated.</w:t>
      </w:r>
      <w:r>
        <w:rPr>
          <w:rStyle w:val="FootnoteReference"/>
          <w:sz w:val="24"/>
          <w:szCs w:val="24"/>
        </w:rPr>
        <w:footnoteReference w:id="15"/>
      </w:r>
      <w:r>
        <w:rPr>
          <w:sz w:val="24"/>
          <w:szCs w:val="24"/>
        </w:rPr>
        <w:t xml:space="preserve">  In addition, Jefferys has argued that during the Victorian era,</w:t>
      </w:r>
      <w:r w:rsidRPr="00CB20C2">
        <w:rPr>
          <w:sz w:val="24"/>
          <w:szCs w:val="24"/>
        </w:rPr>
        <w:t xml:space="preserve"> </w:t>
      </w:r>
      <w:r>
        <w:rPr>
          <w:sz w:val="24"/>
          <w:szCs w:val="24"/>
        </w:rPr>
        <w:t>stocks which were marketable, had a low denomination, and no uncalled capital, proved more attractive to the growing class of rentier investors.</w:t>
      </w:r>
      <w:r>
        <w:rPr>
          <w:rStyle w:val="FootnoteReference"/>
          <w:sz w:val="24"/>
          <w:szCs w:val="24"/>
        </w:rPr>
        <w:footnoteReference w:id="16"/>
      </w:r>
      <w:r>
        <w:rPr>
          <w:sz w:val="24"/>
          <w:szCs w:val="24"/>
        </w:rPr>
        <w:t xml:space="preserve"> Because the yield on consols had declined by an unprecedented c.30 per cent in the last four decades of the nineteenth century, rentiers were motivated by a “search for yield” to move some of their portfolio into the equity of overseas companies and the equity of home industrials.</w:t>
      </w:r>
      <w:r>
        <w:rPr>
          <w:rStyle w:val="FootnoteReference"/>
          <w:sz w:val="24"/>
          <w:szCs w:val="24"/>
        </w:rPr>
        <w:footnoteReference w:id="17"/>
      </w:r>
      <w:r>
        <w:rPr>
          <w:sz w:val="24"/>
          <w:szCs w:val="24"/>
        </w:rPr>
        <w:t xml:space="preserve"> In particular, there is a suggestion that landowners facing falling rental income and lower capital values moved some of their wealth portfolio out of land and into the stock exchange.</w:t>
      </w:r>
      <w:r>
        <w:rPr>
          <w:rStyle w:val="FootnoteReference"/>
          <w:sz w:val="24"/>
          <w:szCs w:val="24"/>
        </w:rPr>
        <w:footnoteReference w:id="18"/>
      </w:r>
      <w:r>
        <w:rPr>
          <w:sz w:val="24"/>
          <w:szCs w:val="24"/>
        </w:rPr>
        <w:t xml:space="preserve"> However, to date, this movement has not been adequately documented. One of the contributions of this paper is that we document the movement of the gentry class into equities.  </w:t>
      </w:r>
    </w:p>
    <w:p w:rsidR="00DA49AC" w:rsidRDefault="00DA49AC" w:rsidP="00DA17E2">
      <w:pPr>
        <w:ind w:firstLine="720"/>
        <w:jc w:val="both"/>
        <w:rPr>
          <w:sz w:val="24"/>
          <w:szCs w:val="24"/>
        </w:rPr>
      </w:pPr>
      <w:r>
        <w:rPr>
          <w:sz w:val="24"/>
          <w:szCs w:val="24"/>
        </w:rPr>
        <w:t xml:space="preserve"> This paper is structured as follows.  The next section discusses our data sources and methodology.  Section three examines the socio-occupational background of shareholders and analyses differences over time and across industrial sectors. Section four examines econometrically the determinants of investor clienteles in order to see the importance of investor home bias, risk, dividends, liquidity, share denomination, and uncalled capital for different groups of investors.  Section five briefly summarises our findings. </w:t>
      </w:r>
    </w:p>
    <w:p w:rsidR="00DA49AC" w:rsidRPr="003F150C" w:rsidRDefault="00DA49AC" w:rsidP="00357ED4">
      <w:pPr>
        <w:jc w:val="both"/>
        <w:rPr>
          <w:sz w:val="24"/>
          <w:szCs w:val="24"/>
        </w:rPr>
      </w:pPr>
    </w:p>
    <w:p w:rsidR="00DA49AC" w:rsidRDefault="00DA49AC">
      <w:pPr>
        <w:rPr>
          <w:b/>
          <w:sz w:val="24"/>
          <w:szCs w:val="24"/>
        </w:rPr>
      </w:pPr>
      <w:r w:rsidRPr="00805CF4">
        <w:rPr>
          <w:b/>
          <w:sz w:val="24"/>
          <w:szCs w:val="24"/>
        </w:rPr>
        <w:t>2. Data and methodology</w:t>
      </w:r>
    </w:p>
    <w:p w:rsidR="00DA49AC" w:rsidRDefault="00DA49AC" w:rsidP="007031BE">
      <w:pPr>
        <w:jc w:val="both"/>
        <w:rPr>
          <w:sz w:val="24"/>
          <w:szCs w:val="24"/>
        </w:rPr>
      </w:pPr>
      <w:r w:rsidRPr="008531B6">
        <w:rPr>
          <w:sz w:val="24"/>
          <w:szCs w:val="24"/>
        </w:rPr>
        <w:t xml:space="preserve">Companies registered under the 1856 and 1862 Companies Acts were required to </w:t>
      </w:r>
      <w:r>
        <w:rPr>
          <w:sz w:val="24"/>
          <w:szCs w:val="24"/>
        </w:rPr>
        <w:t>lodge</w:t>
      </w:r>
      <w:r w:rsidRPr="008531B6">
        <w:rPr>
          <w:sz w:val="24"/>
          <w:szCs w:val="24"/>
        </w:rPr>
        <w:t xml:space="preserve"> </w:t>
      </w:r>
      <w:r>
        <w:rPr>
          <w:sz w:val="24"/>
          <w:szCs w:val="24"/>
        </w:rPr>
        <w:t>a</w:t>
      </w:r>
      <w:r w:rsidRPr="008531B6">
        <w:rPr>
          <w:sz w:val="24"/>
          <w:szCs w:val="24"/>
        </w:rPr>
        <w:t xml:space="preserve"> yearly shareholder return </w:t>
      </w:r>
      <w:r>
        <w:rPr>
          <w:sz w:val="24"/>
          <w:szCs w:val="24"/>
        </w:rPr>
        <w:t>with</w:t>
      </w:r>
      <w:r w:rsidRPr="008531B6">
        <w:rPr>
          <w:sz w:val="24"/>
          <w:szCs w:val="24"/>
        </w:rPr>
        <w:t xml:space="preserve"> the Registrar of Companies.</w:t>
      </w:r>
      <w:r>
        <w:rPr>
          <w:sz w:val="24"/>
          <w:szCs w:val="24"/>
        </w:rPr>
        <w:t xml:space="preserve"> These returns were on a standardised form, Form E, which had columns for the shareholder’s name, number of shares owned, shareholder address, and occupation. Records were kept for both ordinary and preference shares. The returns of companies which were dissolved before 1970 were placed within the </w:t>
      </w:r>
      <w:r w:rsidRPr="00CA3997">
        <w:rPr>
          <w:sz w:val="24"/>
          <w:szCs w:val="24"/>
        </w:rPr>
        <w:t xml:space="preserve">Companies Registration Office files at the National Archives </w:t>
      </w:r>
      <w:r>
        <w:rPr>
          <w:sz w:val="24"/>
          <w:szCs w:val="24"/>
        </w:rPr>
        <w:t>at Kew (BT31 series)</w:t>
      </w:r>
      <w:r w:rsidRPr="00CA3997">
        <w:rPr>
          <w:sz w:val="24"/>
          <w:szCs w:val="24"/>
        </w:rPr>
        <w:t xml:space="preserve"> and the National Archives of Scotland</w:t>
      </w:r>
      <w:r>
        <w:rPr>
          <w:sz w:val="24"/>
          <w:szCs w:val="24"/>
        </w:rPr>
        <w:t xml:space="preserve"> (BT2 series). Notably</w:t>
      </w:r>
      <w:r w:rsidRPr="008531B6">
        <w:rPr>
          <w:sz w:val="24"/>
          <w:szCs w:val="24"/>
        </w:rPr>
        <w:t>, bank and insurance companies</w:t>
      </w:r>
      <w:r>
        <w:rPr>
          <w:sz w:val="24"/>
          <w:szCs w:val="24"/>
        </w:rPr>
        <w:t xml:space="preserve"> set up before 1862 and</w:t>
      </w:r>
      <w:r w:rsidRPr="008531B6">
        <w:rPr>
          <w:sz w:val="24"/>
          <w:szCs w:val="24"/>
        </w:rPr>
        <w:t xml:space="preserve"> statutory companies </w:t>
      </w:r>
      <w:r>
        <w:rPr>
          <w:sz w:val="24"/>
          <w:szCs w:val="24"/>
        </w:rPr>
        <w:t>established prior to that date</w:t>
      </w:r>
      <w:r w:rsidRPr="008531B6">
        <w:rPr>
          <w:sz w:val="24"/>
          <w:szCs w:val="24"/>
        </w:rPr>
        <w:t xml:space="preserve"> (</w:t>
      </w:r>
      <w:r>
        <w:rPr>
          <w:sz w:val="24"/>
          <w:szCs w:val="24"/>
        </w:rPr>
        <w:t>e.g.,</w:t>
      </w:r>
      <w:r w:rsidRPr="008531B6">
        <w:rPr>
          <w:sz w:val="24"/>
          <w:szCs w:val="24"/>
        </w:rPr>
        <w:t xml:space="preserve"> railways</w:t>
      </w:r>
      <w:r>
        <w:rPr>
          <w:sz w:val="24"/>
          <w:szCs w:val="24"/>
        </w:rPr>
        <w:t xml:space="preserve"> and other public utilities</w:t>
      </w:r>
      <w:r w:rsidRPr="008531B6">
        <w:rPr>
          <w:sz w:val="24"/>
          <w:szCs w:val="24"/>
        </w:rPr>
        <w:t>) are not in our sample unless they registered under the 1862 Act</w:t>
      </w:r>
      <w:r>
        <w:rPr>
          <w:sz w:val="24"/>
          <w:szCs w:val="24"/>
        </w:rPr>
        <w:t>.</w:t>
      </w:r>
      <w:r w:rsidRPr="008531B6">
        <w:rPr>
          <w:sz w:val="24"/>
          <w:szCs w:val="24"/>
        </w:rPr>
        <w:t xml:space="preserve"> </w:t>
      </w:r>
      <w:r>
        <w:rPr>
          <w:sz w:val="24"/>
          <w:szCs w:val="24"/>
        </w:rPr>
        <w:t xml:space="preserve">Consequently our sample excludes the largest companies in this era, with none of our sample companies making it into the top 100 largest public companies in terms of market capitalisation. </w:t>
      </w:r>
    </w:p>
    <w:p w:rsidR="00DA49AC" w:rsidRDefault="00DA49AC" w:rsidP="00AD1165">
      <w:pPr>
        <w:ind w:firstLine="720"/>
        <w:jc w:val="both"/>
        <w:rPr>
          <w:sz w:val="24"/>
          <w:szCs w:val="24"/>
        </w:rPr>
      </w:pPr>
      <w:r>
        <w:rPr>
          <w:sz w:val="24"/>
          <w:szCs w:val="24"/>
        </w:rPr>
        <w:t xml:space="preserve">We examined </w:t>
      </w:r>
      <w:r w:rsidRPr="00CA3997">
        <w:rPr>
          <w:sz w:val="24"/>
          <w:szCs w:val="24"/>
        </w:rPr>
        <w:t xml:space="preserve">the collections of the </w:t>
      </w:r>
      <w:r>
        <w:rPr>
          <w:sz w:val="24"/>
          <w:szCs w:val="24"/>
        </w:rPr>
        <w:t>BT2 and BT31 series</w:t>
      </w:r>
      <w:r w:rsidRPr="00CA3997">
        <w:rPr>
          <w:sz w:val="24"/>
          <w:szCs w:val="24"/>
        </w:rPr>
        <w:t xml:space="preserve"> for </w:t>
      </w:r>
      <w:r>
        <w:rPr>
          <w:sz w:val="24"/>
          <w:szCs w:val="24"/>
        </w:rPr>
        <w:t>the 2,765 public</w:t>
      </w:r>
      <w:r w:rsidRPr="00CA3997">
        <w:rPr>
          <w:sz w:val="24"/>
          <w:szCs w:val="24"/>
        </w:rPr>
        <w:t xml:space="preserve"> companies</w:t>
      </w:r>
      <w:r>
        <w:rPr>
          <w:sz w:val="24"/>
          <w:szCs w:val="24"/>
        </w:rPr>
        <w:t xml:space="preserve"> </w:t>
      </w:r>
      <w:r w:rsidRPr="00CA3997">
        <w:rPr>
          <w:sz w:val="24"/>
          <w:szCs w:val="24"/>
        </w:rPr>
        <w:t xml:space="preserve">which </w:t>
      </w:r>
      <w:r>
        <w:rPr>
          <w:sz w:val="24"/>
          <w:szCs w:val="24"/>
        </w:rPr>
        <w:t>were</w:t>
      </w:r>
      <w:r w:rsidRPr="00CA3997">
        <w:rPr>
          <w:sz w:val="24"/>
          <w:szCs w:val="24"/>
        </w:rPr>
        <w:t xml:space="preserve"> quoted</w:t>
      </w:r>
      <w:r>
        <w:rPr>
          <w:sz w:val="24"/>
          <w:szCs w:val="24"/>
        </w:rPr>
        <w:t xml:space="preserve"> either</w:t>
      </w:r>
      <w:r w:rsidRPr="00CA3997">
        <w:rPr>
          <w:sz w:val="24"/>
          <w:szCs w:val="24"/>
        </w:rPr>
        <w:t xml:space="preserve"> in the </w:t>
      </w:r>
      <w:r w:rsidRPr="00CA3997">
        <w:rPr>
          <w:i/>
          <w:sz w:val="24"/>
          <w:szCs w:val="24"/>
        </w:rPr>
        <w:t>Course of the Exchange</w:t>
      </w:r>
      <w:r>
        <w:rPr>
          <w:sz w:val="24"/>
          <w:szCs w:val="24"/>
        </w:rPr>
        <w:t xml:space="preserve"> before 18</w:t>
      </w:r>
      <w:r w:rsidRPr="00CA3997">
        <w:rPr>
          <w:sz w:val="24"/>
          <w:szCs w:val="24"/>
        </w:rPr>
        <w:t xml:space="preserve">70 </w:t>
      </w:r>
      <w:r>
        <w:rPr>
          <w:sz w:val="24"/>
          <w:szCs w:val="24"/>
        </w:rPr>
        <w:t>or</w:t>
      </w:r>
      <w:r w:rsidRPr="00CA3997">
        <w:rPr>
          <w:sz w:val="24"/>
          <w:szCs w:val="24"/>
        </w:rPr>
        <w:t xml:space="preserve"> in the </w:t>
      </w:r>
      <w:r w:rsidRPr="00CA3997">
        <w:rPr>
          <w:i/>
          <w:sz w:val="24"/>
          <w:szCs w:val="24"/>
        </w:rPr>
        <w:t>Investor’s Monthly Manual</w:t>
      </w:r>
      <w:r w:rsidRPr="00CA3997">
        <w:rPr>
          <w:sz w:val="24"/>
          <w:szCs w:val="24"/>
        </w:rPr>
        <w:t xml:space="preserve"> in 1870, 1885, and 1899</w:t>
      </w:r>
      <w:r>
        <w:rPr>
          <w:sz w:val="24"/>
          <w:szCs w:val="24"/>
        </w:rPr>
        <w:t xml:space="preserve">. Numerous company files contained no ownership returns and most files had been extensively weeded to reduce their bulk.  Thus, our strategy was to collect ownership returns for the 1850s, </w:t>
      </w:r>
      <w:r w:rsidRPr="00CA3997">
        <w:rPr>
          <w:sz w:val="24"/>
          <w:szCs w:val="24"/>
        </w:rPr>
        <w:t xml:space="preserve">1865, 1870, </w:t>
      </w:r>
      <w:r>
        <w:rPr>
          <w:sz w:val="24"/>
          <w:szCs w:val="24"/>
        </w:rPr>
        <w:t xml:space="preserve">1880, </w:t>
      </w:r>
      <w:r w:rsidRPr="00CA3997">
        <w:rPr>
          <w:sz w:val="24"/>
          <w:szCs w:val="24"/>
        </w:rPr>
        <w:t>1883, 1890</w:t>
      </w:r>
      <w:r>
        <w:rPr>
          <w:sz w:val="24"/>
          <w:szCs w:val="24"/>
        </w:rPr>
        <w:t>,</w:t>
      </w:r>
      <w:r w:rsidRPr="00CA3997">
        <w:rPr>
          <w:sz w:val="24"/>
          <w:szCs w:val="24"/>
        </w:rPr>
        <w:t xml:space="preserve"> and 1900 or one year either side of these sample years if the return existed.</w:t>
      </w:r>
      <w:r>
        <w:rPr>
          <w:sz w:val="24"/>
          <w:szCs w:val="24"/>
        </w:rPr>
        <w:t xml:space="preserve">  </w:t>
      </w:r>
      <w:r w:rsidRPr="00CA3997">
        <w:rPr>
          <w:sz w:val="24"/>
          <w:szCs w:val="24"/>
        </w:rPr>
        <w:t xml:space="preserve">If a company had ownership returns which fell outside the selected sample years, we collected a return for each decade between 1860 and 1900, where available.  </w:t>
      </w:r>
    </w:p>
    <w:p w:rsidR="00DA49AC" w:rsidRPr="00D81729" w:rsidRDefault="00DA49AC" w:rsidP="00D81729">
      <w:pPr>
        <w:pStyle w:val="FootnoteText"/>
        <w:spacing w:line="480" w:lineRule="auto"/>
        <w:ind w:firstLine="720"/>
        <w:jc w:val="both"/>
        <w:rPr>
          <w:sz w:val="24"/>
          <w:szCs w:val="24"/>
        </w:rPr>
      </w:pPr>
      <w:r>
        <w:rPr>
          <w:sz w:val="24"/>
          <w:szCs w:val="24"/>
        </w:rPr>
        <w:t>After removing unintelligible returns and returns with missing pages, we inputted</w:t>
      </w:r>
      <w:r w:rsidRPr="00CA3997">
        <w:rPr>
          <w:sz w:val="24"/>
          <w:szCs w:val="24"/>
        </w:rPr>
        <w:t xml:space="preserve"> ownership returns for </w:t>
      </w:r>
      <w:r>
        <w:rPr>
          <w:sz w:val="24"/>
          <w:szCs w:val="24"/>
        </w:rPr>
        <w:t>488 companies and 890 company-years</w:t>
      </w:r>
      <w:r w:rsidRPr="00CA3997">
        <w:rPr>
          <w:sz w:val="24"/>
          <w:szCs w:val="24"/>
        </w:rPr>
        <w:t>.</w:t>
      </w:r>
      <w:r>
        <w:rPr>
          <w:sz w:val="24"/>
          <w:szCs w:val="24"/>
        </w:rPr>
        <w:t xml:space="preserve"> Unfortunately, w</w:t>
      </w:r>
      <w:r w:rsidRPr="008531B6">
        <w:rPr>
          <w:sz w:val="24"/>
          <w:szCs w:val="24"/>
        </w:rPr>
        <w:t>e found</w:t>
      </w:r>
      <w:r>
        <w:rPr>
          <w:sz w:val="24"/>
          <w:szCs w:val="24"/>
        </w:rPr>
        <w:t xml:space="preserve"> that</w:t>
      </w:r>
      <w:r w:rsidRPr="008531B6">
        <w:rPr>
          <w:sz w:val="24"/>
          <w:szCs w:val="24"/>
        </w:rPr>
        <w:t xml:space="preserve"> the degree of occupational classification varied s</w:t>
      </w:r>
      <w:r>
        <w:rPr>
          <w:sz w:val="24"/>
          <w:szCs w:val="24"/>
        </w:rPr>
        <w:t>ignificantly.  A</w:t>
      </w:r>
      <w:r w:rsidRPr="008531B6">
        <w:rPr>
          <w:sz w:val="24"/>
          <w:szCs w:val="24"/>
        </w:rPr>
        <w:t>t one extreme</w:t>
      </w:r>
      <w:r>
        <w:rPr>
          <w:sz w:val="24"/>
          <w:szCs w:val="24"/>
        </w:rPr>
        <w:t>,</w:t>
      </w:r>
      <w:r w:rsidRPr="008531B6">
        <w:rPr>
          <w:sz w:val="24"/>
          <w:szCs w:val="24"/>
        </w:rPr>
        <w:t xml:space="preserve"> 49 of our </w:t>
      </w:r>
      <w:r>
        <w:rPr>
          <w:sz w:val="24"/>
          <w:szCs w:val="24"/>
        </w:rPr>
        <w:t>company-</w:t>
      </w:r>
      <w:r w:rsidRPr="008531B6">
        <w:rPr>
          <w:sz w:val="24"/>
          <w:szCs w:val="24"/>
        </w:rPr>
        <w:t xml:space="preserve">years </w:t>
      </w:r>
      <w:r>
        <w:rPr>
          <w:sz w:val="24"/>
          <w:szCs w:val="24"/>
        </w:rPr>
        <w:t>reported</w:t>
      </w:r>
      <w:r w:rsidRPr="008531B6">
        <w:rPr>
          <w:sz w:val="24"/>
          <w:szCs w:val="24"/>
        </w:rPr>
        <w:t xml:space="preserve"> shareholders occupations </w:t>
      </w:r>
      <w:r>
        <w:rPr>
          <w:sz w:val="24"/>
          <w:szCs w:val="24"/>
        </w:rPr>
        <w:t>100 per cent</w:t>
      </w:r>
      <w:r w:rsidRPr="008531B6">
        <w:rPr>
          <w:sz w:val="24"/>
          <w:szCs w:val="24"/>
        </w:rPr>
        <w:t xml:space="preserve"> of the time, </w:t>
      </w:r>
      <w:r>
        <w:rPr>
          <w:sz w:val="24"/>
          <w:szCs w:val="24"/>
        </w:rPr>
        <w:t>but</w:t>
      </w:r>
      <w:r w:rsidRPr="008531B6">
        <w:rPr>
          <w:sz w:val="24"/>
          <w:szCs w:val="24"/>
        </w:rPr>
        <w:t xml:space="preserve"> at the other end of the spectrum</w:t>
      </w:r>
      <w:r>
        <w:rPr>
          <w:sz w:val="24"/>
          <w:szCs w:val="24"/>
        </w:rPr>
        <w:t>,</w:t>
      </w:r>
      <w:r w:rsidRPr="008531B6">
        <w:rPr>
          <w:sz w:val="24"/>
          <w:szCs w:val="24"/>
        </w:rPr>
        <w:t xml:space="preserve"> we found 56 </w:t>
      </w:r>
      <w:r>
        <w:rPr>
          <w:sz w:val="24"/>
          <w:szCs w:val="24"/>
        </w:rPr>
        <w:t>company-</w:t>
      </w:r>
      <w:r w:rsidRPr="008531B6">
        <w:rPr>
          <w:sz w:val="24"/>
          <w:szCs w:val="24"/>
        </w:rPr>
        <w:t xml:space="preserve">years </w:t>
      </w:r>
      <w:r>
        <w:rPr>
          <w:sz w:val="24"/>
          <w:szCs w:val="24"/>
        </w:rPr>
        <w:t xml:space="preserve">which </w:t>
      </w:r>
      <w:r w:rsidRPr="008531B6">
        <w:rPr>
          <w:sz w:val="24"/>
          <w:szCs w:val="24"/>
        </w:rPr>
        <w:t>recorded shareholder occupations less than</w:t>
      </w:r>
      <w:r>
        <w:rPr>
          <w:sz w:val="24"/>
          <w:szCs w:val="24"/>
        </w:rPr>
        <w:t xml:space="preserve"> 20 per cent</w:t>
      </w:r>
      <w:r w:rsidRPr="008531B6">
        <w:rPr>
          <w:sz w:val="24"/>
          <w:szCs w:val="24"/>
        </w:rPr>
        <w:t xml:space="preserve"> of the time.  To create a robust sample of ownership characteristics</w:t>
      </w:r>
      <w:r>
        <w:rPr>
          <w:sz w:val="24"/>
          <w:szCs w:val="24"/>
        </w:rPr>
        <w:t>,</w:t>
      </w:r>
      <w:r w:rsidRPr="008531B6">
        <w:rPr>
          <w:sz w:val="24"/>
          <w:szCs w:val="24"/>
        </w:rPr>
        <w:t xml:space="preserve"> we </w:t>
      </w:r>
      <w:r>
        <w:rPr>
          <w:sz w:val="24"/>
          <w:szCs w:val="24"/>
        </w:rPr>
        <w:t>focus only</w:t>
      </w:r>
      <w:r w:rsidRPr="008531B6">
        <w:rPr>
          <w:sz w:val="24"/>
          <w:szCs w:val="24"/>
        </w:rPr>
        <w:t xml:space="preserve"> on those companies who had recorded shareholder occupational details </w:t>
      </w:r>
      <w:r>
        <w:rPr>
          <w:sz w:val="24"/>
          <w:szCs w:val="24"/>
        </w:rPr>
        <w:t>90 per cent</w:t>
      </w:r>
      <w:r w:rsidRPr="008531B6">
        <w:rPr>
          <w:sz w:val="24"/>
          <w:szCs w:val="24"/>
        </w:rPr>
        <w:t xml:space="preserve"> of the time or more</w:t>
      </w:r>
      <w:r w:rsidRPr="00D81729">
        <w:rPr>
          <w:sz w:val="24"/>
          <w:szCs w:val="24"/>
        </w:rPr>
        <w:t>.  We</w:t>
      </w:r>
      <w:r>
        <w:rPr>
          <w:sz w:val="24"/>
          <w:szCs w:val="24"/>
        </w:rPr>
        <w:t xml:space="preserve"> imposed this cut-off point because</w:t>
      </w:r>
      <w:r w:rsidRPr="00D81729">
        <w:rPr>
          <w:sz w:val="24"/>
          <w:szCs w:val="24"/>
        </w:rPr>
        <w:t xml:space="preserve"> </w:t>
      </w:r>
      <w:r>
        <w:rPr>
          <w:sz w:val="24"/>
          <w:szCs w:val="24"/>
        </w:rPr>
        <w:t xml:space="preserve">once one goes </w:t>
      </w:r>
      <w:r w:rsidRPr="00D81729">
        <w:rPr>
          <w:sz w:val="24"/>
          <w:szCs w:val="24"/>
        </w:rPr>
        <w:t>beyond it</w:t>
      </w:r>
      <w:r>
        <w:rPr>
          <w:sz w:val="24"/>
          <w:szCs w:val="24"/>
        </w:rPr>
        <w:t>, it beco</w:t>
      </w:r>
      <w:r w:rsidRPr="00D81729">
        <w:rPr>
          <w:sz w:val="24"/>
          <w:szCs w:val="24"/>
        </w:rPr>
        <w:t>me</w:t>
      </w:r>
      <w:r>
        <w:rPr>
          <w:sz w:val="24"/>
          <w:szCs w:val="24"/>
        </w:rPr>
        <w:t>s</w:t>
      </w:r>
      <w:r w:rsidRPr="00D81729">
        <w:rPr>
          <w:sz w:val="24"/>
          <w:szCs w:val="24"/>
        </w:rPr>
        <w:t xml:space="preserve"> questionable if companies were recording occupational details in a systematic </w:t>
      </w:r>
      <w:r>
        <w:rPr>
          <w:sz w:val="24"/>
          <w:szCs w:val="24"/>
        </w:rPr>
        <w:t xml:space="preserve">and accurate </w:t>
      </w:r>
      <w:r w:rsidRPr="00D81729">
        <w:rPr>
          <w:sz w:val="24"/>
          <w:szCs w:val="24"/>
        </w:rPr>
        <w:t xml:space="preserve">manner.  </w:t>
      </w:r>
      <w:r>
        <w:rPr>
          <w:sz w:val="24"/>
          <w:szCs w:val="24"/>
        </w:rPr>
        <w:t>Indeed, of the 437 company-</w:t>
      </w:r>
      <w:r w:rsidRPr="00D81729">
        <w:rPr>
          <w:sz w:val="24"/>
          <w:szCs w:val="24"/>
        </w:rPr>
        <w:t xml:space="preserve">years excluded </w:t>
      </w:r>
      <w:r>
        <w:rPr>
          <w:sz w:val="24"/>
          <w:szCs w:val="24"/>
        </w:rPr>
        <w:t>using this criterion,</w:t>
      </w:r>
      <w:r w:rsidRPr="00D81729">
        <w:rPr>
          <w:sz w:val="24"/>
          <w:szCs w:val="24"/>
        </w:rPr>
        <w:t xml:space="preserve"> </w:t>
      </w:r>
      <w:r>
        <w:rPr>
          <w:sz w:val="24"/>
          <w:szCs w:val="24"/>
        </w:rPr>
        <w:t>47 per cent</w:t>
      </w:r>
      <w:r w:rsidRPr="00D81729">
        <w:rPr>
          <w:sz w:val="24"/>
          <w:szCs w:val="24"/>
        </w:rPr>
        <w:t xml:space="preserve"> of shareholder occupation details</w:t>
      </w:r>
      <w:r>
        <w:rPr>
          <w:sz w:val="24"/>
          <w:szCs w:val="24"/>
        </w:rPr>
        <w:t>, on average,</w:t>
      </w:r>
      <w:r w:rsidRPr="00D81729">
        <w:rPr>
          <w:sz w:val="24"/>
          <w:szCs w:val="24"/>
        </w:rPr>
        <w:t xml:space="preserve"> </w:t>
      </w:r>
      <w:r>
        <w:rPr>
          <w:sz w:val="24"/>
          <w:szCs w:val="24"/>
        </w:rPr>
        <w:t>were unreported</w:t>
      </w:r>
      <w:r w:rsidRPr="00D81729">
        <w:rPr>
          <w:sz w:val="24"/>
          <w:szCs w:val="24"/>
        </w:rPr>
        <w:t>.</w:t>
      </w:r>
    </w:p>
    <w:p w:rsidR="00DA49AC" w:rsidRDefault="00DA49AC" w:rsidP="00D81729">
      <w:pPr>
        <w:ind w:firstLine="720"/>
        <w:jc w:val="both"/>
        <w:rPr>
          <w:sz w:val="24"/>
          <w:szCs w:val="24"/>
        </w:rPr>
      </w:pPr>
      <w:r w:rsidRPr="008531B6">
        <w:rPr>
          <w:sz w:val="24"/>
          <w:szCs w:val="24"/>
        </w:rPr>
        <w:t xml:space="preserve"> </w:t>
      </w:r>
      <w:r>
        <w:rPr>
          <w:sz w:val="24"/>
          <w:szCs w:val="24"/>
        </w:rPr>
        <w:t>The 10 per cent cut-</w:t>
      </w:r>
      <w:r w:rsidRPr="008531B6">
        <w:rPr>
          <w:sz w:val="24"/>
          <w:szCs w:val="24"/>
        </w:rPr>
        <w:t xml:space="preserve">off provided a sample of </w:t>
      </w:r>
      <w:r>
        <w:rPr>
          <w:sz w:val="24"/>
          <w:szCs w:val="24"/>
        </w:rPr>
        <w:t>293 companies, 453</w:t>
      </w:r>
      <w:r w:rsidRPr="008531B6">
        <w:rPr>
          <w:sz w:val="24"/>
          <w:szCs w:val="24"/>
        </w:rPr>
        <w:t xml:space="preserve"> </w:t>
      </w:r>
      <w:r>
        <w:rPr>
          <w:sz w:val="24"/>
          <w:szCs w:val="24"/>
        </w:rPr>
        <w:t>company-</w:t>
      </w:r>
      <w:r w:rsidRPr="008531B6">
        <w:rPr>
          <w:sz w:val="24"/>
          <w:szCs w:val="24"/>
        </w:rPr>
        <w:t>years</w:t>
      </w:r>
      <w:r>
        <w:rPr>
          <w:sz w:val="24"/>
          <w:szCs w:val="24"/>
        </w:rPr>
        <w:t>, 172,473</w:t>
      </w:r>
      <w:r w:rsidRPr="008531B6">
        <w:rPr>
          <w:sz w:val="24"/>
          <w:szCs w:val="24"/>
        </w:rPr>
        <w:t xml:space="preserve"> </w:t>
      </w:r>
      <w:r>
        <w:rPr>
          <w:sz w:val="24"/>
          <w:szCs w:val="24"/>
        </w:rPr>
        <w:t xml:space="preserve">shareholders, and </w:t>
      </w:r>
      <w:r w:rsidRPr="004E7E5D">
        <w:rPr>
          <w:i/>
          <w:sz w:val="24"/>
          <w:szCs w:val="24"/>
        </w:rPr>
        <w:t>circa</w:t>
      </w:r>
      <w:r>
        <w:rPr>
          <w:sz w:val="24"/>
          <w:szCs w:val="24"/>
        </w:rPr>
        <w:t xml:space="preserve"> £95 million of share capital</w:t>
      </w:r>
      <w:r w:rsidRPr="008531B6">
        <w:rPr>
          <w:sz w:val="24"/>
          <w:szCs w:val="24"/>
        </w:rPr>
        <w:t xml:space="preserve">. </w:t>
      </w:r>
      <w:r>
        <w:rPr>
          <w:sz w:val="24"/>
          <w:szCs w:val="24"/>
        </w:rPr>
        <w:t>W</w:t>
      </w:r>
      <w:r w:rsidRPr="008531B6">
        <w:rPr>
          <w:sz w:val="24"/>
          <w:szCs w:val="24"/>
        </w:rPr>
        <w:t>ithin this sample</w:t>
      </w:r>
      <w:r>
        <w:rPr>
          <w:sz w:val="24"/>
          <w:szCs w:val="24"/>
        </w:rPr>
        <w:t>,</w:t>
      </w:r>
      <w:r w:rsidRPr="008531B6">
        <w:rPr>
          <w:sz w:val="24"/>
          <w:szCs w:val="24"/>
        </w:rPr>
        <w:t xml:space="preserve"> occupational details </w:t>
      </w:r>
      <w:r>
        <w:rPr>
          <w:sz w:val="24"/>
          <w:szCs w:val="24"/>
        </w:rPr>
        <w:t>were missing for</w:t>
      </w:r>
      <w:r w:rsidRPr="008531B6">
        <w:rPr>
          <w:sz w:val="24"/>
          <w:szCs w:val="24"/>
        </w:rPr>
        <w:t xml:space="preserve"> 6</w:t>
      </w:r>
      <w:r>
        <w:rPr>
          <w:sz w:val="24"/>
          <w:szCs w:val="24"/>
        </w:rPr>
        <w:t>,</w:t>
      </w:r>
      <w:r w:rsidRPr="008531B6">
        <w:rPr>
          <w:sz w:val="24"/>
          <w:szCs w:val="24"/>
        </w:rPr>
        <w:t>6</w:t>
      </w:r>
      <w:r>
        <w:rPr>
          <w:sz w:val="24"/>
          <w:szCs w:val="24"/>
        </w:rPr>
        <w:t>8</w:t>
      </w:r>
      <w:r w:rsidRPr="008531B6">
        <w:rPr>
          <w:sz w:val="24"/>
          <w:szCs w:val="24"/>
        </w:rPr>
        <w:t>5 individuals after the first phase of data entry. We therefore investigated each individual case</w:t>
      </w:r>
      <w:r>
        <w:rPr>
          <w:sz w:val="24"/>
          <w:szCs w:val="24"/>
        </w:rPr>
        <w:t xml:space="preserve"> using the original records</w:t>
      </w:r>
      <w:r w:rsidRPr="008531B6">
        <w:rPr>
          <w:sz w:val="24"/>
          <w:szCs w:val="24"/>
        </w:rPr>
        <w:t xml:space="preserve"> to ascertain why characteristics had not been recorded.</w:t>
      </w:r>
      <w:r w:rsidRPr="008531B6">
        <w:rPr>
          <w:rStyle w:val="FootnoteReference"/>
          <w:sz w:val="24"/>
          <w:szCs w:val="24"/>
        </w:rPr>
        <w:footnoteReference w:id="19"/>
      </w:r>
      <w:r w:rsidRPr="008531B6">
        <w:rPr>
          <w:sz w:val="24"/>
          <w:szCs w:val="24"/>
        </w:rPr>
        <w:t xml:space="preserve">  This sweep improved the overall completeness of our occupational detail to 99.1</w:t>
      </w:r>
      <w:r>
        <w:rPr>
          <w:sz w:val="24"/>
          <w:szCs w:val="24"/>
        </w:rPr>
        <w:t xml:space="preserve"> per cent</w:t>
      </w:r>
      <w:r w:rsidRPr="008531B6">
        <w:rPr>
          <w:sz w:val="24"/>
          <w:szCs w:val="24"/>
        </w:rPr>
        <w:t>.</w:t>
      </w:r>
      <w:r>
        <w:rPr>
          <w:sz w:val="24"/>
          <w:szCs w:val="24"/>
        </w:rPr>
        <w:t xml:space="preserve">  In terms of joint ownership of shares, where two or more individuals owned a share, we took the first named individual as the chief shareholder in the relationship and recorded their occupational status. The rationale for adopting this approach is that Table A of the 1862 Companies Act assigned voting power to the first named owner when stock was jointly held. As joint ownership was relatively uncommon within our sample, this approach should not bias our findings towards a particular socio-occupational grouping.  </w:t>
      </w:r>
    </w:p>
    <w:p w:rsidR="00DA49AC" w:rsidRDefault="00DA49AC" w:rsidP="00080FE5">
      <w:pPr>
        <w:ind w:firstLine="720"/>
        <w:jc w:val="both"/>
        <w:rPr>
          <w:sz w:val="24"/>
          <w:szCs w:val="24"/>
        </w:rPr>
      </w:pPr>
      <w:r>
        <w:rPr>
          <w:sz w:val="24"/>
          <w:szCs w:val="24"/>
        </w:rPr>
        <w:t xml:space="preserve">There will be an element of double counting in our sample of 172,473 shareholders.  First, we have more than one observation for some companies.  However, these are on average 15.9 years apart, which gives time for the shareholder constituency to change.  Based on an analysis of the largest shareholders in each company, we found that about 50 per cent of them had disappeared by the time of the next ownership census. The second way in which we could have double counting is that an individual could be a shareholder in more than one company.  However, a sub-sample of the 1,158 largest shareholders (i.e, some of the wealthiest shareholders) reveals that less than 1.5 per cent of them held a substantial stake in more than one of our sample companies, which suggests that we do not have much of a double-counting issue from this source.  </w:t>
      </w:r>
    </w:p>
    <w:p w:rsidR="00DA49AC" w:rsidRDefault="00DA49AC" w:rsidP="00A25C74">
      <w:pPr>
        <w:ind w:firstLine="720"/>
        <w:jc w:val="both"/>
        <w:rPr>
          <w:sz w:val="24"/>
          <w:szCs w:val="24"/>
        </w:rPr>
      </w:pPr>
      <w:r>
        <w:rPr>
          <w:sz w:val="24"/>
          <w:szCs w:val="24"/>
        </w:rPr>
        <w:t xml:space="preserve">As can be seen from Table 1, our sample has a good spread of ownership censuses across the sample period – 23 per cent from the 1850s and 60s, 14 per cent from 1870s, 29 per cent from 1880s, 24 per cent from 1890s, and 11 per cent from 1900 to 1902.  It also has companies from across different industrial sectors, with 23 per cent from banking, 8 per cent from mining, 8 per cent from the insurance sector, 7 per cent from iron, coal and steel, 8 per cent from finance, 5 per cent from utilities, 4 per cent from breweries, and the remaining 38 per cent from a range of industries comprising docks, spinning and weaving, steamships, tea and coffee, telegraph, wagon, and miscellaneous industrial and commercial companies. We also have a good spread based on location of company headquarters, with 42 per cent from London, 10 per cent from Lancashire, and 7 per cent from Yorkshire. Notably, there is a similar distribution based on where the securities were traded, with just over half of our sample being listed on one of the provincial stock exchanges. </w:t>
      </w:r>
    </w:p>
    <w:p w:rsidR="00DA49AC" w:rsidRDefault="00DA49AC" w:rsidP="004F24E2">
      <w:pPr>
        <w:ind w:firstLine="720"/>
        <w:jc w:val="center"/>
        <w:rPr>
          <w:sz w:val="24"/>
          <w:szCs w:val="24"/>
        </w:rPr>
      </w:pPr>
      <w:r>
        <w:rPr>
          <w:sz w:val="24"/>
          <w:szCs w:val="24"/>
        </w:rPr>
        <w:t>&lt;&lt; Insert Table 1 &gt;&gt;</w:t>
      </w:r>
    </w:p>
    <w:p w:rsidR="00DA49AC" w:rsidRDefault="00DA49AC" w:rsidP="007031BE">
      <w:pPr>
        <w:ind w:firstLine="720"/>
        <w:jc w:val="both"/>
        <w:rPr>
          <w:sz w:val="24"/>
          <w:szCs w:val="24"/>
        </w:rPr>
      </w:pPr>
      <w:r>
        <w:rPr>
          <w:sz w:val="24"/>
          <w:szCs w:val="24"/>
        </w:rPr>
        <w:t xml:space="preserve">204 of our companies are domestic companies and the other 89 are defined as overseas companies, since their main business was based outside the UK even though they incorporated in the UK.  The whereabouts of a company’s main business was acquired from memoranda of association located in the BT31 and BT2 files, </w:t>
      </w:r>
      <w:r w:rsidRPr="00B31EE5">
        <w:rPr>
          <w:i/>
          <w:sz w:val="24"/>
          <w:szCs w:val="24"/>
        </w:rPr>
        <w:t>Burdett’s Official Intelligence</w:t>
      </w:r>
      <w:r>
        <w:rPr>
          <w:sz w:val="24"/>
          <w:szCs w:val="24"/>
        </w:rPr>
        <w:t xml:space="preserve">, </w:t>
      </w:r>
      <w:r w:rsidRPr="00CA3997">
        <w:rPr>
          <w:i/>
          <w:sz w:val="24"/>
          <w:szCs w:val="24"/>
        </w:rPr>
        <w:t>Stock Exchange Official Intelligence</w:t>
      </w:r>
      <w:r>
        <w:rPr>
          <w:sz w:val="24"/>
          <w:szCs w:val="24"/>
        </w:rPr>
        <w:t>, and</w:t>
      </w:r>
      <w:r w:rsidRPr="00CA3997">
        <w:rPr>
          <w:sz w:val="24"/>
          <w:szCs w:val="24"/>
        </w:rPr>
        <w:t xml:space="preserve"> </w:t>
      </w:r>
      <w:r w:rsidRPr="00CA3997">
        <w:rPr>
          <w:i/>
          <w:sz w:val="24"/>
          <w:szCs w:val="24"/>
        </w:rPr>
        <w:t>Stock Exchange Year-book</w:t>
      </w:r>
      <w:r>
        <w:rPr>
          <w:sz w:val="24"/>
          <w:szCs w:val="24"/>
        </w:rPr>
        <w:t xml:space="preserve">. </w:t>
      </w:r>
    </w:p>
    <w:p w:rsidR="00DA49AC" w:rsidRDefault="00DA49AC" w:rsidP="007031BE">
      <w:pPr>
        <w:ind w:firstLine="720"/>
        <w:jc w:val="both"/>
        <w:rPr>
          <w:sz w:val="24"/>
          <w:szCs w:val="24"/>
        </w:rPr>
      </w:pPr>
      <w:r>
        <w:rPr>
          <w:sz w:val="24"/>
          <w:szCs w:val="24"/>
        </w:rPr>
        <w:t xml:space="preserve">The companies in our sample were either floated on the stock market from scratch or were conversions of private companies. Consequently, compared to all non-railway companies listed in the </w:t>
      </w:r>
      <w:r w:rsidRPr="00E83AB1">
        <w:rPr>
          <w:i/>
          <w:sz w:val="24"/>
          <w:szCs w:val="24"/>
        </w:rPr>
        <w:t>Investor’s Monthly Manual</w:t>
      </w:r>
      <w:r>
        <w:rPr>
          <w:sz w:val="24"/>
          <w:szCs w:val="24"/>
        </w:rPr>
        <w:t xml:space="preserve">, the companies in our sample are relatively small, with less than three per cent of firms in the top decile of companies and the majority of companies being in the bottom 50 per cent of the size distribution.  </w:t>
      </w:r>
    </w:p>
    <w:p w:rsidR="00DA49AC" w:rsidRDefault="00DA49AC" w:rsidP="007031BE">
      <w:pPr>
        <w:ind w:firstLine="720"/>
        <w:jc w:val="both"/>
        <w:rPr>
          <w:sz w:val="24"/>
          <w:szCs w:val="24"/>
        </w:rPr>
      </w:pPr>
      <w:r w:rsidRPr="00C82B8E">
        <w:rPr>
          <w:sz w:val="24"/>
          <w:szCs w:val="24"/>
        </w:rPr>
        <w:t>This study follows previous studies of share ownership in that we use the occupation reported in the ownership returns to assess the socio-occupational make-up of shareholder constituencies. There are, of course, limitations in doing so.  First,</w:t>
      </w:r>
      <w:r>
        <w:rPr>
          <w:sz w:val="24"/>
          <w:szCs w:val="24"/>
        </w:rPr>
        <w:t xml:space="preserve"> shareholders may overstate or misreport their socio-occupational status.  Second, the company’s secretary who had responsibility for keeping shareholder records may have overstated occupational status to make the shareholder constituency look more reputable in order to attract new investors or assure customers about the company’s respectability.  This problem may have been more prevalent amongst newly-established firms. Third, there is an issue with how one interprets the use of the commonly-occurring terms ‘gentleman’ and ‘esquire’.  In the pre-modern era, gentlemen and esquires were members of the landed gentry who made up the second tier of the aristocracy, with esquires being above gentlemen in the hierarchy.</w:t>
      </w:r>
      <w:r>
        <w:rPr>
          <w:rStyle w:val="FootnoteReference"/>
          <w:sz w:val="24"/>
          <w:szCs w:val="24"/>
        </w:rPr>
        <w:footnoteReference w:id="20"/>
      </w:r>
      <w:r>
        <w:rPr>
          <w:sz w:val="24"/>
          <w:szCs w:val="24"/>
        </w:rPr>
        <w:t xml:space="preserve">  However, by the second half of the nineteenth century, the term gentlemen or esquires may have been occasionally applied to financiers, professionals, military officers, retired from active business / professional life, or members of the landed gentry.  Nevertheless, the usage of the term gentleman or esquire in the Victorian era signified that one belonged to the upper echelons of society and usually indicated an education at an elite public school.</w:t>
      </w:r>
      <w:r>
        <w:rPr>
          <w:rStyle w:val="FootnoteReference"/>
          <w:sz w:val="24"/>
          <w:szCs w:val="24"/>
        </w:rPr>
        <w:footnoteReference w:id="21"/>
      </w:r>
      <w:r>
        <w:rPr>
          <w:sz w:val="24"/>
          <w:szCs w:val="24"/>
        </w:rPr>
        <w:t xml:space="preserve"> Thus, given the somewhat nebulous definitions of gentleman and esquire in this era, we perform some robustness tests to ensure that any clientele effects which we find are not being driven by this issue.       </w:t>
      </w:r>
    </w:p>
    <w:p w:rsidR="00DA49AC" w:rsidRDefault="00DA49AC" w:rsidP="000B695B">
      <w:pPr>
        <w:jc w:val="both"/>
        <w:rPr>
          <w:sz w:val="24"/>
          <w:szCs w:val="24"/>
        </w:rPr>
      </w:pPr>
      <w:r w:rsidRPr="000F0F10">
        <w:rPr>
          <w:sz w:val="24"/>
          <w:szCs w:val="24"/>
        </w:rPr>
        <w:tab/>
        <w:t>Occupations were classified</w:t>
      </w:r>
      <w:r>
        <w:rPr>
          <w:sz w:val="24"/>
          <w:szCs w:val="24"/>
        </w:rPr>
        <w:t xml:space="preserve"> into broad categories, several of which are self-explanatory. The categorisations have at least two dimensions. The first dimension is along the lines of class.  The second dimension is experience and knowledge.  For this reason, we create groups which one would expect to have a superior knowledge of investing (e.g., businessmen, financiers, and legal professionals) and groups one would expect to be inexperienced in investing e.g., clergymen and women.  Women are further subdivided so as to capture their need for income (widow and spinster) or whether they may have had more male input into their investment decisions (married women).  We also examine politicians (mainly Members of Parliament) as a separate group given their potential access to privileged information.  </w:t>
      </w:r>
    </w:p>
    <w:p w:rsidR="00DA49AC" w:rsidRPr="000F0F10" w:rsidRDefault="00DA49AC" w:rsidP="000B695B">
      <w:pPr>
        <w:ind w:firstLine="720"/>
        <w:jc w:val="both"/>
        <w:rPr>
          <w:sz w:val="24"/>
          <w:szCs w:val="24"/>
        </w:rPr>
      </w:pPr>
      <w:r>
        <w:rPr>
          <w:sz w:val="24"/>
          <w:szCs w:val="24"/>
        </w:rPr>
        <w:t xml:space="preserve">Businessmen and financiers are considered separately.  Businessmen are subdivided into three categories: manufacturers, merchants and retailers.  The main way in which we differentiated between these three was as follows: manufacturers produce goods or industrial inputs, merchants are mainly wholesalers or intermediaries, and retailers are involved in the sale of goods to the general public (e.g., tailor, draper and butcher). Financial occupations are divided into bankers, stockbrokers and other finance (e.g., actuaries and accountants). Bank clerks and agents working for financial institutions were not included in these categorisations, but were part of the white-collar categorisation.  </w:t>
      </w:r>
      <w:r w:rsidRPr="000F0F10">
        <w:rPr>
          <w:sz w:val="24"/>
          <w:szCs w:val="24"/>
        </w:rPr>
        <w:t xml:space="preserve">  </w:t>
      </w:r>
    </w:p>
    <w:p w:rsidR="00DA49AC" w:rsidRDefault="00DA49AC" w:rsidP="00CC2326">
      <w:pPr>
        <w:ind w:firstLine="720"/>
        <w:jc w:val="both"/>
        <w:rPr>
          <w:sz w:val="24"/>
          <w:szCs w:val="24"/>
        </w:rPr>
      </w:pPr>
      <w:r>
        <w:rPr>
          <w:sz w:val="24"/>
          <w:szCs w:val="24"/>
        </w:rPr>
        <w:t xml:space="preserve">The upper class are subdivided into members of the nobility (as signified by titles), gentlemen, esquires, and army and naval officers.  The remainder of the middle class is split into two groupings: professionals (e.g., architects, doctors, dentists, engineers, senior managers etc.) and white-collar occupations (e.g., bank clerks, teachers, administrators etc.). The working class is subdivided into the skilled working class </w:t>
      </w:r>
      <w:r w:rsidRPr="000B599B">
        <w:rPr>
          <w:sz w:val="24"/>
          <w:szCs w:val="24"/>
        </w:rPr>
        <w:t>(e.g., joiners, painters, coopers, tanners, cabinet makers, cutlers, plumbers</w:t>
      </w:r>
      <w:r>
        <w:rPr>
          <w:sz w:val="24"/>
          <w:szCs w:val="24"/>
        </w:rPr>
        <w:t xml:space="preserve"> etc.) and unskilled working class (e.g., labourers and domestic servants etc.), although the former may in some cases be better classified as businessmen.</w:t>
      </w:r>
    </w:p>
    <w:p w:rsidR="00DA49AC" w:rsidRDefault="00DA49AC" w:rsidP="00CC2326">
      <w:pPr>
        <w:ind w:firstLine="720"/>
        <w:jc w:val="both"/>
        <w:rPr>
          <w:sz w:val="24"/>
          <w:szCs w:val="24"/>
        </w:rPr>
      </w:pPr>
    </w:p>
    <w:p w:rsidR="00DA49AC" w:rsidRDefault="00DA49AC" w:rsidP="00CC2326">
      <w:pPr>
        <w:ind w:firstLine="720"/>
        <w:jc w:val="both"/>
        <w:rPr>
          <w:sz w:val="24"/>
          <w:szCs w:val="24"/>
        </w:rPr>
      </w:pPr>
    </w:p>
    <w:p w:rsidR="00DA49AC" w:rsidRPr="00CC2326" w:rsidRDefault="00DA49AC" w:rsidP="00CC2326">
      <w:pPr>
        <w:ind w:firstLine="720"/>
        <w:jc w:val="both"/>
        <w:rPr>
          <w:sz w:val="24"/>
          <w:szCs w:val="24"/>
        </w:rPr>
      </w:pPr>
    </w:p>
    <w:p w:rsidR="00DA49AC" w:rsidRDefault="00DA49AC">
      <w:pPr>
        <w:rPr>
          <w:b/>
          <w:sz w:val="24"/>
          <w:szCs w:val="24"/>
        </w:rPr>
      </w:pPr>
      <w:r w:rsidRPr="00805CF4">
        <w:rPr>
          <w:b/>
          <w:sz w:val="24"/>
          <w:szCs w:val="24"/>
        </w:rPr>
        <w:t>3. Who invested?</w:t>
      </w:r>
    </w:p>
    <w:p w:rsidR="00DA49AC" w:rsidRDefault="00DA49AC" w:rsidP="004F43C2">
      <w:pPr>
        <w:jc w:val="both"/>
        <w:rPr>
          <w:sz w:val="24"/>
          <w:szCs w:val="24"/>
        </w:rPr>
      </w:pPr>
      <w:r w:rsidRPr="00471C51">
        <w:rPr>
          <w:sz w:val="24"/>
          <w:szCs w:val="24"/>
        </w:rPr>
        <w:t xml:space="preserve">Table </w:t>
      </w:r>
      <w:r>
        <w:rPr>
          <w:sz w:val="24"/>
          <w:szCs w:val="24"/>
        </w:rPr>
        <w:t>2 contains the occupational composition of capital and shareholders in our sample. The first thing to note is that, unlike in the modern era, a very low proportion of capital is provided by companies or investment trusts. Investment trusts in the nineteenth century mainly invested in foreign and colonial debentures rather than in equity.</w:t>
      </w:r>
      <w:r>
        <w:rPr>
          <w:rStyle w:val="FootnoteReference"/>
          <w:sz w:val="24"/>
          <w:szCs w:val="24"/>
        </w:rPr>
        <w:footnoteReference w:id="22"/>
      </w:r>
      <w:r>
        <w:rPr>
          <w:sz w:val="24"/>
          <w:szCs w:val="24"/>
        </w:rPr>
        <w:t xml:space="preserve">  However, several investment trusts held sizable equity stakes in a small number of companies in our sample. In terms of the 107 shareholders who are companies, 42 are banks and six are insurance companies.  Before it became illegal following the</w:t>
      </w:r>
      <w:r w:rsidRPr="009F451A">
        <w:rPr>
          <w:sz w:val="24"/>
          <w:szCs w:val="24"/>
        </w:rPr>
        <w:t xml:space="preserve"> 1887 case of </w:t>
      </w:r>
      <w:r w:rsidRPr="009F451A">
        <w:rPr>
          <w:i/>
          <w:sz w:val="24"/>
          <w:szCs w:val="24"/>
        </w:rPr>
        <w:t>Trevor vs. Whitworth</w:t>
      </w:r>
      <w:r>
        <w:rPr>
          <w:sz w:val="24"/>
          <w:szCs w:val="24"/>
        </w:rPr>
        <w:t>, some companies, mainly banks and insurance companies, held shares in their own company so as to make a market in them.</w:t>
      </w:r>
      <w:r>
        <w:rPr>
          <w:rStyle w:val="FootnoteReference"/>
          <w:sz w:val="24"/>
          <w:szCs w:val="24"/>
        </w:rPr>
        <w:footnoteReference w:id="23"/>
      </w:r>
      <w:r>
        <w:rPr>
          <w:sz w:val="24"/>
          <w:szCs w:val="24"/>
        </w:rPr>
        <w:t xml:space="preserve">  </w:t>
      </w:r>
    </w:p>
    <w:p w:rsidR="00DA49AC" w:rsidRDefault="00DA49AC" w:rsidP="00442A4C">
      <w:pPr>
        <w:jc w:val="center"/>
        <w:rPr>
          <w:sz w:val="24"/>
          <w:szCs w:val="24"/>
        </w:rPr>
      </w:pPr>
      <w:r>
        <w:rPr>
          <w:sz w:val="24"/>
          <w:szCs w:val="24"/>
        </w:rPr>
        <w:t>&lt;&lt;Insert Table 2&gt;&gt;</w:t>
      </w:r>
    </w:p>
    <w:p w:rsidR="00DA49AC" w:rsidRDefault="00DA49AC" w:rsidP="00442A4C">
      <w:pPr>
        <w:ind w:firstLine="720"/>
        <w:jc w:val="both"/>
        <w:rPr>
          <w:sz w:val="24"/>
          <w:szCs w:val="24"/>
        </w:rPr>
      </w:pPr>
      <w:r>
        <w:rPr>
          <w:sz w:val="24"/>
          <w:szCs w:val="24"/>
        </w:rPr>
        <w:t>Businessmen constitute 17.6 per cent of investors and provided 20.2 per cent of capital. These figures are of a similar order of magnitude as that found for British banks in this era.</w:t>
      </w:r>
      <w:r>
        <w:rPr>
          <w:rStyle w:val="FootnoteReference"/>
          <w:sz w:val="24"/>
          <w:szCs w:val="24"/>
        </w:rPr>
        <w:footnoteReference w:id="24"/>
      </w:r>
      <w:r>
        <w:rPr>
          <w:sz w:val="24"/>
          <w:szCs w:val="24"/>
        </w:rPr>
        <w:t xml:space="preserve">  Financiers and financial professionals make up 3.1 per cent of investors and provided 4.4 per cent of capital, whilst legal professionals made up 3.9 per cent of investors and provided 3.2 per cent of capital. Thus, taken together, those with expertise and knowledge of companies and investment provided a substantial amount of capital.</w:t>
      </w:r>
    </w:p>
    <w:p w:rsidR="00DA49AC" w:rsidRDefault="00DA49AC" w:rsidP="004F43C2">
      <w:pPr>
        <w:jc w:val="both"/>
        <w:rPr>
          <w:sz w:val="24"/>
          <w:szCs w:val="24"/>
        </w:rPr>
      </w:pPr>
      <w:r>
        <w:rPr>
          <w:sz w:val="24"/>
          <w:szCs w:val="24"/>
        </w:rPr>
        <w:tab/>
        <w:t>We can see from Table 2 that 38.6 per cent of investors are from the upper class and that they provide 47.1 per cent of capital.  Thus, the archetypal rentier provides a substantial amount of capital for the new businesses which emerge in the second half of the nineteenth century. This accords with views that landowners and the gentry moved some of their assets into the stock market.</w:t>
      </w:r>
      <w:r>
        <w:rPr>
          <w:rStyle w:val="FootnoteReference"/>
          <w:sz w:val="24"/>
          <w:szCs w:val="24"/>
        </w:rPr>
        <w:footnoteReference w:id="25"/>
      </w:r>
      <w:r>
        <w:rPr>
          <w:sz w:val="24"/>
          <w:szCs w:val="24"/>
        </w:rPr>
        <w:t xml:space="preserve"> However, the scale of this investment may overestimate the contribution of the upper classes given that some men may have been called gentlemen in the shareholder lists rather than being described as professionals or merchants. Studies of bank shareholders, which typically rely on very accurate reporting of socio-occupational status, reveal that the proportion of gentlemen and esquires in the shareholder constituency was as high as 30 per cent, which is not that far below the 38.6 per cent proportion reported in Table 2.</w:t>
      </w:r>
      <w:r>
        <w:rPr>
          <w:rStyle w:val="FootnoteReference"/>
          <w:sz w:val="24"/>
          <w:szCs w:val="24"/>
        </w:rPr>
        <w:footnoteReference w:id="26"/>
      </w:r>
      <w:r>
        <w:rPr>
          <w:sz w:val="24"/>
          <w:szCs w:val="24"/>
        </w:rPr>
        <w:t xml:space="preserve">    </w:t>
      </w:r>
    </w:p>
    <w:p w:rsidR="00DA49AC" w:rsidRDefault="00DA49AC" w:rsidP="004F43C2">
      <w:pPr>
        <w:jc w:val="both"/>
        <w:rPr>
          <w:sz w:val="24"/>
          <w:szCs w:val="24"/>
        </w:rPr>
      </w:pPr>
      <w:r>
        <w:rPr>
          <w:sz w:val="24"/>
          <w:szCs w:val="24"/>
        </w:rPr>
        <w:tab/>
        <w:t>Women constitute 20.3 per cent of investors and provide 11.0 per cent of capital.  Notably, the mean share capital per investor is a lot lower for women than other categories, which may simply reflect lower wealth or caution on the part of female investors.</w:t>
      </w:r>
      <w:r>
        <w:rPr>
          <w:rStyle w:val="FootnoteReference"/>
          <w:sz w:val="24"/>
          <w:szCs w:val="24"/>
        </w:rPr>
        <w:footnoteReference w:id="27"/>
      </w:r>
      <w:r>
        <w:rPr>
          <w:sz w:val="24"/>
          <w:szCs w:val="24"/>
        </w:rPr>
        <w:t xml:space="preserve"> As a point of comparison, Rutterford et al. find that for 1890-9, females constituted 25.3 per cent of the shareholdings and 10.8 per cent of the value in their national shareholding sample, which consists of larger and more prominent companies.</w:t>
      </w:r>
      <w:r>
        <w:rPr>
          <w:rStyle w:val="FootnoteReference"/>
          <w:sz w:val="24"/>
          <w:szCs w:val="24"/>
        </w:rPr>
        <w:footnoteReference w:id="28"/>
      </w:r>
      <w:r>
        <w:rPr>
          <w:sz w:val="24"/>
          <w:szCs w:val="24"/>
        </w:rPr>
        <w:t xml:space="preserve"> Thus, it appears that females were just as important in the financing of smaller and less prominent companies as they were in financing large, established firms. Notably, the proportion of widows, spinsters and married women in the 1890-9 Rutterford et al. national shareholding sample is similar to that in Table 2.</w:t>
      </w:r>
      <w:r>
        <w:rPr>
          <w:rStyle w:val="FootnoteReference"/>
          <w:sz w:val="24"/>
          <w:szCs w:val="24"/>
        </w:rPr>
        <w:footnoteReference w:id="29"/>
      </w:r>
      <w:r>
        <w:rPr>
          <w:sz w:val="24"/>
          <w:szCs w:val="24"/>
        </w:rPr>
        <w:t xml:space="preserve"> </w:t>
      </w:r>
    </w:p>
    <w:p w:rsidR="00DA49AC" w:rsidRDefault="00DA49AC" w:rsidP="004F43C2">
      <w:pPr>
        <w:jc w:val="both"/>
        <w:rPr>
          <w:sz w:val="24"/>
          <w:szCs w:val="24"/>
        </w:rPr>
      </w:pPr>
      <w:r>
        <w:rPr>
          <w:sz w:val="24"/>
          <w:szCs w:val="24"/>
        </w:rPr>
        <w:tab/>
        <w:t>In terms of our three other middle class groups, in total they constitute 10.6 per cent of shareholders and 7.9 per cent of capital.  The proportion of investors who are white collar and professionals is on a par with studies of bank shareholders in this period. Perhaps one surprising finding is that there are a lot of clergymen investing in the stock of these companies.  Clergymen, similar to women at the time, were believed to have small incomes and little experience of the financial world.</w:t>
      </w:r>
      <w:r>
        <w:rPr>
          <w:rStyle w:val="FootnoteReference"/>
          <w:sz w:val="24"/>
          <w:szCs w:val="24"/>
        </w:rPr>
        <w:footnoteReference w:id="30"/>
      </w:r>
      <w:r>
        <w:rPr>
          <w:sz w:val="24"/>
          <w:szCs w:val="24"/>
        </w:rPr>
        <w:t xml:space="preserve">   </w:t>
      </w:r>
    </w:p>
    <w:p w:rsidR="00DA49AC" w:rsidRDefault="00DA49AC" w:rsidP="004F43C2">
      <w:pPr>
        <w:jc w:val="both"/>
        <w:rPr>
          <w:sz w:val="24"/>
          <w:szCs w:val="24"/>
        </w:rPr>
      </w:pPr>
      <w:r>
        <w:rPr>
          <w:sz w:val="24"/>
          <w:szCs w:val="24"/>
        </w:rPr>
        <w:tab/>
        <w:t xml:space="preserve">Notably, Table 2 reveals that the working classes were not well represented in the shareholding constituencies and provided only 0.5 per cent of capital. The mean amount of capital contributed by the two sub-groups of the working class suggests that these investors were the least wealthy of any other occupational groupings. </w:t>
      </w:r>
    </w:p>
    <w:p w:rsidR="00DA49AC" w:rsidRDefault="00DA49AC" w:rsidP="004F43C2">
      <w:pPr>
        <w:jc w:val="both"/>
        <w:rPr>
          <w:sz w:val="24"/>
          <w:szCs w:val="24"/>
        </w:rPr>
      </w:pPr>
      <w:r>
        <w:rPr>
          <w:sz w:val="24"/>
          <w:szCs w:val="24"/>
        </w:rPr>
        <w:tab/>
        <w:t>The final thing which we wish to highlight from Table 2 is that despite their small numbers, many politicians invested in our sample companies and provided 0.6 per cent of capital.  After the nobility, politicians have the highest mean capital per investor of any socio-occupational group, perhaps indicating their wealth, but also the degree to which they invested in the equity capital of companies in the last half of the nineteenth century.</w:t>
      </w:r>
    </w:p>
    <w:p w:rsidR="00DA49AC" w:rsidRDefault="00DA49AC" w:rsidP="004F43C2">
      <w:pPr>
        <w:jc w:val="both"/>
        <w:rPr>
          <w:sz w:val="24"/>
          <w:szCs w:val="24"/>
        </w:rPr>
      </w:pPr>
      <w:r>
        <w:rPr>
          <w:sz w:val="24"/>
          <w:szCs w:val="24"/>
        </w:rPr>
        <w:tab/>
        <w:t xml:space="preserve">Table 3 shows the proportion of capital contributed by socio-occupational across each decade of the sample period. The first thing to note is that the percentage of capital provided by businessmen (and merchants in particular) fell substantially as the century progressed. This fall could be explained by the fact that over time shares in these new limited companies were no longer perceived as being very risky and therefore they attracted more rentiers but fewer businessmen.  This explanation is consistent with the large fall in the proportion of capital provided by businessmen between the 1850s/60s and 1870s. It is also notable that the proportion of capital contributed by financial professionals falls over the century. As with businessmen, this could be explained by changes in risk, which make shares more attractive to rentiers. </w:t>
      </w:r>
    </w:p>
    <w:p w:rsidR="00DA49AC" w:rsidRDefault="00DA49AC" w:rsidP="00871923">
      <w:pPr>
        <w:jc w:val="center"/>
        <w:rPr>
          <w:sz w:val="24"/>
          <w:szCs w:val="24"/>
        </w:rPr>
      </w:pPr>
      <w:r>
        <w:rPr>
          <w:sz w:val="24"/>
          <w:szCs w:val="24"/>
        </w:rPr>
        <w:t>&lt;&lt;Insert Table 3&gt;&gt;</w:t>
      </w:r>
    </w:p>
    <w:p w:rsidR="00DA49AC" w:rsidRDefault="00DA49AC" w:rsidP="004F43C2">
      <w:pPr>
        <w:jc w:val="both"/>
        <w:rPr>
          <w:sz w:val="24"/>
          <w:szCs w:val="24"/>
        </w:rPr>
      </w:pPr>
      <w:r>
        <w:rPr>
          <w:sz w:val="24"/>
          <w:szCs w:val="24"/>
        </w:rPr>
        <w:tab/>
        <w:t xml:space="preserve">Table 3 also reveals the growth in capital provided by rentiers over the second half of the nineteenth century.  First, the proportion of capital provided by gentlemen rises from 37.3 per cent in the 1850s/60s to 46.9 per cent in the 1900s.  Second, women only provided 2.9 per cent of capital in the 1850s/60s, but by the 1900s, they provide 19.7 per cent. Thus, the main finding which emerges from Table 3 is that rentiers become important as the century progresses, whilst businessmen and financiers become less important.   </w:t>
      </w:r>
    </w:p>
    <w:p w:rsidR="00DA49AC" w:rsidRDefault="00DA49AC" w:rsidP="004F43C2">
      <w:pPr>
        <w:jc w:val="both"/>
        <w:rPr>
          <w:sz w:val="24"/>
          <w:szCs w:val="24"/>
        </w:rPr>
      </w:pPr>
      <w:r>
        <w:rPr>
          <w:sz w:val="24"/>
          <w:szCs w:val="24"/>
        </w:rPr>
        <w:tab/>
        <w:t xml:space="preserve">The proportion of capital provided by the middle and working classes changes little over the century, but it is only with the arrival of low-denomination shares in the 1880s that the unskilled working class begin to invest in equity. It is also worthy to note that participation of investment trusts in equity investment only really emerges in the 1890s and 1900s.   </w:t>
      </w:r>
    </w:p>
    <w:p w:rsidR="00DA49AC" w:rsidRDefault="00DA49AC" w:rsidP="00892274">
      <w:pPr>
        <w:ind w:firstLine="720"/>
        <w:jc w:val="both"/>
        <w:rPr>
          <w:sz w:val="24"/>
          <w:szCs w:val="24"/>
        </w:rPr>
      </w:pPr>
      <w:r>
        <w:rPr>
          <w:sz w:val="24"/>
          <w:szCs w:val="24"/>
        </w:rPr>
        <w:t xml:space="preserve">Since some of the findings in Table 3 may be driven by a cohort effect (i.e., the netry of new companies and industries), in Table 4 we look at the subset of companies where we have more than one ownership census to see if the changes over the century are due to new firms.  As can be seen from Table 4, there is a median of 15 years between ownership censuses.  There are three changes which are worth commenting upon and which suggest that the findings of Table 3 are not being wholly driven by a cohort effect.  First, there is a noticeable increase in the proportion of capital provided by women as well as in the number of women investors.  Second, the increase in women investors and capital provided by women is counterbalanced by a fall in the number of and capital provided by businessmen.  Third, there is a slight increase in the number of and capital provided by the upper classes.  Notably, the increase in the number of shareholders in the upper classes is counterbalanced by a fall in the number of shareholders from the middle classes. Overall, these results suggest that the increase of women and fall in businessmen witnessed in Table 3 is not being driven by a cohort effect, whereas the growth in the upper classes is partially being driven by a cohort effect.  </w:t>
      </w:r>
    </w:p>
    <w:p w:rsidR="00DA49AC" w:rsidRDefault="00DA49AC" w:rsidP="00DD3A87">
      <w:pPr>
        <w:jc w:val="center"/>
        <w:rPr>
          <w:sz w:val="24"/>
          <w:szCs w:val="24"/>
        </w:rPr>
      </w:pPr>
      <w:r>
        <w:rPr>
          <w:sz w:val="24"/>
          <w:szCs w:val="24"/>
        </w:rPr>
        <w:t>&lt;&lt;Insert Table 4&gt;&gt;</w:t>
      </w:r>
    </w:p>
    <w:p w:rsidR="00DA49AC" w:rsidRDefault="00DA49AC" w:rsidP="00892274">
      <w:pPr>
        <w:ind w:firstLine="720"/>
        <w:jc w:val="both"/>
        <w:rPr>
          <w:sz w:val="24"/>
          <w:szCs w:val="24"/>
        </w:rPr>
      </w:pPr>
      <w:r>
        <w:rPr>
          <w:sz w:val="24"/>
          <w:szCs w:val="24"/>
        </w:rPr>
        <w:t xml:space="preserve">Table 5 shows the proportion of capital contributed by socio-occupational groups by industry classification, which was obtained from the </w:t>
      </w:r>
      <w:r w:rsidRPr="00892274">
        <w:rPr>
          <w:i/>
          <w:sz w:val="24"/>
          <w:szCs w:val="24"/>
        </w:rPr>
        <w:t>Stock Exchange Yearbook</w:t>
      </w:r>
      <w:r>
        <w:rPr>
          <w:sz w:val="24"/>
          <w:szCs w:val="24"/>
        </w:rPr>
        <w:t xml:space="preserve"> and </w:t>
      </w:r>
      <w:r w:rsidRPr="00892274">
        <w:rPr>
          <w:i/>
          <w:sz w:val="24"/>
          <w:szCs w:val="24"/>
        </w:rPr>
        <w:t>Stock Exchange Official Intelligence</w:t>
      </w:r>
      <w:r>
        <w:rPr>
          <w:sz w:val="24"/>
          <w:szCs w:val="24"/>
        </w:rPr>
        <w:t>. Three things are worthy of comment. First, a lot of the capital in mining companies, which were mainly foreign and colonial mines, was owned by gentlemen.  This could be because secretaries of mining companies simply described many merchants etc. as gentlemen. Alternatively, investing in these mines was attractive to high net-worth but yet inexperienced rentiers who were willing to take significant risks in the hope of making large returns.  Second, businessmen contributed relatively little capital to mines and utilities compared to other sectors. Businessmen may have avoided mines because they were sophisticated investors who recognised the dangers associated with investing in foreign mines.  Given that utilities were relatively safe investments, the low proportion of capital provided by businessmen may simply reflect their greater risk appetite. Third, women avoided mines, but seemed to prefer utilities and financials. Shares in these two sectors were relatively safe investments, which provided a steady dividend income, making them attractive to female rentiers.</w:t>
      </w:r>
      <w:r>
        <w:rPr>
          <w:rStyle w:val="FootnoteReference"/>
          <w:sz w:val="24"/>
          <w:szCs w:val="24"/>
        </w:rPr>
        <w:footnoteReference w:id="31"/>
      </w:r>
      <w:r>
        <w:rPr>
          <w:sz w:val="24"/>
          <w:szCs w:val="24"/>
        </w:rPr>
        <w:t xml:space="preserve">    </w:t>
      </w:r>
    </w:p>
    <w:p w:rsidR="00DA49AC" w:rsidRDefault="00DA49AC" w:rsidP="0020692F">
      <w:pPr>
        <w:jc w:val="center"/>
        <w:rPr>
          <w:sz w:val="24"/>
          <w:szCs w:val="24"/>
        </w:rPr>
      </w:pPr>
      <w:r>
        <w:rPr>
          <w:sz w:val="24"/>
          <w:szCs w:val="24"/>
        </w:rPr>
        <w:t>&lt;&lt;Insert Table 5&gt;&gt;</w:t>
      </w:r>
    </w:p>
    <w:p w:rsidR="00DA49AC" w:rsidRDefault="00DA49AC" w:rsidP="0020692F">
      <w:pPr>
        <w:jc w:val="both"/>
        <w:rPr>
          <w:sz w:val="24"/>
          <w:szCs w:val="24"/>
        </w:rPr>
      </w:pPr>
      <w:r>
        <w:rPr>
          <w:sz w:val="24"/>
          <w:szCs w:val="24"/>
        </w:rPr>
        <w:tab/>
        <w:t>Table 5 also shows the capital invested by different occupational groups in foreign and domestic companies.  Four things are worth noting.  First, businessmen held a greater proportion of capital in domestic companies than they did in foreign - 25.1 versus 10.6 per cent.</w:t>
      </w:r>
      <w:r>
        <w:rPr>
          <w:rStyle w:val="FootnoteReference"/>
          <w:sz w:val="24"/>
          <w:szCs w:val="24"/>
        </w:rPr>
        <w:footnoteReference w:id="32"/>
      </w:r>
      <w:r>
        <w:rPr>
          <w:sz w:val="24"/>
          <w:szCs w:val="24"/>
        </w:rPr>
        <w:t xml:space="preserve"> Second, gentlemen and esquires hold a greater proportion of capital in foreign companies versus domestic – 57.8 vs. 33.9 per cent. This is consistent with Davis and Huttenback’s finding that the elite pursued a different investment strategy to other groups and with Cain and Hopkin’s gentlemanly capitalists who placed their money overseas.</w:t>
      </w:r>
      <w:r>
        <w:rPr>
          <w:rStyle w:val="FootnoteReference"/>
          <w:sz w:val="24"/>
          <w:szCs w:val="24"/>
        </w:rPr>
        <w:footnoteReference w:id="33"/>
      </w:r>
      <w:r>
        <w:rPr>
          <w:sz w:val="24"/>
          <w:szCs w:val="24"/>
        </w:rPr>
        <w:t xml:space="preserve"> Third, women had a slightly greater proportion of capital in domestic companies, which could suggest risk aversion or local bias on the part of females.  Fourth, companies and investment trusts mainly invested in foreign companies, which is consistent with the focus of most investment trusts on foreign fixed-income securities.  Overall, the picture which emerges is one of an investment dichotomy – gentlemen rentiers invested in foreign companies whereas businessmen and women rentiers provided finance for indigenous companies.  </w:t>
      </w:r>
    </w:p>
    <w:p w:rsidR="00DA49AC" w:rsidRDefault="00DA49AC" w:rsidP="0020692F">
      <w:pPr>
        <w:jc w:val="both"/>
        <w:rPr>
          <w:sz w:val="24"/>
          <w:szCs w:val="24"/>
        </w:rPr>
      </w:pPr>
      <w:r>
        <w:rPr>
          <w:sz w:val="24"/>
          <w:szCs w:val="24"/>
        </w:rPr>
        <w:tab/>
        <w:t>In 48 company-years in our sample, firms had both preference and ordinary shares.  The proportions of capital invested by each socio-occupational group are in Table 6. Given that preference shares paid a fixed rate of dividend and were perceived as being safer, it is unsurprising that women had a slightly higher proportion of capital invested in them than in ordinary shares. This finding supports that of Rutterford et al. who find that female shareholders had a greater propensity to invest in preference rather than ordinary shares.</w:t>
      </w:r>
      <w:r>
        <w:rPr>
          <w:rStyle w:val="FootnoteReference"/>
          <w:sz w:val="24"/>
          <w:szCs w:val="24"/>
        </w:rPr>
        <w:footnoteReference w:id="34"/>
      </w:r>
      <w:r>
        <w:rPr>
          <w:sz w:val="24"/>
          <w:szCs w:val="24"/>
        </w:rPr>
        <w:t xml:space="preserve"> </w:t>
      </w:r>
      <w:r w:rsidRPr="001B1DC3">
        <w:rPr>
          <w:sz w:val="24"/>
          <w:szCs w:val="24"/>
        </w:rPr>
        <w:t>The reverse is the case for businessmen, which might indicate a greater risk appetite or less of</w:t>
      </w:r>
      <w:r>
        <w:rPr>
          <w:sz w:val="24"/>
          <w:szCs w:val="24"/>
        </w:rPr>
        <w:t xml:space="preserve"> a need for a fixed income.  Notably, rentiers from the upper class had roughly the same proportion of capital in each type of equity security.    </w:t>
      </w:r>
    </w:p>
    <w:p w:rsidR="00DA49AC" w:rsidRDefault="00DA49AC" w:rsidP="000E299D">
      <w:pPr>
        <w:jc w:val="center"/>
        <w:rPr>
          <w:sz w:val="24"/>
          <w:szCs w:val="24"/>
        </w:rPr>
      </w:pPr>
      <w:r>
        <w:rPr>
          <w:sz w:val="24"/>
          <w:szCs w:val="24"/>
        </w:rPr>
        <w:t>&lt;&lt;Insert Table 6&gt;&gt;</w:t>
      </w:r>
    </w:p>
    <w:p w:rsidR="00DA49AC" w:rsidRDefault="00DA49AC" w:rsidP="0020692F">
      <w:pPr>
        <w:jc w:val="both"/>
        <w:rPr>
          <w:sz w:val="24"/>
          <w:szCs w:val="24"/>
        </w:rPr>
      </w:pPr>
      <w:r>
        <w:rPr>
          <w:sz w:val="24"/>
          <w:szCs w:val="24"/>
        </w:rPr>
        <w:tab/>
        <w:t>In an attempt to see if certain occupational groups have a preference for the equities of companies headquartered and traded in London versus those which are headquartered and traded in the various regional markets,</w:t>
      </w:r>
      <w:r>
        <w:rPr>
          <w:rStyle w:val="FootnoteReference"/>
          <w:sz w:val="24"/>
          <w:szCs w:val="24"/>
        </w:rPr>
        <w:footnoteReference w:id="35"/>
      </w:r>
      <w:r>
        <w:rPr>
          <w:sz w:val="24"/>
          <w:szCs w:val="24"/>
        </w:rPr>
        <w:t xml:space="preserve"> we obtained information on the location of companies’ headquarters from the </w:t>
      </w:r>
      <w:r w:rsidRPr="00892274">
        <w:rPr>
          <w:i/>
          <w:sz w:val="24"/>
          <w:szCs w:val="24"/>
        </w:rPr>
        <w:t>Stock Exchange Yearbook</w:t>
      </w:r>
      <w:r>
        <w:rPr>
          <w:sz w:val="24"/>
          <w:szCs w:val="24"/>
        </w:rPr>
        <w:t xml:space="preserve"> and </w:t>
      </w:r>
      <w:r w:rsidRPr="00892274">
        <w:rPr>
          <w:i/>
          <w:sz w:val="24"/>
          <w:szCs w:val="24"/>
        </w:rPr>
        <w:t>Stock Exchange Official Intelligence</w:t>
      </w:r>
      <w:r>
        <w:rPr>
          <w:sz w:val="24"/>
          <w:szCs w:val="24"/>
        </w:rPr>
        <w:t xml:space="preserve">. These two sources as well as the </w:t>
      </w:r>
      <w:r w:rsidRPr="0038653A">
        <w:rPr>
          <w:i/>
          <w:sz w:val="24"/>
          <w:szCs w:val="24"/>
        </w:rPr>
        <w:t>Investor’s Monthly Manual</w:t>
      </w:r>
      <w:r>
        <w:rPr>
          <w:sz w:val="24"/>
          <w:szCs w:val="24"/>
        </w:rPr>
        <w:t xml:space="preserve"> were used to identify the stock markets where shares were chiefly dealt.  As some of the companies in our sample were established prior to the publication of the first </w:t>
      </w:r>
      <w:r w:rsidRPr="00892274">
        <w:rPr>
          <w:i/>
          <w:sz w:val="24"/>
          <w:szCs w:val="24"/>
        </w:rPr>
        <w:t>Stock Exchange Yearbook</w:t>
      </w:r>
      <w:r>
        <w:rPr>
          <w:sz w:val="24"/>
          <w:szCs w:val="24"/>
        </w:rPr>
        <w:t xml:space="preserve"> in 1875, we do not have this information for some companies in our sample.</w:t>
      </w:r>
    </w:p>
    <w:p w:rsidR="00DA49AC" w:rsidRDefault="00DA49AC" w:rsidP="0020692F">
      <w:pPr>
        <w:jc w:val="both"/>
        <w:rPr>
          <w:sz w:val="24"/>
          <w:szCs w:val="24"/>
        </w:rPr>
      </w:pPr>
      <w:r>
        <w:rPr>
          <w:sz w:val="24"/>
          <w:szCs w:val="24"/>
        </w:rPr>
        <w:tab/>
        <w:t>The first thing to note from Table 7 is that shares in some companies were traded on London as well as on provincial stock exchanges.</w:t>
      </w:r>
      <w:r>
        <w:rPr>
          <w:rStyle w:val="FootnoteReference"/>
          <w:sz w:val="24"/>
          <w:szCs w:val="24"/>
        </w:rPr>
        <w:footnoteReference w:id="36"/>
      </w:r>
      <w:r>
        <w:rPr>
          <w:sz w:val="24"/>
          <w:szCs w:val="24"/>
        </w:rPr>
        <w:t xml:space="preserve">  We also see that gentlemen and esquires provided a smaller proportion of capital for regional companies than they did for London-headquartered companies.  This finding is consistent with the fact that all foreign companies in our sample listed in London.  However, gentlemanly capitalists still provided 24.4 per cent of capital to regional companies which listed only on provincial stock exchanges.  </w:t>
      </w:r>
    </w:p>
    <w:p w:rsidR="00DA49AC" w:rsidRDefault="00DA49AC" w:rsidP="00175148">
      <w:pPr>
        <w:jc w:val="center"/>
        <w:rPr>
          <w:sz w:val="24"/>
          <w:szCs w:val="24"/>
        </w:rPr>
      </w:pPr>
      <w:r>
        <w:rPr>
          <w:sz w:val="24"/>
          <w:szCs w:val="24"/>
        </w:rPr>
        <w:tab/>
        <w:t>&lt;&lt;Insert Table 7&gt;&gt;</w:t>
      </w:r>
    </w:p>
    <w:p w:rsidR="00DA49AC" w:rsidRDefault="00DA49AC" w:rsidP="00CC2326">
      <w:pPr>
        <w:ind w:firstLine="720"/>
        <w:jc w:val="both"/>
        <w:rPr>
          <w:sz w:val="24"/>
          <w:szCs w:val="24"/>
        </w:rPr>
      </w:pPr>
      <w:r>
        <w:rPr>
          <w:sz w:val="24"/>
          <w:szCs w:val="24"/>
        </w:rPr>
        <w:t>Women provided a slightly greater proportion of capital to regional companies than they did to London-headquartered companies.  Businessmen, particularly manufacturers, provided substantially smaller proportions of capital to London-headquartered compared to regional companies. Thus, these findings suggest something of another investment dichotomy – gentlemen rentiers invested in London-based companies whereas businessmen provided finance for provincial companies.</w:t>
      </w:r>
    </w:p>
    <w:p w:rsidR="00DA49AC" w:rsidRDefault="00DA49AC" w:rsidP="00BC4B05">
      <w:pPr>
        <w:jc w:val="both"/>
        <w:rPr>
          <w:sz w:val="24"/>
          <w:szCs w:val="24"/>
        </w:rPr>
      </w:pPr>
    </w:p>
    <w:p w:rsidR="00DA49AC" w:rsidRDefault="00DA49AC" w:rsidP="00BC4B05">
      <w:pPr>
        <w:jc w:val="both"/>
        <w:rPr>
          <w:sz w:val="24"/>
          <w:szCs w:val="24"/>
        </w:rPr>
      </w:pPr>
    </w:p>
    <w:p w:rsidR="00DA49AC" w:rsidRPr="00805CF4" w:rsidRDefault="00DA49AC" w:rsidP="004F43C2">
      <w:pPr>
        <w:jc w:val="both"/>
        <w:rPr>
          <w:b/>
          <w:sz w:val="24"/>
          <w:szCs w:val="24"/>
        </w:rPr>
      </w:pPr>
      <w:r w:rsidRPr="00805CF4">
        <w:rPr>
          <w:b/>
          <w:sz w:val="24"/>
          <w:szCs w:val="24"/>
        </w:rPr>
        <w:t>4. Clientele effects</w:t>
      </w:r>
      <w:r>
        <w:rPr>
          <w:b/>
          <w:sz w:val="24"/>
          <w:szCs w:val="24"/>
        </w:rPr>
        <w:t xml:space="preserve"> – hypotheses, empirical strategy and data</w:t>
      </w:r>
    </w:p>
    <w:p w:rsidR="00DA49AC" w:rsidRDefault="00DA49AC" w:rsidP="00EA568F">
      <w:pPr>
        <w:jc w:val="both"/>
        <w:rPr>
          <w:sz w:val="24"/>
          <w:szCs w:val="24"/>
        </w:rPr>
      </w:pPr>
      <w:r>
        <w:rPr>
          <w:sz w:val="24"/>
          <w:szCs w:val="24"/>
        </w:rPr>
        <w:t xml:space="preserve">Having established who invested in the equity stocks of public companies, we now move on to consider if certain types of individual had preferences for investing in certain types of shares.  In particular, we consider company characteristics (i.e., firm size, firm age, board size and composition, foreign vs domestic firm, and provincial vs London firms) and share characteristics (i.e., marketability, dividends, risk, uncalled capital, and share denomination). </w:t>
      </w:r>
    </w:p>
    <w:p w:rsidR="00DA49AC" w:rsidRPr="00DC531F" w:rsidRDefault="00DA49AC" w:rsidP="00EA568F">
      <w:pPr>
        <w:jc w:val="both"/>
        <w:rPr>
          <w:b/>
          <w:sz w:val="24"/>
          <w:szCs w:val="24"/>
        </w:rPr>
      </w:pPr>
      <w:r>
        <w:rPr>
          <w:sz w:val="24"/>
          <w:szCs w:val="24"/>
        </w:rPr>
        <w:tab/>
        <w:t xml:space="preserve">We test various hypotheses for six broad categories of shareholders: businessmen, the upper classes, women, finance, the middle classes, and institutional investors (i.e., companies and investment trusts). We hypothesise that foreign and London-based companies will be preferred by the upper classes and institutional investors, whereas the opposite will be the case for businessmen. Given the greater risk aversion of women, we hypothesise that they will invest more in older companies, whereas businessmen and the upper classes will invest in younger and potentially more risky companies.  </w:t>
      </w:r>
    </w:p>
    <w:p w:rsidR="00DA49AC" w:rsidRDefault="00DA49AC" w:rsidP="00EA568F">
      <w:pPr>
        <w:jc w:val="both"/>
        <w:rPr>
          <w:sz w:val="24"/>
          <w:szCs w:val="24"/>
        </w:rPr>
      </w:pPr>
      <w:r>
        <w:rPr>
          <w:sz w:val="24"/>
          <w:szCs w:val="24"/>
        </w:rPr>
        <w:tab/>
        <w:t>According to Jefferys, during the era covered in this paper, a group of middle-class investors or rentiers emerged who cared only about a stock’s marketability, risk, and dividend.</w:t>
      </w:r>
      <w:r>
        <w:rPr>
          <w:rStyle w:val="FootnoteReference"/>
          <w:sz w:val="24"/>
          <w:szCs w:val="24"/>
        </w:rPr>
        <w:footnoteReference w:id="37"/>
      </w:r>
      <w:r>
        <w:rPr>
          <w:sz w:val="24"/>
          <w:szCs w:val="24"/>
        </w:rPr>
        <w:t xml:space="preserve">  We test this hypothesis by looking at whether middle-class and women investors tended to invest in companies which had marketable shares, were relatively safe, and paid a dividend. In particular, preference shares were attractive to these types of investors.</w:t>
      </w:r>
      <w:r>
        <w:rPr>
          <w:rStyle w:val="FootnoteReference"/>
          <w:sz w:val="24"/>
          <w:szCs w:val="24"/>
        </w:rPr>
        <w:footnoteReference w:id="38"/>
      </w:r>
      <w:r>
        <w:rPr>
          <w:sz w:val="24"/>
          <w:szCs w:val="24"/>
        </w:rPr>
        <w:t xml:space="preserve"> Jefferys also suggests that these investors were put off by high share denominations and uncalled capital.</w:t>
      </w:r>
      <w:r>
        <w:rPr>
          <w:rStyle w:val="FootnoteReference"/>
          <w:sz w:val="24"/>
          <w:szCs w:val="24"/>
        </w:rPr>
        <w:footnoteReference w:id="39"/>
      </w:r>
      <w:r>
        <w:rPr>
          <w:sz w:val="24"/>
          <w:szCs w:val="24"/>
        </w:rPr>
        <w:t xml:space="preserve"> Uncalled capital, whereby a portion of a share’s nominal value was unpaid and could be called up at the discretion of firm managers, would have been unattractive to risk-averse investors such as women and the moderately-wealthy middle classes.</w:t>
      </w:r>
      <w:r>
        <w:rPr>
          <w:rStyle w:val="FootnoteReference"/>
          <w:sz w:val="24"/>
          <w:szCs w:val="24"/>
        </w:rPr>
        <w:footnoteReference w:id="40"/>
      </w:r>
      <w:r>
        <w:rPr>
          <w:sz w:val="24"/>
          <w:szCs w:val="24"/>
        </w:rPr>
        <w:t xml:space="preserve"> High share denominations were disliked by the same group of investors because they were perceived to be less marketable and made portfolio diversification more difficult. Governance may have played a role in attracting certain types of investors, with larger boards and boards containing members of the nobility assuring inexperienced investors from the middle classes as to the quality of the company.</w:t>
      </w:r>
      <w:r>
        <w:rPr>
          <w:rStyle w:val="FootnoteReference"/>
          <w:sz w:val="24"/>
          <w:szCs w:val="24"/>
        </w:rPr>
        <w:footnoteReference w:id="41"/>
      </w:r>
    </w:p>
    <w:p w:rsidR="00DA49AC" w:rsidRDefault="00DA49AC" w:rsidP="00EA568F">
      <w:pPr>
        <w:jc w:val="both"/>
        <w:rPr>
          <w:sz w:val="24"/>
          <w:szCs w:val="24"/>
        </w:rPr>
      </w:pPr>
      <w:r>
        <w:rPr>
          <w:sz w:val="24"/>
          <w:szCs w:val="24"/>
        </w:rPr>
        <w:tab/>
        <w:t xml:space="preserve">In order to test the above hypotheses, we regress company and share characteristics on to the proportion of capital invested by each of these six broad investor groups as well as the proportion of investors from each group.  In terms of company characteristics, we examine whether (a) company age; (b) size; (c) being a family firm; (d) being a foreign firm; (e) size and composition of the board determine the proportion of capital invested by a shareholder group or the proportion of the shareholder constituency from a particular shareholder group.  In terms of share characteristics, we examine the following determinants: (a) whether a firm is a dividend payer or not; (b) a firm’s dividend yield as a rough proxy for risk; (c) marketability of shares as proxied firstly by the number of times over the past year that there was a change in the end-of-month share price, which suggests that trading occurred, and secondly by the number of markets where shares were listed; (d) whether a share was a preference share; (e)  the amount of uncalled capital attached to a share; and (f) a share’s denomination as measured by its par value. The data sources for and definitions of these variables can be found in Appendix Table 1. </w:t>
      </w:r>
    </w:p>
    <w:p w:rsidR="00DA49AC" w:rsidRDefault="00DA49AC" w:rsidP="00EA568F">
      <w:pPr>
        <w:jc w:val="both"/>
        <w:rPr>
          <w:sz w:val="24"/>
          <w:szCs w:val="24"/>
        </w:rPr>
      </w:pPr>
      <w:r>
        <w:rPr>
          <w:sz w:val="24"/>
          <w:szCs w:val="24"/>
        </w:rPr>
        <w:tab/>
        <w:t>We have four industry dummy variables in our regressions, which in the case of mines and utilities can be viewed as proxies for risk, with the former being perceived as being very risky and the latter being perceived as being safe. We also have control variables for the year in which the ownership census was taken and the total number of shareholders in a firm.  As the ownership records we use for our sample all come from companies which by definition ceased to exist, we control for any potential biases by having two variables which capture the ultimate fate of a firm - whether a firm merged (usually a non-performance reason for a firm’s cessation) and whether a firm was wound up by a court (a performance reason for a firm’s cessation).  We also control for the location of a firm’s head office by having three binary variables for London, Lancashire, and Yorkshire, which are the most common locations for headquarters. In addition, we have a control variable which is the distance between the company’s headquarters and the chief market where its shares are dealt. This variable acts as a proxy for whether a company is a local firm with shareholders located in the area. The data sources for and definitions of all of these variables can be found in Appendix Table 1.</w:t>
      </w:r>
    </w:p>
    <w:p w:rsidR="00DA49AC" w:rsidRDefault="00DA49AC" w:rsidP="00EA568F">
      <w:pPr>
        <w:jc w:val="both"/>
        <w:rPr>
          <w:sz w:val="24"/>
          <w:szCs w:val="24"/>
        </w:rPr>
      </w:pPr>
      <w:r>
        <w:rPr>
          <w:sz w:val="24"/>
          <w:szCs w:val="24"/>
        </w:rPr>
        <w:tab/>
        <w:t>As some firms had both preference and ordinary shares, we consider each share class as a separate observation in our regression analysis.  In other words, a preference share and an ordinary share from the same company enter our regressions individually.  Table 8 contains the summary statistics of our dependent and independent variables. In terms of our key independent variables, we note the following.  First, the mean company age (</w:t>
      </w:r>
      <w:r>
        <w:rPr>
          <w:i/>
          <w:sz w:val="24"/>
          <w:szCs w:val="24"/>
        </w:rPr>
        <w:t>A</w:t>
      </w:r>
      <w:r w:rsidRPr="004C1526">
        <w:rPr>
          <w:i/>
          <w:sz w:val="24"/>
          <w:szCs w:val="24"/>
        </w:rPr>
        <w:t>ge</w:t>
      </w:r>
      <w:r>
        <w:rPr>
          <w:sz w:val="24"/>
          <w:szCs w:val="24"/>
        </w:rPr>
        <w:t>) is 17.58 years and total par value (</w:t>
      </w:r>
      <w:r>
        <w:rPr>
          <w:i/>
          <w:sz w:val="24"/>
          <w:szCs w:val="24"/>
        </w:rPr>
        <w:t>S</w:t>
      </w:r>
      <w:r w:rsidRPr="004C1526">
        <w:rPr>
          <w:i/>
          <w:sz w:val="24"/>
          <w:szCs w:val="24"/>
        </w:rPr>
        <w:t>ize</w:t>
      </w:r>
      <w:r>
        <w:rPr>
          <w:sz w:val="24"/>
          <w:szCs w:val="24"/>
        </w:rPr>
        <w:t>) is close to £150,000, when converted from logs.  Second, 29 per cent of the equities in the sample are those of foreign firms, whereas 18 per cent are those of family firms. Third, 84 per cent of equities pay a dividend (</w:t>
      </w:r>
      <w:r w:rsidRPr="004B7F1F">
        <w:rPr>
          <w:i/>
          <w:sz w:val="24"/>
          <w:szCs w:val="24"/>
        </w:rPr>
        <w:t>DivPayer</w:t>
      </w:r>
      <w:r>
        <w:rPr>
          <w:sz w:val="24"/>
          <w:szCs w:val="24"/>
        </w:rPr>
        <w:t>) and the median dividend yield (</w:t>
      </w:r>
      <w:r w:rsidRPr="004B7F1F">
        <w:rPr>
          <w:i/>
          <w:sz w:val="24"/>
          <w:szCs w:val="24"/>
        </w:rPr>
        <w:t>DivYield</w:t>
      </w:r>
      <w:r>
        <w:rPr>
          <w:sz w:val="24"/>
          <w:szCs w:val="24"/>
        </w:rPr>
        <w:t xml:space="preserve">) at 5.71 per cent is high, perhaps suggesting that many of our equities were high risk.  Fourth, the median of our </w:t>
      </w:r>
      <w:r>
        <w:rPr>
          <w:i/>
          <w:sz w:val="24"/>
          <w:szCs w:val="24"/>
        </w:rPr>
        <w:t>L</w:t>
      </w:r>
      <w:r w:rsidRPr="004B7F1F">
        <w:rPr>
          <w:i/>
          <w:sz w:val="24"/>
          <w:szCs w:val="24"/>
        </w:rPr>
        <w:t>iquidity</w:t>
      </w:r>
      <w:r>
        <w:rPr>
          <w:sz w:val="24"/>
          <w:szCs w:val="24"/>
        </w:rPr>
        <w:t xml:space="preserve"> variable is 0.42, which means that the end-of-month share price for the median equity changed 42 per cent of the months over the previous year, suggesting that many of our equities were illiquid.  This is further evidenced by the fact that the median of our </w:t>
      </w:r>
      <w:r w:rsidRPr="004B7F1F">
        <w:rPr>
          <w:i/>
          <w:sz w:val="24"/>
          <w:szCs w:val="24"/>
        </w:rPr>
        <w:t>NumMarkets</w:t>
      </w:r>
      <w:r>
        <w:rPr>
          <w:sz w:val="24"/>
          <w:szCs w:val="24"/>
        </w:rPr>
        <w:t xml:space="preserve"> variable is one, which means that the median equity in our sample only traded on one stock market.  Fifth, in terms of share denomination (</w:t>
      </w:r>
      <w:r w:rsidRPr="004B7F1F">
        <w:rPr>
          <w:i/>
          <w:sz w:val="24"/>
          <w:szCs w:val="24"/>
        </w:rPr>
        <w:t>ShareParValue</w:t>
      </w:r>
      <w:r>
        <w:rPr>
          <w:sz w:val="24"/>
          <w:szCs w:val="24"/>
        </w:rPr>
        <w:t>) the mean is £10.76 and in terms of uncalled capital (</w:t>
      </w:r>
      <w:r w:rsidRPr="004B7F1F">
        <w:rPr>
          <w:i/>
          <w:sz w:val="24"/>
          <w:szCs w:val="24"/>
        </w:rPr>
        <w:t>ShareUncalled</w:t>
      </w:r>
      <w:r>
        <w:rPr>
          <w:sz w:val="24"/>
          <w:szCs w:val="24"/>
        </w:rPr>
        <w:t xml:space="preserve">) the average is £13.69.  Sixth, as indicated by the statistics for the </w:t>
      </w:r>
      <w:r>
        <w:rPr>
          <w:i/>
          <w:sz w:val="24"/>
          <w:szCs w:val="24"/>
        </w:rPr>
        <w:t>P</w:t>
      </w:r>
      <w:r w:rsidRPr="004C1526">
        <w:rPr>
          <w:i/>
          <w:sz w:val="24"/>
          <w:szCs w:val="24"/>
        </w:rPr>
        <w:t>reference</w:t>
      </w:r>
      <w:r>
        <w:rPr>
          <w:sz w:val="24"/>
          <w:szCs w:val="24"/>
        </w:rPr>
        <w:t xml:space="preserve"> variable, nine per cent of the equities in the sample are preference shares. Seventh, the average number of directors in a firm was 6.13, and 36 per cent of firms had at least one director who was a member of the nobility.</w:t>
      </w:r>
    </w:p>
    <w:p w:rsidR="00DA49AC" w:rsidRDefault="00DA49AC" w:rsidP="00520F9D">
      <w:pPr>
        <w:jc w:val="center"/>
        <w:rPr>
          <w:sz w:val="24"/>
          <w:szCs w:val="24"/>
        </w:rPr>
      </w:pPr>
      <w:r>
        <w:rPr>
          <w:sz w:val="24"/>
          <w:szCs w:val="24"/>
        </w:rPr>
        <w:t>&lt;&lt;Insert Table 8&gt;&gt;</w:t>
      </w:r>
    </w:p>
    <w:p w:rsidR="00DA49AC" w:rsidRPr="00D3498D" w:rsidRDefault="00DA49AC" w:rsidP="00D3498D">
      <w:pPr>
        <w:jc w:val="center"/>
        <w:rPr>
          <w:sz w:val="24"/>
          <w:szCs w:val="24"/>
        </w:rPr>
      </w:pPr>
    </w:p>
    <w:p w:rsidR="00DA49AC" w:rsidRPr="00805CF4" w:rsidRDefault="00DA49AC" w:rsidP="001113E7">
      <w:pPr>
        <w:jc w:val="both"/>
        <w:rPr>
          <w:b/>
          <w:sz w:val="24"/>
          <w:szCs w:val="24"/>
        </w:rPr>
      </w:pPr>
      <w:r>
        <w:rPr>
          <w:b/>
          <w:sz w:val="24"/>
          <w:szCs w:val="24"/>
        </w:rPr>
        <w:t>5</w:t>
      </w:r>
      <w:r w:rsidRPr="00805CF4">
        <w:rPr>
          <w:b/>
          <w:sz w:val="24"/>
          <w:szCs w:val="24"/>
        </w:rPr>
        <w:t>. Clientele effects</w:t>
      </w:r>
      <w:r>
        <w:rPr>
          <w:b/>
          <w:sz w:val="24"/>
          <w:szCs w:val="24"/>
        </w:rPr>
        <w:t xml:space="preserve"> – results</w:t>
      </w:r>
    </w:p>
    <w:p w:rsidR="00DA49AC" w:rsidRDefault="00DA49AC" w:rsidP="00FE09FB">
      <w:pPr>
        <w:jc w:val="both"/>
        <w:rPr>
          <w:sz w:val="24"/>
          <w:szCs w:val="24"/>
        </w:rPr>
      </w:pPr>
      <w:r>
        <w:rPr>
          <w:sz w:val="24"/>
          <w:szCs w:val="24"/>
        </w:rPr>
        <w:t xml:space="preserve">We can see from Table 8 that there are a smaller number of observations for our dividend and liquidity variables.  Consequently, we run two regression specifications – one for the complete sample from which these variables are excluded and one for the subset of equities where we have this data.  The regression results for the complete sample are in Table 9 and the regression results for smaller sample are in in Table 10.  In both these tables, the proportions of capital contributed by each of the socio-occupational groups are the dependent variables. </w:t>
      </w:r>
    </w:p>
    <w:p w:rsidR="00DA49AC" w:rsidRDefault="00DA49AC" w:rsidP="00BD6069">
      <w:pPr>
        <w:jc w:val="center"/>
        <w:rPr>
          <w:sz w:val="24"/>
          <w:szCs w:val="24"/>
        </w:rPr>
      </w:pPr>
      <w:r>
        <w:rPr>
          <w:sz w:val="24"/>
          <w:szCs w:val="24"/>
        </w:rPr>
        <w:t>&lt;&lt;Insert Tables 9 and 10&gt;&gt;</w:t>
      </w:r>
    </w:p>
    <w:p w:rsidR="00DA49AC" w:rsidRDefault="00DA49AC" w:rsidP="00B432E9">
      <w:pPr>
        <w:ind w:firstLine="720"/>
        <w:jc w:val="both"/>
        <w:rPr>
          <w:sz w:val="24"/>
          <w:szCs w:val="24"/>
        </w:rPr>
      </w:pPr>
      <w:r>
        <w:rPr>
          <w:sz w:val="24"/>
          <w:szCs w:val="24"/>
        </w:rPr>
        <w:t>In terms of company age (</w:t>
      </w:r>
      <w:r w:rsidRPr="003B63F3">
        <w:rPr>
          <w:i/>
          <w:sz w:val="24"/>
          <w:szCs w:val="24"/>
        </w:rPr>
        <w:t>Age</w:t>
      </w:r>
      <w:r>
        <w:rPr>
          <w:sz w:val="24"/>
          <w:szCs w:val="24"/>
        </w:rPr>
        <w:t>), the main findings which emerge from Tables 9 and 10  are that women invest a relatively higher proportion in older companies, whereas businessmen invest a relatively higher proportion of capital in younger companies. This finding may reflect risk preferences, with younger companies being perceived as riskier and therefore less attractive to women investors who tend to be more risk averse, but more attractive to businessmen who tend to be more risk loving.</w:t>
      </w:r>
      <w:r>
        <w:rPr>
          <w:rStyle w:val="FootnoteReference"/>
          <w:sz w:val="24"/>
          <w:szCs w:val="24"/>
        </w:rPr>
        <w:footnoteReference w:id="42"/>
      </w:r>
      <w:r>
        <w:rPr>
          <w:sz w:val="24"/>
          <w:szCs w:val="24"/>
        </w:rPr>
        <w:t xml:space="preserve"> This is consistent with studies of bank shareholders which have found that women shareholders invested more as banks got older.</w:t>
      </w:r>
      <w:r>
        <w:rPr>
          <w:rStyle w:val="FootnoteReference"/>
          <w:sz w:val="24"/>
          <w:szCs w:val="24"/>
        </w:rPr>
        <w:footnoteReference w:id="43"/>
      </w:r>
      <w:r>
        <w:rPr>
          <w:sz w:val="24"/>
          <w:szCs w:val="24"/>
        </w:rPr>
        <w:t xml:space="preserve"> </w:t>
      </w:r>
    </w:p>
    <w:p w:rsidR="00DA49AC" w:rsidRDefault="00DA49AC" w:rsidP="00604B5D">
      <w:pPr>
        <w:jc w:val="both"/>
        <w:rPr>
          <w:sz w:val="24"/>
          <w:szCs w:val="24"/>
        </w:rPr>
      </w:pPr>
      <w:r>
        <w:rPr>
          <w:sz w:val="24"/>
          <w:szCs w:val="24"/>
        </w:rPr>
        <w:tab/>
        <w:t xml:space="preserve"> From Tables 9 and 10, company size (</w:t>
      </w:r>
      <w:r w:rsidRPr="003B63F3">
        <w:rPr>
          <w:i/>
          <w:sz w:val="24"/>
          <w:szCs w:val="24"/>
        </w:rPr>
        <w:t>Size</w:t>
      </w:r>
      <w:r>
        <w:rPr>
          <w:sz w:val="24"/>
          <w:szCs w:val="24"/>
        </w:rPr>
        <w:t xml:space="preserve">) is a determinant of the proportion of capital contributed by the upper classes and middle classes.  In the case of the former, the larger the firm, the larger the proportion invested by the upper classes, and in the case of the latter, the smaller the firm, the larger the proportion invested by the middle classes. This finding could simply reflect the possibility that larger firms were more likely to report the socio-occupational status of professionals as gentleman or esquire whereas smaller firms did not do this. Notably, size is not a determinant of the proportion of capital invested by women. </w:t>
      </w:r>
    </w:p>
    <w:p w:rsidR="00DA49AC" w:rsidRDefault="00DA49AC" w:rsidP="00604B5D">
      <w:pPr>
        <w:jc w:val="both"/>
        <w:rPr>
          <w:sz w:val="24"/>
          <w:szCs w:val="24"/>
        </w:rPr>
      </w:pPr>
      <w:r>
        <w:rPr>
          <w:sz w:val="24"/>
          <w:szCs w:val="24"/>
        </w:rPr>
        <w:tab/>
        <w:t>The results in Tables 9 and 10 for foreign firms (</w:t>
      </w:r>
      <w:r w:rsidRPr="00A61520">
        <w:rPr>
          <w:i/>
          <w:sz w:val="24"/>
          <w:szCs w:val="24"/>
        </w:rPr>
        <w:t>ForeignFirm</w:t>
      </w:r>
      <w:r>
        <w:rPr>
          <w:sz w:val="24"/>
          <w:szCs w:val="24"/>
        </w:rPr>
        <w:t xml:space="preserve">) suggest that financiers and institutional investors were more likely to invest a large proportion of their capital in foreign firms, which is not surprising given that foreign and colonial markets were the focus of many investment trusts.  However, businessmen, and the middle classes held a smaller proportion of capital in foreign firms than domestic firms. </w:t>
      </w:r>
    </w:p>
    <w:p w:rsidR="00DA49AC" w:rsidRDefault="00DA49AC" w:rsidP="00DC531F">
      <w:pPr>
        <w:ind w:firstLine="720"/>
        <w:jc w:val="both"/>
        <w:rPr>
          <w:sz w:val="24"/>
          <w:szCs w:val="24"/>
        </w:rPr>
      </w:pPr>
      <w:r>
        <w:rPr>
          <w:sz w:val="24"/>
          <w:szCs w:val="24"/>
        </w:rPr>
        <w:t xml:space="preserve">In terms of preference shares, the coefficient on the </w:t>
      </w:r>
      <w:r w:rsidRPr="00165F2A">
        <w:rPr>
          <w:i/>
          <w:sz w:val="24"/>
          <w:szCs w:val="24"/>
        </w:rPr>
        <w:t>Preference</w:t>
      </w:r>
      <w:r>
        <w:rPr>
          <w:sz w:val="24"/>
          <w:szCs w:val="24"/>
        </w:rPr>
        <w:t xml:space="preserve"> variable in Tables 9 and 10 suggest that women and the middle classes invest relatively more capital in preference shares than in ordinary shares, showing their desire for fixed income and low risk. On the other hand, the results suggest that financiers and institutional investors invest a smaller proportion of capital in preference shares. In terms of uncalled capital (</w:t>
      </w:r>
      <w:r w:rsidRPr="00715A70">
        <w:rPr>
          <w:i/>
          <w:sz w:val="24"/>
          <w:szCs w:val="24"/>
        </w:rPr>
        <w:t>ShareUncalled</w:t>
      </w:r>
      <w:r>
        <w:rPr>
          <w:sz w:val="24"/>
          <w:szCs w:val="24"/>
        </w:rPr>
        <w:t xml:space="preserve">), the regressions suggest that women invest less capital in shares with uncalled capital, possibly due to the greater risk associated with such investments. </w:t>
      </w:r>
    </w:p>
    <w:p w:rsidR="00DA49AC" w:rsidRDefault="00DA49AC" w:rsidP="00B432E9">
      <w:pPr>
        <w:jc w:val="both"/>
        <w:rPr>
          <w:sz w:val="24"/>
          <w:szCs w:val="24"/>
        </w:rPr>
      </w:pPr>
      <w:r>
        <w:rPr>
          <w:sz w:val="24"/>
          <w:szCs w:val="24"/>
        </w:rPr>
        <w:tab/>
        <w:t>The industry dummy variables in Tables 9 and 10 reveal that mines were preferred by the upper classes, but women and the middle classes invested a smaller proportion in mines than in other sectors, whilst institutional investors appear to have had a preference for breweries.</w:t>
      </w:r>
    </w:p>
    <w:p w:rsidR="00DA49AC" w:rsidRDefault="00DA49AC" w:rsidP="00BD6069">
      <w:pPr>
        <w:jc w:val="both"/>
        <w:rPr>
          <w:sz w:val="24"/>
          <w:szCs w:val="24"/>
        </w:rPr>
      </w:pPr>
      <w:r w:rsidRPr="00BD6069">
        <w:rPr>
          <w:sz w:val="24"/>
          <w:szCs w:val="24"/>
        </w:rPr>
        <w:tab/>
      </w:r>
      <w:r>
        <w:rPr>
          <w:sz w:val="24"/>
          <w:szCs w:val="24"/>
        </w:rPr>
        <w:t xml:space="preserve">The coefficients on the </w:t>
      </w:r>
      <w:r w:rsidRPr="008259A1">
        <w:rPr>
          <w:i/>
          <w:sz w:val="24"/>
          <w:szCs w:val="24"/>
        </w:rPr>
        <w:t>DivPayer</w:t>
      </w:r>
      <w:r>
        <w:rPr>
          <w:sz w:val="24"/>
          <w:szCs w:val="24"/>
        </w:rPr>
        <w:t xml:space="preserve"> variable in the various regressions suggest that women invest proportionally more in dividend-paying firms than in non-dividend-paying firms, highlighting the importance of dividends to the income of many middle-class women in the Victorian era.  Notably, however, the higher the dividend yield, the lower the proportion invested by women.  As high dividend yields may be a proxy for high risk, this finding suggests that women may have favoured low-risk shares.</w:t>
      </w:r>
    </w:p>
    <w:p w:rsidR="00DA49AC" w:rsidRDefault="00DA49AC" w:rsidP="00165F2A">
      <w:pPr>
        <w:ind w:firstLine="720"/>
        <w:jc w:val="both"/>
        <w:rPr>
          <w:sz w:val="24"/>
          <w:szCs w:val="24"/>
        </w:rPr>
      </w:pPr>
      <w:r>
        <w:rPr>
          <w:sz w:val="24"/>
          <w:szCs w:val="24"/>
        </w:rPr>
        <w:t xml:space="preserve">The coefficients on the </w:t>
      </w:r>
      <w:r w:rsidRPr="00FF4BE2">
        <w:rPr>
          <w:i/>
          <w:sz w:val="24"/>
          <w:szCs w:val="24"/>
        </w:rPr>
        <w:t>Liquidity</w:t>
      </w:r>
      <w:r>
        <w:rPr>
          <w:sz w:val="24"/>
          <w:szCs w:val="24"/>
        </w:rPr>
        <w:t xml:space="preserve"> variable suggest that financiers invest more in liquid stocks whereas the upper class invests less in liquid stocks.  Financiers may have had a greater propensity to speculate and hence trade, making share liquidity an attractive feature for them.  On the other hand, the upper class were the stereotypical buy-and-hold rentier who traded infrequently. </w:t>
      </w:r>
    </w:p>
    <w:p w:rsidR="00DA49AC" w:rsidRDefault="00DA49AC" w:rsidP="00B432E9">
      <w:pPr>
        <w:ind w:firstLine="720"/>
        <w:jc w:val="both"/>
        <w:rPr>
          <w:sz w:val="24"/>
          <w:szCs w:val="24"/>
        </w:rPr>
      </w:pPr>
      <w:r>
        <w:rPr>
          <w:sz w:val="24"/>
          <w:szCs w:val="24"/>
        </w:rPr>
        <w:t>In terms of family firms (</w:t>
      </w:r>
      <w:r w:rsidRPr="00F56DB1">
        <w:rPr>
          <w:i/>
          <w:sz w:val="24"/>
          <w:szCs w:val="24"/>
        </w:rPr>
        <w:t>FamilyFirm</w:t>
      </w:r>
      <w:r>
        <w:rPr>
          <w:sz w:val="24"/>
          <w:szCs w:val="24"/>
        </w:rPr>
        <w:t>), the results in Tables 9 and 10 suggest that the upper and middle classes invested less in such firms whereas businessmen invested more.  This finding is consistent with the view that the upper classes shunned family-controlled industrial companies.  Businessmen may have invested relatively more in family firms because they had superior knowledge about such firms through local business networks, or they may have been members of the founding family themselves.</w:t>
      </w:r>
    </w:p>
    <w:p w:rsidR="00DA49AC" w:rsidRDefault="00DA49AC" w:rsidP="00B432E9">
      <w:pPr>
        <w:ind w:firstLine="720"/>
        <w:jc w:val="both"/>
        <w:rPr>
          <w:sz w:val="24"/>
          <w:szCs w:val="24"/>
        </w:rPr>
      </w:pPr>
      <w:r>
        <w:rPr>
          <w:sz w:val="24"/>
          <w:szCs w:val="24"/>
        </w:rPr>
        <w:t>The governance of the firm also appears to have had some influence on ownership clienteles. Institutional investors, and the middle classes, tended to invest in firms with more directors (</w:t>
      </w:r>
      <w:r w:rsidRPr="00DC531F">
        <w:rPr>
          <w:i/>
          <w:sz w:val="24"/>
          <w:szCs w:val="24"/>
        </w:rPr>
        <w:t>NumDirectors</w:t>
      </w:r>
      <w:r>
        <w:rPr>
          <w:sz w:val="24"/>
          <w:szCs w:val="24"/>
        </w:rPr>
        <w:t>), but the upper classes and women invested where there were fewer directors. There is no suggestion in these results that rentier investors, particularly women, were assured by the presence of larger boards.  Notably, businessmen were less likely to invest in firms where there was a member of the nobility on the board (</w:t>
      </w:r>
      <w:r w:rsidRPr="00DC531F">
        <w:rPr>
          <w:i/>
          <w:sz w:val="24"/>
          <w:szCs w:val="24"/>
        </w:rPr>
        <w:t>DirectorsNobility</w:t>
      </w:r>
      <w:r>
        <w:rPr>
          <w:sz w:val="24"/>
          <w:szCs w:val="24"/>
        </w:rPr>
        <w:t>), indicating that they saw that these directors were ornamental and possibly undermined company performance.</w:t>
      </w:r>
      <w:r>
        <w:rPr>
          <w:rStyle w:val="FootnoteReference"/>
          <w:sz w:val="24"/>
          <w:szCs w:val="24"/>
        </w:rPr>
        <w:footnoteReference w:id="44"/>
      </w:r>
      <w:r>
        <w:rPr>
          <w:sz w:val="24"/>
          <w:szCs w:val="24"/>
        </w:rPr>
        <w:t xml:space="preserve"> </w:t>
      </w:r>
    </w:p>
    <w:p w:rsidR="00DA49AC" w:rsidRDefault="00DA49AC" w:rsidP="00B432E9">
      <w:pPr>
        <w:ind w:firstLine="720"/>
        <w:jc w:val="both"/>
        <w:rPr>
          <w:sz w:val="24"/>
          <w:szCs w:val="24"/>
        </w:rPr>
      </w:pPr>
      <w:r>
        <w:rPr>
          <w:sz w:val="24"/>
          <w:szCs w:val="24"/>
        </w:rPr>
        <w:t xml:space="preserve">In terms of location of firm, businessmen were less likely to invest in London-headquartered firms whereas the upper classes were more likely.  This may simply reflect the fact that many businessmen lived outside of London and invested in local firms, whereas the majority of the upper classes lived in or near London. </w:t>
      </w:r>
    </w:p>
    <w:p w:rsidR="00DA49AC" w:rsidRDefault="00DA49AC" w:rsidP="006C0CE5">
      <w:pPr>
        <w:ind w:firstLine="720"/>
        <w:jc w:val="both"/>
        <w:rPr>
          <w:sz w:val="24"/>
          <w:szCs w:val="24"/>
        </w:rPr>
      </w:pPr>
      <w:r>
        <w:rPr>
          <w:sz w:val="24"/>
          <w:szCs w:val="24"/>
        </w:rPr>
        <w:t xml:space="preserve">Because in some cases gentlemen and esquires may be inaccurate descriptions of someone’s occupational background and because they contribute a large proportion of the investment capital in many companies, we look at the determinants of the proportion of capital owned by various socio-occupational groups as a proportion of the capital not held by gentlemen and esquires.  The results of this robustness check are reported in Table 11.  </w:t>
      </w:r>
    </w:p>
    <w:p w:rsidR="00DA49AC" w:rsidRDefault="00DA49AC" w:rsidP="00DC531F">
      <w:pPr>
        <w:jc w:val="center"/>
        <w:rPr>
          <w:sz w:val="24"/>
          <w:szCs w:val="24"/>
        </w:rPr>
      </w:pPr>
      <w:r>
        <w:rPr>
          <w:sz w:val="24"/>
          <w:szCs w:val="24"/>
        </w:rPr>
        <w:t>&lt;&lt;Insert Table 11&gt;&gt;</w:t>
      </w:r>
    </w:p>
    <w:p w:rsidR="00DA49AC" w:rsidRDefault="00DA49AC" w:rsidP="00240847">
      <w:pPr>
        <w:ind w:firstLine="720"/>
        <w:jc w:val="both"/>
        <w:rPr>
          <w:sz w:val="24"/>
          <w:szCs w:val="24"/>
        </w:rPr>
      </w:pPr>
      <w:r>
        <w:rPr>
          <w:sz w:val="24"/>
          <w:szCs w:val="24"/>
        </w:rPr>
        <w:t xml:space="preserve">The results discussed above remain generally the same, with a few exceptions. </w:t>
      </w:r>
      <w:r w:rsidRPr="00B510BA">
        <w:rPr>
          <w:sz w:val="24"/>
          <w:szCs w:val="24"/>
        </w:rPr>
        <w:t>In Table 1</w:t>
      </w:r>
      <w:r>
        <w:rPr>
          <w:sz w:val="24"/>
          <w:szCs w:val="24"/>
        </w:rPr>
        <w:t>1</w:t>
      </w:r>
      <w:r w:rsidRPr="00DC531F">
        <w:rPr>
          <w:sz w:val="24"/>
          <w:szCs w:val="24"/>
        </w:rPr>
        <w:t>, when gentlemen and esquires are excluded, we see that businessmen invest proportionally less in dividend payers. Unlike women investors, businessmen were less interested in the income provided by an investment given they were earning money from their businesses. The</w:t>
      </w:r>
      <w:r>
        <w:rPr>
          <w:sz w:val="24"/>
          <w:szCs w:val="24"/>
        </w:rPr>
        <w:t xml:space="preserve"> mining</w:t>
      </w:r>
      <w:r w:rsidRPr="00633482">
        <w:rPr>
          <w:sz w:val="24"/>
          <w:szCs w:val="24"/>
        </w:rPr>
        <w:t xml:space="preserve"> industry dumm</w:t>
      </w:r>
      <w:r>
        <w:rPr>
          <w:sz w:val="24"/>
          <w:szCs w:val="24"/>
        </w:rPr>
        <w:t xml:space="preserve">y is also </w:t>
      </w:r>
      <w:r w:rsidRPr="00B510BA">
        <w:rPr>
          <w:sz w:val="24"/>
          <w:szCs w:val="24"/>
        </w:rPr>
        <w:t xml:space="preserve">not </w:t>
      </w:r>
      <w:r>
        <w:rPr>
          <w:sz w:val="24"/>
          <w:szCs w:val="24"/>
        </w:rPr>
        <w:t>significant</w:t>
      </w:r>
      <w:r w:rsidRPr="00DC531F">
        <w:rPr>
          <w:sz w:val="24"/>
          <w:szCs w:val="24"/>
        </w:rPr>
        <w:t xml:space="preserve"> once we eliminate gentlemen and esqu</w:t>
      </w:r>
      <w:r w:rsidRPr="00B510BA">
        <w:rPr>
          <w:sz w:val="24"/>
          <w:szCs w:val="24"/>
        </w:rPr>
        <w:t>ires from our analysis (Table 1</w:t>
      </w:r>
      <w:r>
        <w:rPr>
          <w:sz w:val="24"/>
          <w:szCs w:val="24"/>
        </w:rPr>
        <w:t>1</w:t>
      </w:r>
      <w:r w:rsidRPr="00DC531F">
        <w:rPr>
          <w:sz w:val="24"/>
          <w:szCs w:val="24"/>
        </w:rPr>
        <w:t>).</w:t>
      </w:r>
      <w:r>
        <w:rPr>
          <w:sz w:val="24"/>
          <w:szCs w:val="24"/>
        </w:rPr>
        <w:t xml:space="preserve"> For the upper classes, the variables for family firms, and London head offices are no longer significant, and for the middle classes the foreign firm variable is not significant.  We also rerun the regressions, but do not tabulate them here, excluding all companies where gentlemen and esquires made up more than 66 per cent of investors, and the conclusions remain similar.</w:t>
      </w:r>
    </w:p>
    <w:p w:rsidR="00DA49AC" w:rsidRDefault="00DA49AC" w:rsidP="00240847">
      <w:pPr>
        <w:ind w:firstLine="720"/>
        <w:jc w:val="both"/>
        <w:rPr>
          <w:sz w:val="24"/>
          <w:szCs w:val="24"/>
        </w:rPr>
      </w:pPr>
      <w:r w:rsidRPr="00BD6069">
        <w:rPr>
          <w:sz w:val="24"/>
          <w:szCs w:val="24"/>
        </w:rPr>
        <w:t xml:space="preserve">Thus far, we have been looking at the determinants of </w:t>
      </w:r>
      <w:r>
        <w:rPr>
          <w:sz w:val="24"/>
          <w:szCs w:val="24"/>
        </w:rPr>
        <w:t xml:space="preserve">the proportion of capital invested by various socio-occupational groups.  In Table 12, the dependent variables are the portion of investors in each socio-occupational grouping.  Most of the results in Table 12 are consistent with what we found when the proportion of capital invested by various socio-occupational groups were the dependent variables.  This is not necessarily surprising given that, apart from institutional investors, there is a close correlation between the number of investors and the proportion invested (see Table 2). However, there are a few notable differences.  For example, if a firm is a dividend payer, fewer from the middle class will invest in it, and fewer from the middle class and fewer women invest in mines. </w:t>
      </w:r>
    </w:p>
    <w:p w:rsidR="00DA49AC" w:rsidRPr="00BD6069" w:rsidRDefault="00DA49AC" w:rsidP="00DC531F">
      <w:pPr>
        <w:jc w:val="center"/>
        <w:rPr>
          <w:sz w:val="24"/>
          <w:szCs w:val="24"/>
        </w:rPr>
      </w:pPr>
      <w:r>
        <w:rPr>
          <w:sz w:val="24"/>
          <w:szCs w:val="24"/>
        </w:rPr>
        <w:t>&lt;&lt;Insert Table 12&gt;&gt;</w:t>
      </w:r>
    </w:p>
    <w:p w:rsidR="00DA49AC" w:rsidRDefault="00DA49AC" w:rsidP="00A77FDD">
      <w:pPr>
        <w:jc w:val="both"/>
        <w:rPr>
          <w:sz w:val="24"/>
          <w:szCs w:val="24"/>
        </w:rPr>
      </w:pPr>
      <w:r>
        <w:rPr>
          <w:b/>
          <w:sz w:val="24"/>
          <w:szCs w:val="24"/>
        </w:rPr>
        <w:tab/>
      </w:r>
      <w:r>
        <w:rPr>
          <w:sz w:val="24"/>
          <w:szCs w:val="24"/>
        </w:rPr>
        <w:t xml:space="preserve">The overall picture which emerges from our regression analysis for the four largest groupings of investors (the upper class, women, businessmen, and the middle class) is as follows.  The upper classes exhibited a preference for large firms and tended to invest more heavily in firms listed in London, but not in firms which were family owned.  The upper classes also had a preference for mines and relatively illiquid shares, which suggests that as a class they may have been buy-and-hold investors with an appetite for risk.     </w:t>
      </w:r>
    </w:p>
    <w:p w:rsidR="00DA49AC" w:rsidRDefault="00DA49AC" w:rsidP="00C13182">
      <w:pPr>
        <w:ind w:firstLine="720"/>
        <w:jc w:val="both"/>
        <w:rPr>
          <w:sz w:val="24"/>
          <w:szCs w:val="24"/>
        </w:rPr>
      </w:pPr>
      <w:r>
        <w:rPr>
          <w:sz w:val="24"/>
          <w:szCs w:val="24"/>
        </w:rPr>
        <w:t>Women investors tended to focus more on equities which were relatively safe – they shunned young and non-dividend-paying firms as well as mining companies, shares with uncalled capital, and shares with a high dividend yield. However, the marketability of shares does not seem to have been a consideration for women, possibly because they were the stereotypical buy-and-hold investors and thus cared less about stock liquidity.</w:t>
      </w:r>
      <w:r>
        <w:rPr>
          <w:rStyle w:val="FootnoteReference"/>
          <w:sz w:val="24"/>
          <w:szCs w:val="24"/>
        </w:rPr>
        <w:footnoteReference w:id="45"/>
      </w:r>
      <w:r>
        <w:rPr>
          <w:sz w:val="24"/>
          <w:szCs w:val="24"/>
        </w:rPr>
        <w:t xml:space="preserve"> Therefore, the Jefferys hypothesis that such rentier investors preferred fully-paid and marketable stocks is not fully supported in that although women investors preferred fully-paid shares, they had no preferences with regards to stock marketability.</w:t>
      </w:r>
      <w:r>
        <w:rPr>
          <w:rStyle w:val="FootnoteReference"/>
          <w:sz w:val="24"/>
          <w:szCs w:val="24"/>
        </w:rPr>
        <w:footnoteReference w:id="46"/>
      </w:r>
      <w:r>
        <w:rPr>
          <w:sz w:val="24"/>
          <w:szCs w:val="24"/>
        </w:rPr>
        <w:t xml:space="preserve">  In addition, there is no support for Jeffery’s contention that women and middle class investors preferred low denomination stocks.</w:t>
      </w:r>
    </w:p>
    <w:p w:rsidR="00DA49AC" w:rsidRDefault="00DA49AC" w:rsidP="00DC531F">
      <w:pPr>
        <w:ind w:firstLine="720"/>
        <w:jc w:val="both"/>
        <w:rPr>
          <w:sz w:val="24"/>
          <w:szCs w:val="24"/>
        </w:rPr>
      </w:pPr>
      <w:r>
        <w:rPr>
          <w:sz w:val="24"/>
          <w:szCs w:val="24"/>
        </w:rPr>
        <w:t>The middle classes have a proclivity for preference shares and domestic over foreign firms, perhaps suggesting a higher degree of risk aversion than some other groups. Businessmen had a preference for domestic firms over foreign firms, and regional firms over London firms, as well as family firms, suggesting that businessmen invested in what they knew and in what they had information on through their business networks.</w:t>
      </w:r>
    </w:p>
    <w:p w:rsidR="00DA49AC" w:rsidRPr="00521426" w:rsidRDefault="00DA49AC" w:rsidP="0038568A">
      <w:pPr>
        <w:jc w:val="both"/>
        <w:rPr>
          <w:sz w:val="24"/>
          <w:szCs w:val="24"/>
        </w:rPr>
      </w:pPr>
    </w:p>
    <w:p w:rsidR="00DA49AC" w:rsidRDefault="00DA49AC">
      <w:pPr>
        <w:rPr>
          <w:b/>
          <w:sz w:val="24"/>
          <w:szCs w:val="24"/>
        </w:rPr>
      </w:pPr>
    </w:p>
    <w:p w:rsidR="00DA49AC" w:rsidRDefault="00DA49AC">
      <w:pPr>
        <w:rPr>
          <w:b/>
          <w:sz w:val="24"/>
          <w:szCs w:val="24"/>
        </w:rPr>
      </w:pPr>
      <w:r>
        <w:rPr>
          <w:b/>
          <w:sz w:val="24"/>
          <w:szCs w:val="24"/>
        </w:rPr>
        <w:t>6. Conclusions</w:t>
      </w:r>
    </w:p>
    <w:p w:rsidR="00DA49AC" w:rsidRDefault="00DA49AC" w:rsidP="000B2EA4">
      <w:pPr>
        <w:jc w:val="both"/>
        <w:rPr>
          <w:sz w:val="24"/>
          <w:szCs w:val="24"/>
        </w:rPr>
      </w:pPr>
      <w:r>
        <w:rPr>
          <w:sz w:val="24"/>
          <w:szCs w:val="24"/>
        </w:rPr>
        <w:t xml:space="preserve">This paper has considered who invested in equities during the substantial expansion of the British equity market in the five decades following the liberalisation of incorporation law in the mid-1850s.  In terms of capital invested, the order of importance is the upper class, businessmen, women, and the middle class.  The order changes slightly when we consider the number of investors, with women and businessmen switching places.  Between them, these four groupings constituted 86.2 per cent of capital invested and 87.1 per cent of investors. </w:t>
      </w:r>
    </w:p>
    <w:p w:rsidR="00DA49AC" w:rsidRPr="00C57E9E" w:rsidRDefault="00DA49AC" w:rsidP="00C13182">
      <w:pPr>
        <w:ind w:firstLine="720"/>
        <w:jc w:val="both"/>
        <w:rPr>
          <w:sz w:val="24"/>
          <w:szCs w:val="24"/>
        </w:rPr>
      </w:pPr>
      <w:r>
        <w:rPr>
          <w:sz w:val="24"/>
          <w:szCs w:val="24"/>
        </w:rPr>
        <w:t xml:space="preserve">One of our main findings is the growth in rentier investors over the second half of the nineteenth century at the expense of businessmen.  The rentiers fall into two distinct groups. First, there were gentlemen capitalists who were willing to take risks, and were willing to invest in illiquid securities.  These gentlemen capitalists had their eyes focussed on the long-term gains to be achieved from empire and were reluctant to invest in indigenous companies and industries located outside of London.   The second group of rentiers were </w:t>
      </w:r>
      <w:r w:rsidRPr="000B2EA4">
        <w:rPr>
          <w:sz w:val="24"/>
          <w:szCs w:val="24"/>
        </w:rPr>
        <w:t>women</w:t>
      </w:r>
      <w:r>
        <w:rPr>
          <w:sz w:val="24"/>
          <w:szCs w:val="24"/>
        </w:rPr>
        <w:t xml:space="preserve"> capitalists.  They tended to avoid investing large sums in foreign companies and had a preference for low-risk equities which paid a dividend.  This group of rentiers were ultimately interested in the regular income stream which equities could generate.      </w:t>
      </w:r>
    </w:p>
    <w:p w:rsidR="00DA49AC" w:rsidRPr="00406546" w:rsidRDefault="00DA49AC" w:rsidP="00C57E9E">
      <w:pPr>
        <w:ind w:firstLine="720"/>
        <w:jc w:val="both"/>
        <w:rPr>
          <w:sz w:val="24"/>
          <w:szCs w:val="24"/>
        </w:rPr>
      </w:pPr>
      <w:r>
        <w:rPr>
          <w:sz w:val="24"/>
          <w:szCs w:val="24"/>
        </w:rPr>
        <w:t xml:space="preserve">Given that the stereotypical rentier invested in </w:t>
      </w:r>
      <w:r w:rsidRPr="00406546">
        <w:rPr>
          <w:i/>
          <w:sz w:val="24"/>
          <w:szCs w:val="24"/>
        </w:rPr>
        <w:t>rentes</w:t>
      </w:r>
      <w:r>
        <w:rPr>
          <w:sz w:val="24"/>
          <w:szCs w:val="24"/>
        </w:rPr>
        <w:t xml:space="preserve"> or fixed-income securities, one has to ask why equities were attractive to these rentier classes. One reason was the fall in the real interest rate, particularly over the last quarter of the nineteenth century, which made investors in general more interested in higher-yielding securities such as equities.  In the case of women and some of the middle classes, equities may have become a more acceptable investment with the demise of uncalled capital and the rise of preference shares, which paid a fixed dividend.  Another reason is that rentiers may have been willing to hold risky equities as a small part of a portfolio, which mainly comprised fixed-income securities. Future research should therefore focus on how the portfolios of investors and rentiers evolved during the late nineteenth and into the twentieth century.</w:t>
      </w:r>
      <w:r>
        <w:rPr>
          <w:rStyle w:val="FootnoteReference"/>
          <w:sz w:val="24"/>
          <w:szCs w:val="24"/>
        </w:rPr>
        <w:footnoteReference w:id="47"/>
      </w:r>
      <w:r>
        <w:rPr>
          <w:sz w:val="24"/>
          <w:szCs w:val="24"/>
        </w:rPr>
        <w:t xml:space="preserve"> </w:t>
      </w:r>
    </w:p>
    <w:p w:rsidR="00DA49AC" w:rsidRDefault="00DA49AC" w:rsidP="006C44D6">
      <w:pPr>
        <w:spacing w:line="240" w:lineRule="auto"/>
        <w:jc w:val="both"/>
        <w:rPr>
          <w:b/>
          <w:sz w:val="24"/>
          <w:szCs w:val="24"/>
        </w:rPr>
      </w:pPr>
    </w:p>
    <w:p w:rsidR="00DA49AC" w:rsidRDefault="00DA49AC">
      <w:pPr>
        <w:spacing w:line="276" w:lineRule="auto"/>
        <w:rPr>
          <w:b/>
          <w:sz w:val="24"/>
          <w:szCs w:val="24"/>
        </w:rPr>
      </w:pPr>
      <w:r>
        <w:rPr>
          <w:b/>
          <w:sz w:val="24"/>
          <w:szCs w:val="24"/>
        </w:rPr>
        <w:br w:type="page"/>
      </w:r>
    </w:p>
    <w:p w:rsidR="00DA49AC" w:rsidRDefault="00DA49AC">
      <w:pPr>
        <w:rPr>
          <w:b/>
          <w:sz w:val="24"/>
          <w:szCs w:val="24"/>
        </w:rPr>
      </w:pPr>
      <w:r>
        <w:rPr>
          <w:b/>
          <w:sz w:val="24"/>
          <w:szCs w:val="24"/>
        </w:rPr>
        <w:t>References</w:t>
      </w:r>
    </w:p>
    <w:p w:rsidR="00DA49AC" w:rsidRPr="001F6E50" w:rsidRDefault="00DA49AC" w:rsidP="00A04A57">
      <w:pPr>
        <w:spacing w:line="240" w:lineRule="auto"/>
        <w:jc w:val="both"/>
        <w:rPr>
          <w:sz w:val="24"/>
          <w:szCs w:val="24"/>
        </w:rPr>
      </w:pPr>
      <w:r w:rsidRPr="001F6E50">
        <w:rPr>
          <w:sz w:val="24"/>
          <w:szCs w:val="24"/>
        </w:rPr>
        <w:t xml:space="preserve">Acheson, G. G., Hickson, C. R., Turner, J. D. and Ye, Q., ‘Rule Britannia!: British stock market returns, 1825-1870’, </w:t>
      </w:r>
      <w:r w:rsidRPr="001F6E50">
        <w:rPr>
          <w:i/>
          <w:sz w:val="24"/>
          <w:szCs w:val="24"/>
        </w:rPr>
        <w:t>Journal of Economic</w:t>
      </w:r>
      <w:r w:rsidRPr="001F6E50">
        <w:rPr>
          <w:sz w:val="24"/>
          <w:szCs w:val="24"/>
        </w:rPr>
        <w:t xml:space="preserve"> </w:t>
      </w:r>
      <w:r w:rsidRPr="001F6E50">
        <w:rPr>
          <w:i/>
          <w:sz w:val="24"/>
          <w:szCs w:val="24"/>
        </w:rPr>
        <w:t>History,</w:t>
      </w:r>
      <w:r w:rsidRPr="001F6E50">
        <w:rPr>
          <w:sz w:val="24"/>
          <w:szCs w:val="24"/>
        </w:rPr>
        <w:t xml:space="preserve"> 69 (2009), pp. 1107-37.</w:t>
      </w:r>
    </w:p>
    <w:p w:rsidR="00DA49AC" w:rsidRDefault="00DA49AC" w:rsidP="00242A5C">
      <w:pPr>
        <w:spacing w:line="240" w:lineRule="auto"/>
        <w:jc w:val="both"/>
        <w:rPr>
          <w:rFonts w:cs="Calibri"/>
          <w:sz w:val="24"/>
          <w:szCs w:val="24"/>
        </w:rPr>
      </w:pPr>
    </w:p>
    <w:p w:rsidR="00DA49AC" w:rsidRDefault="00DA49AC" w:rsidP="001D143A">
      <w:pPr>
        <w:spacing w:line="240" w:lineRule="auto"/>
        <w:jc w:val="both"/>
        <w:rPr>
          <w:sz w:val="24"/>
          <w:szCs w:val="24"/>
        </w:rPr>
      </w:pPr>
      <w:r>
        <w:rPr>
          <w:sz w:val="24"/>
          <w:szCs w:val="24"/>
        </w:rPr>
        <w:t>Acheson G.</w:t>
      </w:r>
      <w:r w:rsidRPr="006B538E">
        <w:rPr>
          <w:sz w:val="24"/>
          <w:szCs w:val="24"/>
        </w:rPr>
        <w:t xml:space="preserve"> G. and Turner</w:t>
      </w:r>
      <w:r>
        <w:rPr>
          <w:sz w:val="24"/>
          <w:szCs w:val="24"/>
        </w:rPr>
        <w:t>, J. D., ‘</w:t>
      </w:r>
      <w:r w:rsidRPr="006B538E">
        <w:rPr>
          <w:sz w:val="24"/>
          <w:szCs w:val="24"/>
        </w:rPr>
        <w:t xml:space="preserve">The death blow to unlimited liability </w:t>
      </w:r>
      <w:r>
        <w:rPr>
          <w:sz w:val="24"/>
          <w:szCs w:val="24"/>
        </w:rPr>
        <w:t>in Victorian Britain: t</w:t>
      </w:r>
      <w:r w:rsidRPr="006B538E">
        <w:rPr>
          <w:sz w:val="24"/>
          <w:szCs w:val="24"/>
        </w:rPr>
        <w:t xml:space="preserve">he City of Glasgow </w:t>
      </w:r>
      <w:r>
        <w:rPr>
          <w:sz w:val="24"/>
          <w:szCs w:val="24"/>
        </w:rPr>
        <w:t>failure’,</w:t>
      </w:r>
      <w:r w:rsidRPr="006B538E">
        <w:rPr>
          <w:sz w:val="24"/>
          <w:szCs w:val="24"/>
        </w:rPr>
        <w:t xml:space="preserve"> </w:t>
      </w:r>
      <w:r w:rsidRPr="006B538E">
        <w:rPr>
          <w:i/>
          <w:sz w:val="24"/>
          <w:szCs w:val="24"/>
        </w:rPr>
        <w:t>Explorations in Economic History</w:t>
      </w:r>
      <w:r>
        <w:rPr>
          <w:sz w:val="24"/>
          <w:szCs w:val="24"/>
        </w:rPr>
        <w:t>, 45 (2008),</w:t>
      </w:r>
      <w:r w:rsidRPr="006B538E">
        <w:rPr>
          <w:sz w:val="24"/>
          <w:szCs w:val="24"/>
        </w:rPr>
        <w:t xml:space="preserve"> </w:t>
      </w:r>
      <w:r>
        <w:rPr>
          <w:sz w:val="24"/>
          <w:szCs w:val="24"/>
        </w:rPr>
        <w:t xml:space="preserve">pp. </w:t>
      </w:r>
      <w:r w:rsidRPr="006B538E">
        <w:rPr>
          <w:sz w:val="24"/>
          <w:szCs w:val="24"/>
        </w:rPr>
        <w:t>235-53.</w:t>
      </w:r>
    </w:p>
    <w:p w:rsidR="00DA49AC" w:rsidRDefault="00DA49AC" w:rsidP="001D143A">
      <w:pPr>
        <w:spacing w:line="240" w:lineRule="auto"/>
        <w:jc w:val="both"/>
        <w:rPr>
          <w:sz w:val="24"/>
          <w:szCs w:val="24"/>
        </w:rPr>
      </w:pPr>
    </w:p>
    <w:p w:rsidR="00DA49AC" w:rsidRPr="006B538E" w:rsidRDefault="00DA49AC" w:rsidP="001D143A">
      <w:pPr>
        <w:pStyle w:val="JournalReferencesText"/>
        <w:ind w:left="0" w:firstLine="0"/>
        <w:rPr>
          <w:rFonts w:ascii="Times New Roman" w:hAnsi="Times New Roman"/>
          <w:sz w:val="24"/>
          <w:szCs w:val="24"/>
        </w:rPr>
      </w:pPr>
      <w:r w:rsidRPr="005E29C4">
        <w:rPr>
          <w:rFonts w:ascii="Times New Roman" w:hAnsi="Times New Roman"/>
          <w:sz w:val="24"/>
          <w:szCs w:val="24"/>
        </w:rPr>
        <w:t>Acheson G. G. and Turner, J. D.,</w:t>
      </w:r>
      <w:r>
        <w:rPr>
          <w:sz w:val="24"/>
          <w:szCs w:val="24"/>
        </w:rPr>
        <w:t xml:space="preserve"> </w:t>
      </w:r>
      <w:r>
        <w:rPr>
          <w:rFonts w:ascii="Times New Roman" w:hAnsi="Times New Roman"/>
          <w:sz w:val="24"/>
          <w:szCs w:val="24"/>
        </w:rPr>
        <w:t>‘Investor behavior in a nascent capital m</w:t>
      </w:r>
      <w:r w:rsidRPr="006B538E">
        <w:rPr>
          <w:rFonts w:ascii="Times New Roman" w:hAnsi="Times New Roman"/>
          <w:sz w:val="24"/>
          <w:szCs w:val="24"/>
        </w:rPr>
        <w:t>arket: Scottish bank shareholders in the nineteenth century</w:t>
      </w:r>
      <w:r>
        <w:rPr>
          <w:rFonts w:ascii="Times New Roman" w:hAnsi="Times New Roman"/>
          <w:sz w:val="24"/>
          <w:szCs w:val="24"/>
        </w:rPr>
        <w:t>’,</w:t>
      </w:r>
      <w:r w:rsidRPr="006B538E">
        <w:rPr>
          <w:rFonts w:ascii="Times New Roman" w:hAnsi="Times New Roman"/>
          <w:sz w:val="24"/>
          <w:szCs w:val="24"/>
        </w:rPr>
        <w:t xml:space="preserve"> </w:t>
      </w:r>
      <w:r w:rsidRPr="006B538E">
        <w:rPr>
          <w:rFonts w:ascii="Times New Roman" w:hAnsi="Times New Roman"/>
          <w:i/>
          <w:sz w:val="24"/>
          <w:szCs w:val="24"/>
        </w:rPr>
        <w:t>Economic History Review</w:t>
      </w:r>
      <w:r>
        <w:rPr>
          <w:rFonts w:ascii="Times New Roman" w:hAnsi="Times New Roman"/>
          <w:sz w:val="24"/>
          <w:szCs w:val="24"/>
        </w:rPr>
        <w:t>, 64 (2011), pp.</w:t>
      </w:r>
      <w:r w:rsidRPr="006B538E">
        <w:rPr>
          <w:rFonts w:ascii="Times New Roman" w:hAnsi="Times New Roman"/>
          <w:sz w:val="24"/>
          <w:szCs w:val="24"/>
        </w:rPr>
        <w:t>188-213.</w:t>
      </w:r>
    </w:p>
    <w:p w:rsidR="00DA49AC" w:rsidRDefault="00DA49AC" w:rsidP="00D87FAE">
      <w:pPr>
        <w:spacing w:line="240" w:lineRule="auto"/>
        <w:jc w:val="both"/>
        <w:rPr>
          <w:rFonts w:cs="Calibri"/>
          <w:sz w:val="24"/>
          <w:szCs w:val="24"/>
        </w:rPr>
      </w:pPr>
    </w:p>
    <w:p w:rsidR="00DA49AC" w:rsidRDefault="00DA49AC" w:rsidP="009A3D62">
      <w:pPr>
        <w:spacing w:line="240" w:lineRule="auto"/>
        <w:ind w:right="-43"/>
        <w:jc w:val="both"/>
        <w:rPr>
          <w:sz w:val="24"/>
          <w:szCs w:val="24"/>
        </w:rPr>
      </w:pPr>
      <w:r w:rsidRPr="006B4E7B">
        <w:rPr>
          <w:sz w:val="24"/>
          <w:szCs w:val="24"/>
        </w:rPr>
        <w:t xml:space="preserve">Acheson, G. G., </w:t>
      </w:r>
      <w:r>
        <w:rPr>
          <w:sz w:val="24"/>
          <w:szCs w:val="24"/>
        </w:rPr>
        <w:t>Turner, J. D.</w:t>
      </w:r>
      <w:r w:rsidRPr="006B4E7B">
        <w:rPr>
          <w:sz w:val="24"/>
          <w:szCs w:val="24"/>
        </w:rPr>
        <w:t xml:space="preserve"> and Ye, Q.,</w:t>
      </w:r>
      <w:r>
        <w:rPr>
          <w:sz w:val="24"/>
          <w:szCs w:val="24"/>
        </w:rPr>
        <w:t xml:space="preserve"> ‘The character and denomination of shares in the Victorian equity market’. </w:t>
      </w:r>
      <w:r w:rsidRPr="002E0FD9">
        <w:rPr>
          <w:i/>
          <w:sz w:val="24"/>
          <w:szCs w:val="24"/>
        </w:rPr>
        <w:t>Economic History Review</w:t>
      </w:r>
      <w:r>
        <w:rPr>
          <w:sz w:val="24"/>
          <w:szCs w:val="24"/>
        </w:rPr>
        <w:t>, 65 (2012), pp.862-86.</w:t>
      </w:r>
    </w:p>
    <w:p w:rsidR="00DA49AC" w:rsidRDefault="00DA49AC" w:rsidP="00D87FAE">
      <w:pPr>
        <w:spacing w:line="240" w:lineRule="auto"/>
        <w:jc w:val="both"/>
        <w:rPr>
          <w:rFonts w:cs="Calibri"/>
          <w:sz w:val="24"/>
          <w:szCs w:val="24"/>
        </w:rPr>
      </w:pPr>
    </w:p>
    <w:p w:rsidR="00DA49AC" w:rsidRPr="00756E3A" w:rsidRDefault="00DA49AC" w:rsidP="00FE3BA3">
      <w:pPr>
        <w:autoSpaceDE w:val="0"/>
        <w:autoSpaceDN w:val="0"/>
        <w:adjustRightInd w:val="0"/>
        <w:spacing w:line="240" w:lineRule="auto"/>
        <w:jc w:val="both"/>
        <w:rPr>
          <w:rFonts w:cs="Calibri"/>
          <w:sz w:val="24"/>
          <w:szCs w:val="24"/>
        </w:rPr>
      </w:pPr>
      <w:r w:rsidRPr="00756E3A">
        <w:rPr>
          <w:rFonts w:cs="Calibri"/>
          <w:sz w:val="24"/>
          <w:szCs w:val="24"/>
        </w:rPr>
        <w:t xml:space="preserve">Allen, D. W., ‘A theory of the pre-modern British aristocracy’, </w:t>
      </w:r>
      <w:r w:rsidRPr="00756E3A">
        <w:rPr>
          <w:rFonts w:cs="Calibri"/>
          <w:i/>
          <w:sz w:val="24"/>
          <w:szCs w:val="24"/>
        </w:rPr>
        <w:t>Explorations in Economic History</w:t>
      </w:r>
      <w:r w:rsidRPr="00756E3A">
        <w:rPr>
          <w:rFonts w:cs="Calibri"/>
          <w:sz w:val="24"/>
          <w:szCs w:val="24"/>
        </w:rPr>
        <w:t>, 46 (2009), pp.299-313.</w:t>
      </w:r>
    </w:p>
    <w:p w:rsidR="00DA49AC" w:rsidRDefault="00DA49AC" w:rsidP="00D87FAE">
      <w:pPr>
        <w:spacing w:line="240" w:lineRule="auto"/>
        <w:jc w:val="both"/>
        <w:rPr>
          <w:rFonts w:cs="Calibri"/>
          <w:sz w:val="24"/>
          <w:szCs w:val="24"/>
        </w:rPr>
      </w:pPr>
    </w:p>
    <w:p w:rsidR="00DA49AC" w:rsidRPr="00737800" w:rsidRDefault="00DA49AC" w:rsidP="00242A5C">
      <w:pPr>
        <w:spacing w:line="240" w:lineRule="auto"/>
        <w:jc w:val="both"/>
        <w:rPr>
          <w:rFonts w:cs="Calibri"/>
          <w:sz w:val="24"/>
          <w:szCs w:val="24"/>
        </w:rPr>
      </w:pPr>
      <w:r w:rsidRPr="00737800">
        <w:rPr>
          <w:rFonts w:cs="Calibri"/>
          <w:sz w:val="24"/>
          <w:szCs w:val="24"/>
        </w:rPr>
        <w:t>Anderson, B. L. and Cottrell, P. L.</w:t>
      </w:r>
      <w:r>
        <w:rPr>
          <w:rFonts w:cs="Calibri"/>
          <w:sz w:val="24"/>
          <w:szCs w:val="24"/>
        </w:rPr>
        <w:t>,</w:t>
      </w:r>
      <w:r w:rsidRPr="00737800">
        <w:rPr>
          <w:rFonts w:cs="Calibri"/>
          <w:sz w:val="24"/>
          <w:szCs w:val="24"/>
        </w:rPr>
        <w:t xml:space="preserve"> ‘Another Victorian capital market: a study of banking and bank investors on Merseyside’, </w:t>
      </w:r>
      <w:r w:rsidRPr="00737800">
        <w:rPr>
          <w:rFonts w:cs="Calibri"/>
          <w:i/>
          <w:sz w:val="24"/>
          <w:szCs w:val="24"/>
        </w:rPr>
        <w:t>Economic History Review</w:t>
      </w:r>
      <w:r w:rsidRPr="00737800">
        <w:rPr>
          <w:rFonts w:cs="Calibri"/>
          <w:sz w:val="24"/>
          <w:szCs w:val="24"/>
        </w:rPr>
        <w:t xml:space="preserve">, </w:t>
      </w:r>
      <w:r w:rsidRPr="003F0D4D">
        <w:rPr>
          <w:rFonts w:cs="Calibri"/>
          <w:sz w:val="24"/>
          <w:szCs w:val="24"/>
        </w:rPr>
        <w:t>28</w:t>
      </w:r>
      <w:r>
        <w:rPr>
          <w:rFonts w:cs="Calibri"/>
          <w:sz w:val="24"/>
          <w:szCs w:val="24"/>
        </w:rPr>
        <w:t xml:space="preserve"> (1975)</w:t>
      </w:r>
      <w:r w:rsidRPr="00737800">
        <w:rPr>
          <w:rFonts w:cs="Calibri"/>
          <w:sz w:val="24"/>
          <w:szCs w:val="24"/>
        </w:rPr>
        <w:t xml:space="preserve">, </w:t>
      </w:r>
      <w:r>
        <w:rPr>
          <w:rFonts w:cs="Calibri"/>
          <w:sz w:val="24"/>
          <w:szCs w:val="24"/>
        </w:rPr>
        <w:t>pp. 600-15</w:t>
      </w:r>
      <w:r w:rsidRPr="00737800">
        <w:rPr>
          <w:rFonts w:cs="Calibri"/>
          <w:sz w:val="24"/>
          <w:szCs w:val="24"/>
        </w:rPr>
        <w:t>.</w:t>
      </w:r>
    </w:p>
    <w:p w:rsidR="00DA49AC" w:rsidRDefault="00DA49AC" w:rsidP="00242A5C">
      <w:pPr>
        <w:spacing w:line="240" w:lineRule="auto"/>
        <w:jc w:val="both"/>
        <w:rPr>
          <w:rFonts w:cs="Calibri"/>
          <w:sz w:val="24"/>
          <w:szCs w:val="24"/>
        </w:rPr>
      </w:pPr>
    </w:p>
    <w:p w:rsidR="00DA49AC" w:rsidRPr="003D1515" w:rsidRDefault="00DA49AC" w:rsidP="003D1515">
      <w:pPr>
        <w:pStyle w:val="CommentText"/>
        <w:jc w:val="both"/>
        <w:rPr>
          <w:sz w:val="24"/>
          <w:szCs w:val="24"/>
        </w:rPr>
      </w:pPr>
      <w:r w:rsidRPr="003D1515">
        <w:rPr>
          <w:sz w:val="24"/>
          <w:szCs w:val="24"/>
        </w:rPr>
        <w:t>Armstrong</w:t>
      </w:r>
      <w:r>
        <w:rPr>
          <w:sz w:val="24"/>
          <w:szCs w:val="24"/>
        </w:rPr>
        <w:t>, J.</w:t>
      </w:r>
      <w:r w:rsidRPr="003D1515">
        <w:rPr>
          <w:sz w:val="24"/>
          <w:szCs w:val="24"/>
        </w:rPr>
        <w:t xml:space="preserve"> </w:t>
      </w:r>
      <w:r>
        <w:rPr>
          <w:sz w:val="24"/>
          <w:szCs w:val="24"/>
        </w:rPr>
        <w:t>‘</w:t>
      </w:r>
      <w:r w:rsidRPr="003D1515">
        <w:rPr>
          <w:sz w:val="24"/>
          <w:szCs w:val="24"/>
        </w:rPr>
        <w:t>The rise and fall of the company promoter and the financing of British industry</w:t>
      </w:r>
      <w:r>
        <w:rPr>
          <w:sz w:val="24"/>
          <w:szCs w:val="24"/>
        </w:rPr>
        <w:t>’, i</w:t>
      </w:r>
      <w:r w:rsidRPr="003D1515">
        <w:rPr>
          <w:sz w:val="24"/>
          <w:szCs w:val="24"/>
        </w:rPr>
        <w:t>n J.J. van Helten and Y. Cassis</w:t>
      </w:r>
      <w:r>
        <w:rPr>
          <w:sz w:val="24"/>
          <w:szCs w:val="24"/>
        </w:rPr>
        <w:t>, eds.,</w:t>
      </w:r>
      <w:r w:rsidRPr="003D1515">
        <w:rPr>
          <w:i/>
          <w:sz w:val="24"/>
          <w:szCs w:val="24"/>
        </w:rPr>
        <w:t xml:space="preserve"> Capitalism in a mature economy: financial institutions, capital exports and British industry, 1870-1939</w:t>
      </w:r>
      <w:r>
        <w:rPr>
          <w:sz w:val="24"/>
          <w:szCs w:val="24"/>
        </w:rPr>
        <w:t xml:space="preserve"> (Aldershot: Edward Elgar, 1990), pp.115-138.</w:t>
      </w:r>
    </w:p>
    <w:p w:rsidR="00DA49AC" w:rsidRDefault="00DA49AC" w:rsidP="00242A5C">
      <w:pPr>
        <w:spacing w:line="240" w:lineRule="auto"/>
        <w:jc w:val="both"/>
        <w:rPr>
          <w:rFonts w:cs="Calibri"/>
          <w:sz w:val="24"/>
          <w:szCs w:val="24"/>
        </w:rPr>
      </w:pPr>
    </w:p>
    <w:p w:rsidR="00DA49AC" w:rsidRDefault="00DA49AC" w:rsidP="00242A5C">
      <w:pPr>
        <w:spacing w:line="240" w:lineRule="auto"/>
        <w:jc w:val="both"/>
        <w:rPr>
          <w:rFonts w:cs="Calibri"/>
          <w:sz w:val="24"/>
          <w:szCs w:val="24"/>
        </w:rPr>
      </w:pPr>
      <w:r>
        <w:rPr>
          <w:rFonts w:cs="Calibri"/>
          <w:sz w:val="24"/>
          <w:szCs w:val="24"/>
        </w:rPr>
        <w:t xml:space="preserve">Barber, B. M. and Odean, T., ‘Boys will be boys: gender, overconfidence, and common stock investment’, </w:t>
      </w:r>
      <w:r>
        <w:rPr>
          <w:rFonts w:cs="Calibri"/>
          <w:i/>
          <w:sz w:val="24"/>
          <w:szCs w:val="24"/>
        </w:rPr>
        <w:t>Quarterly Journal of Economics</w:t>
      </w:r>
      <w:r>
        <w:rPr>
          <w:rFonts w:cs="Calibri"/>
          <w:sz w:val="24"/>
          <w:szCs w:val="24"/>
        </w:rPr>
        <w:t>, 116 (2001), pp.261-92.</w:t>
      </w:r>
    </w:p>
    <w:p w:rsidR="00DA49AC" w:rsidRPr="00521426" w:rsidRDefault="00DA49AC" w:rsidP="00242A5C">
      <w:pPr>
        <w:spacing w:line="240" w:lineRule="auto"/>
        <w:jc w:val="both"/>
        <w:rPr>
          <w:rFonts w:cs="Calibri"/>
          <w:sz w:val="24"/>
          <w:szCs w:val="24"/>
        </w:rPr>
      </w:pPr>
    </w:p>
    <w:p w:rsidR="00DA49AC" w:rsidRDefault="00DA49AC" w:rsidP="00242A5C">
      <w:pPr>
        <w:spacing w:line="240" w:lineRule="auto"/>
        <w:jc w:val="both"/>
        <w:rPr>
          <w:rFonts w:cs="Calibri"/>
          <w:sz w:val="24"/>
          <w:szCs w:val="24"/>
        </w:rPr>
      </w:pPr>
      <w:r>
        <w:rPr>
          <w:rFonts w:cs="Calibri"/>
          <w:sz w:val="24"/>
          <w:szCs w:val="24"/>
        </w:rPr>
        <w:t xml:space="preserve">Best, G. </w:t>
      </w:r>
      <w:r w:rsidRPr="007B1D56">
        <w:rPr>
          <w:rFonts w:cs="Calibri"/>
          <w:i/>
          <w:sz w:val="24"/>
          <w:szCs w:val="24"/>
        </w:rPr>
        <w:t>Mid-Victorian Britain 1851-75</w:t>
      </w:r>
      <w:r>
        <w:rPr>
          <w:rFonts w:cs="Calibri"/>
          <w:sz w:val="24"/>
          <w:szCs w:val="24"/>
        </w:rPr>
        <w:t xml:space="preserve"> (London: Weidenfield and Nicholson, 1971).</w:t>
      </w:r>
    </w:p>
    <w:p w:rsidR="00DA49AC" w:rsidRDefault="00DA49AC" w:rsidP="00242A5C">
      <w:pPr>
        <w:spacing w:line="240" w:lineRule="auto"/>
        <w:jc w:val="both"/>
        <w:rPr>
          <w:rFonts w:cs="Calibri"/>
          <w:sz w:val="24"/>
          <w:szCs w:val="24"/>
        </w:rPr>
      </w:pPr>
    </w:p>
    <w:p w:rsidR="00DA49AC" w:rsidRPr="006B538E" w:rsidRDefault="00DA49AC" w:rsidP="00242A5C">
      <w:pPr>
        <w:spacing w:line="240" w:lineRule="auto"/>
        <w:jc w:val="both"/>
        <w:rPr>
          <w:rFonts w:cs="Calibri"/>
          <w:sz w:val="24"/>
          <w:szCs w:val="24"/>
        </w:rPr>
      </w:pPr>
      <w:r>
        <w:rPr>
          <w:rFonts w:cs="Calibri"/>
          <w:sz w:val="24"/>
          <w:szCs w:val="24"/>
        </w:rPr>
        <w:t>Broadbridge, S. A., ‘</w:t>
      </w:r>
      <w:r w:rsidRPr="006B538E">
        <w:rPr>
          <w:rFonts w:cs="Calibri"/>
          <w:sz w:val="24"/>
          <w:szCs w:val="24"/>
        </w:rPr>
        <w:t>The sources of railway share capital</w:t>
      </w:r>
      <w:r>
        <w:rPr>
          <w:rFonts w:cs="Calibri"/>
          <w:sz w:val="24"/>
          <w:szCs w:val="24"/>
        </w:rPr>
        <w:t>’, i</w:t>
      </w:r>
      <w:r w:rsidRPr="006B538E">
        <w:rPr>
          <w:rFonts w:cs="Calibri"/>
          <w:sz w:val="24"/>
          <w:szCs w:val="24"/>
        </w:rPr>
        <w:t xml:space="preserve">n M. C. Reed, </w:t>
      </w:r>
      <w:r>
        <w:rPr>
          <w:rFonts w:cs="Calibri"/>
          <w:sz w:val="24"/>
          <w:szCs w:val="24"/>
        </w:rPr>
        <w:t xml:space="preserve">ed., </w:t>
      </w:r>
      <w:r>
        <w:rPr>
          <w:rFonts w:cs="Calibri"/>
          <w:i/>
          <w:sz w:val="24"/>
          <w:szCs w:val="24"/>
        </w:rPr>
        <w:t>Railways in the Victorian e</w:t>
      </w:r>
      <w:r w:rsidRPr="006B538E">
        <w:rPr>
          <w:rFonts w:cs="Calibri"/>
          <w:i/>
          <w:sz w:val="24"/>
          <w:szCs w:val="24"/>
        </w:rPr>
        <w:t>conomy: studies in finance and economic growth</w:t>
      </w:r>
      <w:r>
        <w:rPr>
          <w:rFonts w:cs="Calibri"/>
          <w:sz w:val="24"/>
          <w:szCs w:val="24"/>
        </w:rPr>
        <w:t xml:space="preserve"> (</w:t>
      </w:r>
      <w:r w:rsidRPr="006B538E">
        <w:rPr>
          <w:rFonts w:cs="Calibri"/>
          <w:sz w:val="24"/>
          <w:szCs w:val="24"/>
        </w:rPr>
        <w:t>New York: Augustus M. Kelley, 1968</w:t>
      </w:r>
      <w:r>
        <w:rPr>
          <w:rFonts w:cs="Calibri"/>
          <w:sz w:val="24"/>
          <w:szCs w:val="24"/>
        </w:rPr>
        <w:t>),</w:t>
      </w:r>
      <w:r w:rsidRPr="00053B22">
        <w:rPr>
          <w:rFonts w:cs="Calibri"/>
          <w:sz w:val="24"/>
          <w:szCs w:val="24"/>
        </w:rPr>
        <w:t xml:space="preserve"> </w:t>
      </w:r>
      <w:r>
        <w:rPr>
          <w:rFonts w:cs="Calibri"/>
          <w:sz w:val="24"/>
          <w:szCs w:val="24"/>
        </w:rPr>
        <w:t xml:space="preserve">pp. </w:t>
      </w:r>
      <w:r w:rsidRPr="006B538E">
        <w:rPr>
          <w:rFonts w:cs="Calibri"/>
          <w:sz w:val="24"/>
          <w:szCs w:val="24"/>
        </w:rPr>
        <w:t>184-211</w:t>
      </w:r>
    </w:p>
    <w:p w:rsidR="00DA49AC" w:rsidRDefault="00DA49AC" w:rsidP="00242A5C">
      <w:pPr>
        <w:pStyle w:val="EndnoteText"/>
        <w:jc w:val="both"/>
        <w:rPr>
          <w:rFonts w:ascii="Times New Roman" w:hAnsi="Times New Roman"/>
          <w:sz w:val="24"/>
          <w:szCs w:val="24"/>
        </w:rPr>
      </w:pPr>
    </w:p>
    <w:p w:rsidR="00DA49AC" w:rsidRDefault="00DA49AC" w:rsidP="00242A5C">
      <w:pPr>
        <w:pStyle w:val="EndnoteText"/>
        <w:jc w:val="both"/>
        <w:rPr>
          <w:rFonts w:ascii="Times New Roman" w:hAnsi="Times New Roman"/>
          <w:sz w:val="24"/>
          <w:szCs w:val="24"/>
        </w:rPr>
      </w:pPr>
      <w:r>
        <w:rPr>
          <w:rFonts w:ascii="Times New Roman" w:hAnsi="Times New Roman"/>
          <w:sz w:val="24"/>
          <w:szCs w:val="24"/>
        </w:rPr>
        <w:t xml:space="preserve">Cain, P. J. and Hopkins, A. G., ‘Gentlemanly capitalism and British expansion overseas II: new imperialism, 1850-1945’, </w:t>
      </w:r>
      <w:r w:rsidRPr="00053B22">
        <w:rPr>
          <w:rFonts w:ascii="Times New Roman" w:hAnsi="Times New Roman"/>
          <w:i/>
          <w:sz w:val="24"/>
          <w:szCs w:val="24"/>
        </w:rPr>
        <w:t>Economic History Review</w:t>
      </w:r>
      <w:r>
        <w:rPr>
          <w:rFonts w:ascii="Times New Roman" w:hAnsi="Times New Roman"/>
          <w:sz w:val="24"/>
          <w:szCs w:val="24"/>
        </w:rPr>
        <w:t>, 40 (1987), pp. 1-26.</w:t>
      </w:r>
    </w:p>
    <w:p w:rsidR="00DA49AC" w:rsidRDefault="00DA49AC" w:rsidP="00242A5C">
      <w:pPr>
        <w:pStyle w:val="EndnoteText"/>
        <w:jc w:val="both"/>
        <w:rPr>
          <w:rFonts w:ascii="Times New Roman" w:hAnsi="Times New Roman"/>
          <w:sz w:val="24"/>
          <w:szCs w:val="24"/>
        </w:rPr>
      </w:pPr>
    </w:p>
    <w:p w:rsidR="00DA49AC" w:rsidRPr="00776DFA" w:rsidRDefault="00DA49AC" w:rsidP="003747B4">
      <w:pPr>
        <w:spacing w:line="240" w:lineRule="auto"/>
        <w:ind w:right="-43"/>
        <w:jc w:val="both"/>
        <w:rPr>
          <w:sz w:val="24"/>
          <w:szCs w:val="24"/>
        </w:rPr>
      </w:pPr>
      <w:r w:rsidRPr="00776DFA">
        <w:rPr>
          <w:sz w:val="24"/>
          <w:szCs w:val="24"/>
        </w:rPr>
        <w:t xml:space="preserve">Campbell, G. and Turner, J. D., ‘Substitutes for legal protection: corporate governance and dividends in Victorian Britain’, </w:t>
      </w:r>
      <w:r w:rsidRPr="00776DFA">
        <w:rPr>
          <w:i/>
          <w:sz w:val="24"/>
          <w:szCs w:val="24"/>
        </w:rPr>
        <w:t>Economic History Review</w:t>
      </w:r>
      <w:r w:rsidRPr="00776DFA">
        <w:rPr>
          <w:sz w:val="24"/>
          <w:szCs w:val="24"/>
        </w:rPr>
        <w:t>, 2</w:t>
      </w:r>
      <w:r w:rsidRPr="00776DFA">
        <w:rPr>
          <w:sz w:val="24"/>
          <w:szCs w:val="24"/>
          <w:vertAlign w:val="superscript"/>
        </w:rPr>
        <w:t>nd</w:t>
      </w:r>
      <w:r w:rsidRPr="00776DFA">
        <w:rPr>
          <w:sz w:val="24"/>
          <w:szCs w:val="24"/>
        </w:rPr>
        <w:t xml:space="preserve"> ser., LXIV (2011), pp. 571-97.</w:t>
      </w:r>
    </w:p>
    <w:p w:rsidR="00DA49AC" w:rsidRPr="006B538E" w:rsidRDefault="00DA49AC" w:rsidP="00242A5C">
      <w:pPr>
        <w:pStyle w:val="EndnoteText"/>
        <w:jc w:val="both"/>
        <w:rPr>
          <w:rFonts w:ascii="Times New Roman" w:hAnsi="Times New Roman"/>
          <w:sz w:val="24"/>
          <w:szCs w:val="24"/>
        </w:rPr>
      </w:pPr>
    </w:p>
    <w:p w:rsidR="00DA49AC" w:rsidRPr="006B538E" w:rsidRDefault="00DA49AC" w:rsidP="00242A5C">
      <w:pPr>
        <w:pStyle w:val="EndnoteText"/>
        <w:jc w:val="both"/>
        <w:rPr>
          <w:rFonts w:ascii="Times New Roman" w:hAnsi="Times New Roman"/>
          <w:sz w:val="24"/>
          <w:szCs w:val="24"/>
        </w:rPr>
      </w:pPr>
      <w:r>
        <w:rPr>
          <w:rFonts w:ascii="Times New Roman" w:hAnsi="Times New Roman"/>
          <w:noProof/>
          <w:sz w:val="24"/>
          <w:szCs w:val="24"/>
          <w:lang w:val="en-US"/>
        </w:rPr>
        <w:t>Campbell, G.</w:t>
      </w:r>
      <w:r w:rsidRPr="006B538E">
        <w:rPr>
          <w:rFonts w:ascii="Times New Roman" w:hAnsi="Times New Roman"/>
          <w:noProof/>
          <w:sz w:val="24"/>
          <w:szCs w:val="24"/>
          <w:lang w:val="en-US"/>
        </w:rPr>
        <w:t xml:space="preserve"> and Turner</w:t>
      </w:r>
      <w:r>
        <w:rPr>
          <w:rFonts w:ascii="Times New Roman" w:hAnsi="Times New Roman"/>
          <w:noProof/>
          <w:sz w:val="24"/>
          <w:szCs w:val="24"/>
          <w:lang w:val="en-US"/>
        </w:rPr>
        <w:t>, J. D., ‘</w:t>
      </w:r>
      <w:r w:rsidRPr="006B538E">
        <w:rPr>
          <w:rFonts w:ascii="Times New Roman" w:hAnsi="Times New Roman"/>
          <w:noProof/>
          <w:sz w:val="24"/>
          <w:szCs w:val="24"/>
          <w:lang w:val="en-US"/>
        </w:rPr>
        <w:t>Dispelling the myth of the naive investor during the railway “mania” boom</w:t>
      </w:r>
      <w:r>
        <w:rPr>
          <w:rFonts w:ascii="Times New Roman" w:hAnsi="Times New Roman"/>
          <w:noProof/>
          <w:sz w:val="24"/>
          <w:szCs w:val="24"/>
          <w:lang w:val="en-US"/>
        </w:rPr>
        <w:t xml:space="preserve"> in Britain, 1845–46’,</w:t>
      </w:r>
      <w:r w:rsidRPr="006B538E">
        <w:rPr>
          <w:rFonts w:ascii="Times New Roman" w:hAnsi="Times New Roman"/>
          <w:noProof/>
          <w:sz w:val="24"/>
          <w:szCs w:val="24"/>
        </w:rPr>
        <w:t xml:space="preserve"> </w:t>
      </w:r>
      <w:r w:rsidRPr="006B538E">
        <w:rPr>
          <w:rFonts w:ascii="Times New Roman" w:hAnsi="Times New Roman"/>
          <w:i/>
          <w:sz w:val="24"/>
          <w:szCs w:val="24"/>
        </w:rPr>
        <w:t>Business History Review</w:t>
      </w:r>
      <w:r>
        <w:rPr>
          <w:rFonts w:ascii="Times New Roman" w:hAnsi="Times New Roman"/>
          <w:sz w:val="24"/>
          <w:szCs w:val="24"/>
        </w:rPr>
        <w:t>, 86 (2012), pp.</w:t>
      </w:r>
      <w:r w:rsidRPr="006B538E">
        <w:rPr>
          <w:rFonts w:ascii="Times New Roman" w:hAnsi="Times New Roman"/>
          <w:sz w:val="24"/>
          <w:szCs w:val="24"/>
        </w:rPr>
        <w:t xml:space="preserve"> 3-41.</w:t>
      </w:r>
    </w:p>
    <w:p w:rsidR="00DA49AC" w:rsidRPr="00BB7FB4" w:rsidRDefault="00DA49AC" w:rsidP="00A04A57">
      <w:pPr>
        <w:pStyle w:val="NormalWeb"/>
        <w:spacing w:before="0" w:beforeAutospacing="0" w:after="0" w:afterAutospacing="0"/>
        <w:ind w:left="720" w:hanging="720"/>
        <w:jc w:val="both"/>
      </w:pPr>
    </w:p>
    <w:p w:rsidR="00DA49AC" w:rsidRPr="006B538E" w:rsidRDefault="00DA49AC" w:rsidP="00C84DD1">
      <w:pPr>
        <w:pStyle w:val="EndnoteText"/>
        <w:jc w:val="both"/>
        <w:rPr>
          <w:rFonts w:ascii="Times New Roman" w:hAnsi="Times New Roman"/>
          <w:sz w:val="24"/>
          <w:szCs w:val="24"/>
        </w:rPr>
      </w:pPr>
      <w:r>
        <w:rPr>
          <w:rFonts w:ascii="Times New Roman" w:hAnsi="Times New Roman"/>
          <w:sz w:val="24"/>
          <w:szCs w:val="24"/>
        </w:rPr>
        <w:t>Chabot, B.</w:t>
      </w:r>
      <w:r w:rsidRPr="006B538E">
        <w:rPr>
          <w:rFonts w:ascii="Times New Roman" w:hAnsi="Times New Roman"/>
          <w:sz w:val="24"/>
          <w:szCs w:val="24"/>
        </w:rPr>
        <w:t xml:space="preserve"> R. and </w:t>
      </w:r>
      <w:r>
        <w:rPr>
          <w:rFonts w:ascii="Times New Roman" w:hAnsi="Times New Roman"/>
          <w:sz w:val="24"/>
          <w:szCs w:val="24"/>
        </w:rPr>
        <w:t>Kurz, C. J., ‘</w:t>
      </w:r>
      <w:r w:rsidRPr="006B538E">
        <w:rPr>
          <w:rFonts w:ascii="Times New Roman" w:hAnsi="Times New Roman"/>
          <w:sz w:val="24"/>
          <w:szCs w:val="24"/>
        </w:rPr>
        <w:t>That’s where the money was: foreign bias and Englis</w:t>
      </w:r>
      <w:r>
        <w:rPr>
          <w:rFonts w:ascii="Times New Roman" w:hAnsi="Times New Roman"/>
          <w:sz w:val="24"/>
          <w:szCs w:val="24"/>
        </w:rPr>
        <w:t>h investment abroad, 1866-1907’,</w:t>
      </w:r>
      <w:r w:rsidRPr="006B538E">
        <w:rPr>
          <w:rFonts w:ascii="Times New Roman" w:hAnsi="Times New Roman"/>
          <w:sz w:val="24"/>
          <w:szCs w:val="24"/>
        </w:rPr>
        <w:t xml:space="preserve"> </w:t>
      </w:r>
      <w:r w:rsidRPr="006B538E">
        <w:rPr>
          <w:rFonts w:ascii="Times New Roman" w:hAnsi="Times New Roman"/>
          <w:i/>
          <w:sz w:val="24"/>
          <w:szCs w:val="24"/>
        </w:rPr>
        <w:t>Economic Journal</w:t>
      </w:r>
      <w:r>
        <w:rPr>
          <w:rFonts w:ascii="Times New Roman" w:hAnsi="Times New Roman"/>
          <w:sz w:val="24"/>
          <w:szCs w:val="24"/>
        </w:rPr>
        <w:t>,</w:t>
      </w:r>
      <w:r w:rsidRPr="006B538E">
        <w:rPr>
          <w:rFonts w:ascii="Times New Roman" w:hAnsi="Times New Roman"/>
          <w:i/>
          <w:sz w:val="24"/>
          <w:szCs w:val="24"/>
        </w:rPr>
        <w:t xml:space="preserve"> </w:t>
      </w:r>
      <w:r>
        <w:rPr>
          <w:rFonts w:ascii="Times New Roman" w:hAnsi="Times New Roman"/>
          <w:sz w:val="24"/>
          <w:szCs w:val="24"/>
        </w:rPr>
        <w:t xml:space="preserve">120 (2010), pp. </w:t>
      </w:r>
      <w:r w:rsidRPr="006B538E">
        <w:rPr>
          <w:rFonts w:ascii="Times New Roman" w:hAnsi="Times New Roman"/>
          <w:sz w:val="24"/>
          <w:szCs w:val="24"/>
        </w:rPr>
        <w:t>1056-79.</w:t>
      </w:r>
    </w:p>
    <w:p w:rsidR="00DA49AC" w:rsidRDefault="00DA49AC" w:rsidP="00C84DD1">
      <w:pPr>
        <w:pStyle w:val="EndnoteText"/>
        <w:jc w:val="both"/>
        <w:rPr>
          <w:rFonts w:ascii="Times New Roman" w:hAnsi="Times New Roman"/>
          <w:sz w:val="24"/>
          <w:szCs w:val="24"/>
        </w:rPr>
      </w:pPr>
    </w:p>
    <w:p w:rsidR="00DA49AC" w:rsidRDefault="00DA49AC" w:rsidP="003D1515">
      <w:pPr>
        <w:pStyle w:val="EndnoteText"/>
        <w:jc w:val="both"/>
        <w:rPr>
          <w:rFonts w:ascii="Times New Roman" w:hAnsi="Times New Roman"/>
          <w:sz w:val="24"/>
          <w:szCs w:val="24"/>
        </w:rPr>
      </w:pPr>
      <w:r w:rsidRPr="008F5585">
        <w:rPr>
          <w:rFonts w:ascii="Times New Roman" w:hAnsi="Times New Roman"/>
          <w:sz w:val="24"/>
          <w:szCs w:val="24"/>
        </w:rPr>
        <w:t xml:space="preserve">Cottrell, P. L. </w:t>
      </w:r>
      <w:r w:rsidRPr="003D1515">
        <w:rPr>
          <w:rFonts w:ascii="Times New Roman" w:hAnsi="Times New Roman"/>
          <w:i/>
          <w:sz w:val="24"/>
          <w:szCs w:val="24"/>
        </w:rPr>
        <w:t>British overseas investment in the nineteenth century</w:t>
      </w:r>
      <w:r w:rsidRPr="008F5585">
        <w:rPr>
          <w:rFonts w:ascii="Times New Roman" w:hAnsi="Times New Roman"/>
          <w:sz w:val="24"/>
          <w:szCs w:val="24"/>
        </w:rPr>
        <w:t xml:space="preserve"> (London: The Macmillan Press Ltd, 1975)</w:t>
      </w:r>
      <w:r>
        <w:rPr>
          <w:rFonts w:ascii="Times New Roman" w:hAnsi="Times New Roman"/>
          <w:sz w:val="24"/>
          <w:szCs w:val="24"/>
        </w:rPr>
        <w:t>.</w:t>
      </w:r>
      <w:r w:rsidRPr="008F5585">
        <w:rPr>
          <w:rFonts w:ascii="Times New Roman" w:hAnsi="Times New Roman"/>
          <w:sz w:val="24"/>
          <w:szCs w:val="24"/>
        </w:rPr>
        <w:t xml:space="preserve">   </w:t>
      </w:r>
    </w:p>
    <w:p w:rsidR="00DA49AC" w:rsidRPr="008F5585" w:rsidRDefault="00DA49AC" w:rsidP="00C84DD1">
      <w:pPr>
        <w:pStyle w:val="EndnoteText"/>
        <w:jc w:val="both"/>
        <w:rPr>
          <w:rFonts w:ascii="Times New Roman" w:hAnsi="Times New Roman"/>
          <w:sz w:val="24"/>
          <w:szCs w:val="24"/>
        </w:rPr>
      </w:pPr>
    </w:p>
    <w:p w:rsidR="00DA49AC" w:rsidRDefault="00DA49AC" w:rsidP="00C84DD1">
      <w:pPr>
        <w:pStyle w:val="EndnoteText"/>
        <w:jc w:val="both"/>
        <w:rPr>
          <w:rFonts w:ascii="Times New Roman" w:hAnsi="Times New Roman"/>
          <w:sz w:val="24"/>
          <w:szCs w:val="24"/>
        </w:rPr>
      </w:pPr>
      <w:r>
        <w:rPr>
          <w:rFonts w:ascii="Times New Roman" w:hAnsi="Times New Roman"/>
          <w:sz w:val="24"/>
          <w:szCs w:val="24"/>
        </w:rPr>
        <w:t xml:space="preserve">Cottrell, P. L., </w:t>
      </w:r>
      <w:r w:rsidRPr="00F049F3">
        <w:rPr>
          <w:rFonts w:ascii="Times New Roman" w:hAnsi="Times New Roman"/>
          <w:i/>
          <w:sz w:val="24"/>
          <w:szCs w:val="24"/>
        </w:rPr>
        <w:t>Industrial finance 1830-1914: t</w:t>
      </w:r>
      <w:r>
        <w:rPr>
          <w:rFonts w:ascii="Times New Roman" w:hAnsi="Times New Roman"/>
          <w:i/>
          <w:sz w:val="24"/>
          <w:szCs w:val="24"/>
        </w:rPr>
        <w:t>he f</w:t>
      </w:r>
      <w:r w:rsidRPr="00F049F3">
        <w:rPr>
          <w:rFonts w:ascii="Times New Roman" w:hAnsi="Times New Roman"/>
          <w:i/>
          <w:sz w:val="24"/>
          <w:szCs w:val="24"/>
        </w:rPr>
        <w:t>inance and organization of English manufacturing industry</w:t>
      </w:r>
      <w:r>
        <w:rPr>
          <w:rFonts w:ascii="Times New Roman" w:hAnsi="Times New Roman"/>
          <w:sz w:val="24"/>
          <w:szCs w:val="24"/>
        </w:rPr>
        <w:t xml:space="preserve"> (London: Methuen, 1980).</w:t>
      </w:r>
    </w:p>
    <w:p w:rsidR="00DA49AC" w:rsidRDefault="00DA49AC" w:rsidP="00C84DD1">
      <w:pPr>
        <w:pStyle w:val="EndnoteText"/>
        <w:jc w:val="both"/>
        <w:rPr>
          <w:rFonts w:ascii="Times New Roman" w:hAnsi="Times New Roman"/>
          <w:sz w:val="24"/>
          <w:szCs w:val="24"/>
        </w:rPr>
      </w:pPr>
    </w:p>
    <w:p w:rsidR="00DA49AC" w:rsidRPr="003427AC" w:rsidRDefault="00DA49AC" w:rsidP="003427AC">
      <w:pPr>
        <w:spacing w:line="240" w:lineRule="auto"/>
        <w:jc w:val="both"/>
        <w:rPr>
          <w:sz w:val="24"/>
          <w:szCs w:val="24"/>
        </w:rPr>
      </w:pPr>
      <w:r w:rsidRPr="003427AC">
        <w:rPr>
          <w:sz w:val="24"/>
          <w:szCs w:val="24"/>
        </w:rPr>
        <w:t>Davis, L. E. and Huttenbac</w:t>
      </w:r>
      <w:r>
        <w:rPr>
          <w:sz w:val="24"/>
          <w:szCs w:val="24"/>
        </w:rPr>
        <w:t xml:space="preserve">k, </w:t>
      </w:r>
      <w:r w:rsidRPr="003427AC">
        <w:rPr>
          <w:sz w:val="24"/>
          <w:szCs w:val="24"/>
        </w:rPr>
        <w:t>R. A.</w:t>
      </w:r>
      <w:r>
        <w:rPr>
          <w:sz w:val="24"/>
          <w:szCs w:val="24"/>
        </w:rPr>
        <w:t>,</w:t>
      </w:r>
      <w:r w:rsidRPr="003427AC">
        <w:rPr>
          <w:sz w:val="24"/>
          <w:szCs w:val="24"/>
        </w:rPr>
        <w:t xml:space="preserve"> </w:t>
      </w:r>
      <w:r>
        <w:rPr>
          <w:i/>
          <w:sz w:val="24"/>
          <w:szCs w:val="24"/>
        </w:rPr>
        <w:t>Mammon and the pursuit of empire: the economics of British i</w:t>
      </w:r>
      <w:r w:rsidRPr="003427AC">
        <w:rPr>
          <w:i/>
          <w:sz w:val="24"/>
          <w:szCs w:val="24"/>
        </w:rPr>
        <w:t>mperialism</w:t>
      </w:r>
      <w:r>
        <w:rPr>
          <w:sz w:val="24"/>
          <w:szCs w:val="24"/>
        </w:rPr>
        <w:t xml:space="preserve"> (</w:t>
      </w:r>
      <w:r w:rsidRPr="003427AC">
        <w:rPr>
          <w:sz w:val="24"/>
          <w:szCs w:val="24"/>
        </w:rPr>
        <w:t>Cambridge: Cambridge University Press, 1988</w:t>
      </w:r>
      <w:r>
        <w:rPr>
          <w:sz w:val="24"/>
          <w:szCs w:val="24"/>
        </w:rPr>
        <w:t>)</w:t>
      </w:r>
      <w:r w:rsidRPr="003427AC">
        <w:rPr>
          <w:sz w:val="24"/>
          <w:szCs w:val="24"/>
        </w:rPr>
        <w:t>.</w:t>
      </w:r>
    </w:p>
    <w:p w:rsidR="00DA49AC" w:rsidRDefault="00DA49AC" w:rsidP="00C84DD1">
      <w:pPr>
        <w:pStyle w:val="EndnoteText"/>
        <w:jc w:val="both"/>
        <w:rPr>
          <w:rFonts w:ascii="Times New Roman" w:hAnsi="Times New Roman"/>
          <w:sz w:val="24"/>
          <w:szCs w:val="24"/>
        </w:rPr>
      </w:pPr>
    </w:p>
    <w:p w:rsidR="00DA49AC" w:rsidRDefault="00DA49AC" w:rsidP="00C84DD1">
      <w:pPr>
        <w:pStyle w:val="EndnoteText"/>
        <w:jc w:val="both"/>
        <w:rPr>
          <w:rFonts w:ascii="Times New Roman" w:hAnsi="Times New Roman"/>
          <w:sz w:val="24"/>
          <w:szCs w:val="24"/>
        </w:rPr>
      </w:pPr>
      <w:r>
        <w:rPr>
          <w:rFonts w:ascii="Times New Roman" w:hAnsi="Times New Roman"/>
          <w:sz w:val="24"/>
          <w:szCs w:val="24"/>
        </w:rPr>
        <w:t xml:space="preserve">Doe, H., ‘Waiting for her ship to come in? The female investor in nineteenth-century sailing vessels’, </w:t>
      </w:r>
      <w:r w:rsidRPr="00242A5C">
        <w:rPr>
          <w:rFonts w:ascii="Times New Roman" w:hAnsi="Times New Roman"/>
          <w:i/>
          <w:sz w:val="24"/>
          <w:szCs w:val="24"/>
        </w:rPr>
        <w:t>Economic History Review</w:t>
      </w:r>
      <w:r>
        <w:rPr>
          <w:rFonts w:ascii="Times New Roman" w:hAnsi="Times New Roman"/>
          <w:sz w:val="24"/>
          <w:szCs w:val="24"/>
        </w:rPr>
        <w:t>, 63 (2010), pp. 85-106.</w:t>
      </w:r>
    </w:p>
    <w:p w:rsidR="00DA49AC" w:rsidRPr="006B538E" w:rsidRDefault="00DA49AC" w:rsidP="00C84DD1">
      <w:pPr>
        <w:pStyle w:val="EndnoteText"/>
        <w:jc w:val="both"/>
        <w:rPr>
          <w:rFonts w:ascii="Times New Roman" w:hAnsi="Times New Roman"/>
          <w:sz w:val="24"/>
          <w:szCs w:val="24"/>
        </w:rPr>
      </w:pPr>
    </w:p>
    <w:p w:rsidR="00DA49AC" w:rsidRDefault="00DA49AC" w:rsidP="00E838D5">
      <w:pPr>
        <w:autoSpaceDE w:val="0"/>
        <w:autoSpaceDN w:val="0"/>
        <w:adjustRightInd w:val="0"/>
        <w:spacing w:line="240" w:lineRule="auto"/>
        <w:jc w:val="both"/>
        <w:rPr>
          <w:sz w:val="24"/>
          <w:szCs w:val="24"/>
          <w:lang w:val="en-US"/>
        </w:rPr>
      </w:pPr>
      <w:r w:rsidRPr="00E838D5">
        <w:rPr>
          <w:sz w:val="24"/>
          <w:szCs w:val="24"/>
          <w:lang w:val="en-US"/>
        </w:rPr>
        <w:t>Dwyer, P.</w:t>
      </w:r>
      <w:r>
        <w:rPr>
          <w:sz w:val="24"/>
          <w:szCs w:val="24"/>
          <w:lang w:val="en-US"/>
        </w:rPr>
        <w:t xml:space="preserve"> </w:t>
      </w:r>
      <w:r w:rsidRPr="00E838D5">
        <w:rPr>
          <w:sz w:val="24"/>
          <w:szCs w:val="24"/>
          <w:lang w:val="en-US"/>
        </w:rPr>
        <w:t>D., Gilkeson, J.</w:t>
      </w:r>
      <w:r>
        <w:rPr>
          <w:sz w:val="24"/>
          <w:szCs w:val="24"/>
          <w:lang w:val="en-US"/>
        </w:rPr>
        <w:t xml:space="preserve"> </w:t>
      </w:r>
      <w:r w:rsidRPr="00E838D5">
        <w:rPr>
          <w:sz w:val="24"/>
          <w:szCs w:val="24"/>
          <w:lang w:val="en-US"/>
        </w:rPr>
        <w:t>H. and List, J.</w:t>
      </w:r>
      <w:r>
        <w:rPr>
          <w:sz w:val="24"/>
          <w:szCs w:val="24"/>
          <w:lang w:val="en-US"/>
        </w:rPr>
        <w:t xml:space="preserve"> </w:t>
      </w:r>
      <w:r w:rsidRPr="00E838D5">
        <w:rPr>
          <w:sz w:val="24"/>
          <w:szCs w:val="24"/>
          <w:lang w:val="en-US"/>
        </w:rPr>
        <w:t>A., ‘Gender differences in revealed risk taking: evid</w:t>
      </w:r>
      <w:r>
        <w:rPr>
          <w:sz w:val="24"/>
          <w:szCs w:val="24"/>
          <w:lang w:val="en-US"/>
        </w:rPr>
        <w:t>ence from mutual fund investors’</w:t>
      </w:r>
      <w:r w:rsidRPr="00E838D5">
        <w:rPr>
          <w:sz w:val="24"/>
          <w:szCs w:val="24"/>
          <w:lang w:val="en-US"/>
        </w:rPr>
        <w:t xml:space="preserve">, </w:t>
      </w:r>
      <w:r w:rsidRPr="00E838D5">
        <w:rPr>
          <w:i/>
          <w:iCs/>
          <w:sz w:val="24"/>
          <w:szCs w:val="24"/>
          <w:lang w:val="en-US"/>
        </w:rPr>
        <w:t>Economics Letters,</w:t>
      </w:r>
      <w:r w:rsidRPr="00E838D5">
        <w:rPr>
          <w:sz w:val="24"/>
          <w:szCs w:val="24"/>
          <w:lang w:val="en-US"/>
        </w:rPr>
        <w:t xml:space="preserve"> 76 (2002), pp. 151–158.</w:t>
      </w:r>
    </w:p>
    <w:p w:rsidR="00DA49AC" w:rsidRPr="00E838D5" w:rsidRDefault="00DA49AC" w:rsidP="00E838D5">
      <w:pPr>
        <w:autoSpaceDE w:val="0"/>
        <w:autoSpaceDN w:val="0"/>
        <w:adjustRightInd w:val="0"/>
        <w:spacing w:line="240" w:lineRule="auto"/>
        <w:jc w:val="both"/>
        <w:rPr>
          <w:sz w:val="24"/>
          <w:szCs w:val="24"/>
          <w:lang w:val="en-US"/>
        </w:rPr>
      </w:pPr>
    </w:p>
    <w:p w:rsidR="00DA49AC" w:rsidRPr="006B538E" w:rsidRDefault="00DA49AC" w:rsidP="00C84DD1">
      <w:pPr>
        <w:autoSpaceDE w:val="0"/>
        <w:autoSpaceDN w:val="0"/>
        <w:adjustRightInd w:val="0"/>
        <w:spacing w:line="240" w:lineRule="auto"/>
        <w:jc w:val="both"/>
        <w:rPr>
          <w:sz w:val="24"/>
          <w:szCs w:val="24"/>
        </w:rPr>
      </w:pPr>
      <w:r>
        <w:rPr>
          <w:sz w:val="24"/>
          <w:szCs w:val="24"/>
        </w:rPr>
        <w:t>Edelstein, M</w:t>
      </w:r>
      <w:r w:rsidRPr="006B538E">
        <w:rPr>
          <w:sz w:val="24"/>
          <w:szCs w:val="24"/>
        </w:rPr>
        <w:t>.</w:t>
      </w:r>
      <w:r>
        <w:rPr>
          <w:sz w:val="24"/>
          <w:szCs w:val="24"/>
        </w:rPr>
        <w:t>,</w:t>
      </w:r>
      <w:r w:rsidRPr="006B538E">
        <w:rPr>
          <w:sz w:val="24"/>
          <w:szCs w:val="24"/>
        </w:rPr>
        <w:t xml:space="preserve"> </w:t>
      </w:r>
      <w:r w:rsidRPr="006B538E">
        <w:rPr>
          <w:i/>
          <w:sz w:val="24"/>
          <w:szCs w:val="24"/>
        </w:rPr>
        <w:t>Overseas investment in the age of high imperialism</w:t>
      </w:r>
      <w:r>
        <w:rPr>
          <w:i/>
          <w:sz w:val="24"/>
          <w:szCs w:val="24"/>
        </w:rPr>
        <w:t>: t</w:t>
      </w:r>
      <w:r w:rsidRPr="006B538E">
        <w:rPr>
          <w:i/>
          <w:sz w:val="24"/>
          <w:szCs w:val="24"/>
        </w:rPr>
        <w:t>he United Kingdom, 1850–1914</w:t>
      </w:r>
      <w:r>
        <w:rPr>
          <w:sz w:val="24"/>
          <w:szCs w:val="24"/>
        </w:rPr>
        <w:t xml:space="preserve"> (</w:t>
      </w:r>
      <w:r w:rsidRPr="006B538E">
        <w:rPr>
          <w:sz w:val="24"/>
          <w:szCs w:val="24"/>
        </w:rPr>
        <w:t>New York: Columbia University Press, 1982</w:t>
      </w:r>
      <w:r>
        <w:rPr>
          <w:sz w:val="24"/>
          <w:szCs w:val="24"/>
        </w:rPr>
        <w:t>)</w:t>
      </w:r>
      <w:r w:rsidRPr="006B538E">
        <w:rPr>
          <w:sz w:val="24"/>
          <w:szCs w:val="24"/>
        </w:rPr>
        <w:t>.</w:t>
      </w:r>
    </w:p>
    <w:p w:rsidR="00DA49AC" w:rsidRDefault="00DA49AC" w:rsidP="009B5D09">
      <w:pPr>
        <w:autoSpaceDE w:val="0"/>
        <w:autoSpaceDN w:val="0"/>
        <w:adjustRightInd w:val="0"/>
        <w:spacing w:line="240" w:lineRule="auto"/>
        <w:jc w:val="both"/>
        <w:rPr>
          <w:sz w:val="24"/>
          <w:szCs w:val="24"/>
        </w:rPr>
      </w:pPr>
    </w:p>
    <w:p w:rsidR="00DA49AC" w:rsidRPr="009B5D09" w:rsidRDefault="00DA49AC" w:rsidP="009B5D09">
      <w:pPr>
        <w:autoSpaceDE w:val="0"/>
        <w:autoSpaceDN w:val="0"/>
        <w:adjustRightInd w:val="0"/>
        <w:spacing w:line="240" w:lineRule="auto"/>
        <w:jc w:val="both"/>
        <w:rPr>
          <w:sz w:val="24"/>
          <w:szCs w:val="24"/>
        </w:rPr>
      </w:pPr>
      <w:r w:rsidRPr="009B5D09">
        <w:rPr>
          <w:sz w:val="24"/>
          <w:szCs w:val="24"/>
        </w:rPr>
        <w:t xml:space="preserve">Elton, E. J. and Gruber, M. J. </w:t>
      </w:r>
      <w:r>
        <w:rPr>
          <w:sz w:val="24"/>
          <w:szCs w:val="24"/>
        </w:rPr>
        <w:t>‘</w:t>
      </w:r>
      <w:r w:rsidRPr="009B5D09">
        <w:rPr>
          <w:sz w:val="24"/>
          <w:szCs w:val="24"/>
        </w:rPr>
        <w:t xml:space="preserve">Marginal </w:t>
      </w:r>
      <w:r w:rsidRPr="009B5D09">
        <w:rPr>
          <w:sz w:val="24"/>
          <w:szCs w:val="24"/>
          <w:lang w:eastAsia="zh-CN"/>
        </w:rPr>
        <w:t>s</w:t>
      </w:r>
      <w:r w:rsidRPr="009B5D09">
        <w:rPr>
          <w:sz w:val="24"/>
          <w:szCs w:val="24"/>
        </w:rPr>
        <w:t xml:space="preserve">tockholder </w:t>
      </w:r>
      <w:r w:rsidRPr="009B5D09">
        <w:rPr>
          <w:sz w:val="24"/>
          <w:szCs w:val="24"/>
          <w:lang w:eastAsia="zh-CN"/>
        </w:rPr>
        <w:t>t</w:t>
      </w:r>
      <w:r w:rsidRPr="009B5D09">
        <w:rPr>
          <w:sz w:val="24"/>
          <w:szCs w:val="24"/>
        </w:rPr>
        <w:t xml:space="preserve">ax </w:t>
      </w:r>
      <w:r w:rsidRPr="009B5D09">
        <w:rPr>
          <w:sz w:val="24"/>
          <w:szCs w:val="24"/>
          <w:lang w:eastAsia="zh-CN"/>
        </w:rPr>
        <w:t>r</w:t>
      </w:r>
      <w:r w:rsidRPr="009B5D09">
        <w:rPr>
          <w:sz w:val="24"/>
          <w:szCs w:val="24"/>
        </w:rPr>
        <w:t xml:space="preserve">ates and the </w:t>
      </w:r>
      <w:r w:rsidRPr="009B5D09">
        <w:rPr>
          <w:sz w:val="24"/>
          <w:szCs w:val="24"/>
          <w:lang w:eastAsia="zh-CN"/>
        </w:rPr>
        <w:t>c</w:t>
      </w:r>
      <w:r w:rsidRPr="009B5D09">
        <w:rPr>
          <w:sz w:val="24"/>
          <w:szCs w:val="24"/>
        </w:rPr>
        <w:t xml:space="preserve">lientele </w:t>
      </w:r>
      <w:r w:rsidRPr="009B5D09">
        <w:rPr>
          <w:sz w:val="24"/>
          <w:szCs w:val="24"/>
          <w:lang w:eastAsia="zh-CN"/>
        </w:rPr>
        <w:t>e</w:t>
      </w:r>
      <w:r w:rsidRPr="009B5D09">
        <w:rPr>
          <w:sz w:val="24"/>
          <w:szCs w:val="24"/>
        </w:rPr>
        <w:t>ffect</w:t>
      </w:r>
      <w:r>
        <w:rPr>
          <w:sz w:val="24"/>
          <w:szCs w:val="24"/>
        </w:rPr>
        <w:t>’</w:t>
      </w:r>
      <w:r w:rsidRPr="009B5D09">
        <w:rPr>
          <w:sz w:val="24"/>
          <w:szCs w:val="24"/>
          <w:lang w:eastAsia="zh-CN"/>
        </w:rPr>
        <w:t>,</w:t>
      </w:r>
      <w:r w:rsidRPr="009B5D09">
        <w:rPr>
          <w:sz w:val="24"/>
          <w:szCs w:val="24"/>
        </w:rPr>
        <w:t xml:space="preserve"> </w:t>
      </w:r>
      <w:r w:rsidRPr="002D6D6B">
        <w:rPr>
          <w:i/>
          <w:iCs/>
          <w:sz w:val="24"/>
          <w:szCs w:val="24"/>
        </w:rPr>
        <w:t>Review of Economics and Statistics</w:t>
      </w:r>
      <w:r>
        <w:rPr>
          <w:sz w:val="24"/>
          <w:szCs w:val="24"/>
        </w:rPr>
        <w:t>,</w:t>
      </w:r>
      <w:r w:rsidRPr="002D6D6B">
        <w:rPr>
          <w:sz w:val="24"/>
          <w:szCs w:val="24"/>
        </w:rPr>
        <w:t xml:space="preserve"> </w:t>
      </w:r>
      <w:r w:rsidRPr="009B5D09">
        <w:rPr>
          <w:sz w:val="24"/>
          <w:szCs w:val="24"/>
        </w:rPr>
        <w:t>52</w:t>
      </w:r>
      <w:r>
        <w:rPr>
          <w:sz w:val="24"/>
          <w:szCs w:val="24"/>
        </w:rPr>
        <w:t xml:space="preserve"> </w:t>
      </w:r>
      <w:r w:rsidRPr="009B5D09">
        <w:rPr>
          <w:sz w:val="24"/>
          <w:szCs w:val="24"/>
        </w:rPr>
        <w:t>(1970)</w:t>
      </w:r>
      <w:r w:rsidRPr="009B5D09">
        <w:rPr>
          <w:sz w:val="24"/>
          <w:szCs w:val="24"/>
          <w:lang w:eastAsia="zh-CN"/>
        </w:rPr>
        <w:t>,</w:t>
      </w:r>
      <w:r w:rsidRPr="009B5D09">
        <w:rPr>
          <w:sz w:val="24"/>
          <w:szCs w:val="24"/>
        </w:rPr>
        <w:t xml:space="preserve"> </w:t>
      </w:r>
      <w:r>
        <w:rPr>
          <w:sz w:val="24"/>
          <w:szCs w:val="24"/>
        </w:rPr>
        <w:t xml:space="preserve">pp. </w:t>
      </w:r>
      <w:r w:rsidRPr="009B5D09">
        <w:rPr>
          <w:sz w:val="24"/>
          <w:szCs w:val="24"/>
        </w:rPr>
        <w:t>68–74.</w:t>
      </w:r>
    </w:p>
    <w:p w:rsidR="00DA49AC" w:rsidRDefault="00DA49AC" w:rsidP="00C84DD1">
      <w:pPr>
        <w:autoSpaceDE w:val="0"/>
        <w:autoSpaceDN w:val="0"/>
        <w:adjustRightInd w:val="0"/>
        <w:spacing w:line="240" w:lineRule="auto"/>
        <w:jc w:val="both"/>
        <w:rPr>
          <w:sz w:val="24"/>
          <w:szCs w:val="24"/>
        </w:rPr>
      </w:pPr>
    </w:p>
    <w:p w:rsidR="00DA49AC" w:rsidRPr="006B538E" w:rsidRDefault="00DA49AC" w:rsidP="00C84DD1">
      <w:pPr>
        <w:autoSpaceDE w:val="0"/>
        <w:autoSpaceDN w:val="0"/>
        <w:adjustRightInd w:val="0"/>
        <w:spacing w:line="240" w:lineRule="auto"/>
        <w:jc w:val="both"/>
        <w:rPr>
          <w:sz w:val="24"/>
          <w:szCs w:val="24"/>
        </w:rPr>
      </w:pPr>
      <w:r>
        <w:rPr>
          <w:sz w:val="24"/>
          <w:szCs w:val="24"/>
        </w:rPr>
        <w:t xml:space="preserve">Goetzmann, W. </w:t>
      </w:r>
      <w:r w:rsidRPr="006B538E">
        <w:rPr>
          <w:sz w:val="24"/>
          <w:szCs w:val="24"/>
        </w:rPr>
        <w:t>N. and Ukhov</w:t>
      </w:r>
      <w:r>
        <w:rPr>
          <w:sz w:val="24"/>
          <w:szCs w:val="24"/>
        </w:rPr>
        <w:t xml:space="preserve">, A. </w:t>
      </w:r>
      <w:r w:rsidRPr="006B538E">
        <w:rPr>
          <w:sz w:val="24"/>
          <w:szCs w:val="24"/>
        </w:rPr>
        <w:t>D.</w:t>
      </w:r>
      <w:r>
        <w:rPr>
          <w:sz w:val="24"/>
          <w:szCs w:val="24"/>
        </w:rPr>
        <w:t>, ‘British investment overseas 1870-1913: a</w:t>
      </w:r>
      <w:r w:rsidRPr="006B538E">
        <w:rPr>
          <w:sz w:val="24"/>
          <w:szCs w:val="24"/>
        </w:rPr>
        <w:t xml:space="preserve"> modern portfolio theory approach</w:t>
      </w:r>
      <w:r>
        <w:rPr>
          <w:sz w:val="24"/>
          <w:szCs w:val="24"/>
        </w:rPr>
        <w:t>’,</w:t>
      </w:r>
      <w:r w:rsidRPr="006B538E">
        <w:rPr>
          <w:sz w:val="24"/>
          <w:szCs w:val="24"/>
        </w:rPr>
        <w:t xml:space="preserve"> </w:t>
      </w:r>
      <w:r w:rsidRPr="006B538E">
        <w:rPr>
          <w:i/>
          <w:sz w:val="24"/>
          <w:szCs w:val="24"/>
        </w:rPr>
        <w:t>Review of Finance</w:t>
      </w:r>
      <w:r>
        <w:rPr>
          <w:sz w:val="24"/>
          <w:szCs w:val="24"/>
        </w:rPr>
        <w:t>, 10 (2006), pp.</w:t>
      </w:r>
      <w:r w:rsidRPr="006B538E">
        <w:rPr>
          <w:sz w:val="24"/>
          <w:szCs w:val="24"/>
        </w:rPr>
        <w:t xml:space="preserve"> 261–300.</w:t>
      </w:r>
    </w:p>
    <w:p w:rsidR="00DA49AC" w:rsidRDefault="00DA49AC" w:rsidP="00C84DD1">
      <w:pPr>
        <w:spacing w:line="240" w:lineRule="auto"/>
        <w:jc w:val="both"/>
        <w:rPr>
          <w:sz w:val="24"/>
          <w:szCs w:val="24"/>
        </w:rPr>
      </w:pPr>
    </w:p>
    <w:p w:rsidR="00DA49AC" w:rsidRDefault="00DA49AC" w:rsidP="00DE44B7">
      <w:pPr>
        <w:spacing w:line="240" w:lineRule="auto"/>
        <w:jc w:val="both"/>
        <w:rPr>
          <w:sz w:val="24"/>
          <w:szCs w:val="24"/>
        </w:rPr>
      </w:pPr>
      <w:r>
        <w:rPr>
          <w:sz w:val="24"/>
          <w:szCs w:val="24"/>
        </w:rPr>
        <w:t xml:space="preserve">Gourvish, T. R. and Wilson, R. G. </w:t>
      </w:r>
      <w:r w:rsidRPr="002D6D6B">
        <w:rPr>
          <w:i/>
          <w:sz w:val="24"/>
          <w:szCs w:val="24"/>
        </w:rPr>
        <w:t>The British brewing industry, 1830-1980</w:t>
      </w:r>
      <w:r>
        <w:rPr>
          <w:sz w:val="24"/>
          <w:szCs w:val="24"/>
        </w:rPr>
        <w:t xml:space="preserve"> (Cambridge: Cambridge University Press, 1994).</w:t>
      </w:r>
    </w:p>
    <w:p w:rsidR="00DA49AC" w:rsidRDefault="00DA49AC" w:rsidP="00DE44B7">
      <w:pPr>
        <w:spacing w:line="240" w:lineRule="auto"/>
        <w:jc w:val="both"/>
        <w:rPr>
          <w:sz w:val="24"/>
          <w:szCs w:val="24"/>
        </w:rPr>
      </w:pPr>
    </w:p>
    <w:p w:rsidR="00DA49AC" w:rsidRDefault="00DA49AC" w:rsidP="0067261A">
      <w:pPr>
        <w:spacing w:line="240" w:lineRule="auto"/>
        <w:jc w:val="both"/>
        <w:rPr>
          <w:sz w:val="24"/>
        </w:rPr>
      </w:pPr>
      <w:r>
        <w:rPr>
          <w:sz w:val="24"/>
        </w:rPr>
        <w:t xml:space="preserve">Graham, J. R. and Kumar, A., ‘Do dividend clienteles exist? Evidence on dividend preferences of retail investors’, </w:t>
      </w:r>
      <w:r>
        <w:rPr>
          <w:i/>
          <w:sz w:val="24"/>
        </w:rPr>
        <w:t>Journal of Finance</w:t>
      </w:r>
      <w:r>
        <w:rPr>
          <w:sz w:val="24"/>
        </w:rPr>
        <w:t>, 61 (2006), pp.1305-36.</w:t>
      </w:r>
    </w:p>
    <w:p w:rsidR="00DA49AC" w:rsidRDefault="00DA49AC" w:rsidP="0067261A">
      <w:pPr>
        <w:spacing w:line="240" w:lineRule="auto"/>
        <w:jc w:val="both"/>
        <w:rPr>
          <w:sz w:val="24"/>
          <w:szCs w:val="24"/>
        </w:rPr>
      </w:pPr>
    </w:p>
    <w:p w:rsidR="00DA49AC" w:rsidRPr="00737800" w:rsidRDefault="00DA49AC" w:rsidP="00431B2A">
      <w:pPr>
        <w:spacing w:line="240" w:lineRule="auto"/>
        <w:jc w:val="both"/>
        <w:rPr>
          <w:rFonts w:cs="Calibri"/>
          <w:sz w:val="24"/>
          <w:szCs w:val="24"/>
        </w:rPr>
      </w:pPr>
      <w:r w:rsidRPr="00737800">
        <w:rPr>
          <w:rFonts w:cs="Calibri"/>
          <w:sz w:val="24"/>
          <w:szCs w:val="24"/>
        </w:rPr>
        <w:t xml:space="preserve">Green, D. R. and Owens, A. ‘Gentlewomanly capitalism? Spinsters, widows and wealth holding in England Wales’, </w:t>
      </w:r>
      <w:r w:rsidRPr="00737800">
        <w:rPr>
          <w:rFonts w:cs="Calibri"/>
          <w:i/>
          <w:sz w:val="24"/>
          <w:szCs w:val="24"/>
        </w:rPr>
        <w:t>Economic History Review</w:t>
      </w:r>
      <w:r w:rsidRPr="00737800">
        <w:rPr>
          <w:rFonts w:cs="Calibri"/>
          <w:sz w:val="24"/>
          <w:szCs w:val="24"/>
        </w:rPr>
        <w:t xml:space="preserve">, </w:t>
      </w:r>
      <w:r w:rsidRPr="00431B2A">
        <w:rPr>
          <w:rFonts w:cs="Calibri"/>
          <w:sz w:val="24"/>
          <w:szCs w:val="24"/>
        </w:rPr>
        <w:t>56</w:t>
      </w:r>
      <w:r>
        <w:rPr>
          <w:rFonts w:cs="Calibri"/>
          <w:sz w:val="24"/>
          <w:szCs w:val="24"/>
        </w:rPr>
        <w:t xml:space="preserve"> (2003)</w:t>
      </w:r>
      <w:r w:rsidRPr="00737800">
        <w:rPr>
          <w:rFonts w:cs="Calibri"/>
          <w:sz w:val="24"/>
          <w:szCs w:val="24"/>
        </w:rPr>
        <w:t xml:space="preserve">, </w:t>
      </w:r>
      <w:r>
        <w:rPr>
          <w:rFonts w:cs="Calibri"/>
          <w:sz w:val="24"/>
          <w:szCs w:val="24"/>
        </w:rPr>
        <w:t>pp. 510-36</w:t>
      </w:r>
      <w:r w:rsidRPr="00737800">
        <w:rPr>
          <w:rFonts w:cs="Calibri"/>
          <w:sz w:val="24"/>
          <w:szCs w:val="24"/>
        </w:rPr>
        <w:t>.</w:t>
      </w:r>
    </w:p>
    <w:p w:rsidR="00DA49AC" w:rsidRPr="006B538E" w:rsidRDefault="00DA49AC" w:rsidP="00431B2A">
      <w:pPr>
        <w:spacing w:line="240" w:lineRule="auto"/>
        <w:jc w:val="both"/>
        <w:rPr>
          <w:sz w:val="24"/>
          <w:szCs w:val="24"/>
        </w:rPr>
      </w:pPr>
    </w:p>
    <w:p w:rsidR="00DA49AC" w:rsidRPr="006B538E" w:rsidRDefault="00DA49AC" w:rsidP="00C84DD1">
      <w:pPr>
        <w:spacing w:line="240" w:lineRule="auto"/>
        <w:jc w:val="both"/>
        <w:rPr>
          <w:sz w:val="24"/>
          <w:szCs w:val="24"/>
        </w:rPr>
      </w:pPr>
      <w:r>
        <w:rPr>
          <w:sz w:val="24"/>
          <w:szCs w:val="24"/>
        </w:rPr>
        <w:t>Grossman, R.</w:t>
      </w:r>
      <w:r w:rsidRPr="006B538E">
        <w:rPr>
          <w:sz w:val="24"/>
          <w:szCs w:val="24"/>
        </w:rPr>
        <w:t xml:space="preserve"> S</w:t>
      </w:r>
      <w:r>
        <w:rPr>
          <w:sz w:val="24"/>
          <w:szCs w:val="24"/>
        </w:rPr>
        <w:t>. ‘New indices of British equity prices, 1870-1913’,</w:t>
      </w:r>
      <w:r w:rsidRPr="006B538E">
        <w:rPr>
          <w:sz w:val="24"/>
          <w:szCs w:val="24"/>
        </w:rPr>
        <w:t xml:space="preserve"> </w:t>
      </w:r>
      <w:r w:rsidRPr="006B538E">
        <w:rPr>
          <w:i/>
          <w:iCs/>
          <w:sz w:val="24"/>
          <w:szCs w:val="24"/>
        </w:rPr>
        <w:t>Journal of Economic History</w:t>
      </w:r>
      <w:r>
        <w:rPr>
          <w:iCs/>
          <w:sz w:val="24"/>
          <w:szCs w:val="24"/>
        </w:rPr>
        <w:t>,</w:t>
      </w:r>
      <w:r w:rsidRPr="006B538E">
        <w:rPr>
          <w:iCs/>
          <w:sz w:val="24"/>
          <w:szCs w:val="24"/>
        </w:rPr>
        <w:t xml:space="preserve"> </w:t>
      </w:r>
      <w:r w:rsidRPr="006B538E">
        <w:rPr>
          <w:bCs/>
          <w:sz w:val="24"/>
          <w:szCs w:val="24"/>
        </w:rPr>
        <w:t>62</w:t>
      </w:r>
      <w:r>
        <w:rPr>
          <w:sz w:val="24"/>
          <w:szCs w:val="24"/>
        </w:rPr>
        <w:t xml:space="preserve"> (2002), pp.</w:t>
      </w:r>
      <w:r w:rsidRPr="006B538E">
        <w:rPr>
          <w:sz w:val="24"/>
          <w:szCs w:val="24"/>
        </w:rPr>
        <w:t xml:space="preserve"> 121-46.</w:t>
      </w:r>
    </w:p>
    <w:p w:rsidR="00DA49AC" w:rsidRPr="006B538E" w:rsidRDefault="00DA49AC" w:rsidP="00C84DD1">
      <w:pPr>
        <w:spacing w:line="240" w:lineRule="auto"/>
        <w:jc w:val="both"/>
        <w:rPr>
          <w:sz w:val="24"/>
          <w:szCs w:val="24"/>
        </w:rPr>
      </w:pPr>
    </w:p>
    <w:p w:rsidR="00DA49AC" w:rsidRPr="006B538E" w:rsidRDefault="00DA49AC" w:rsidP="00C84DD1">
      <w:pPr>
        <w:spacing w:line="240" w:lineRule="auto"/>
        <w:jc w:val="both"/>
        <w:rPr>
          <w:sz w:val="24"/>
          <w:szCs w:val="24"/>
        </w:rPr>
      </w:pPr>
      <w:r>
        <w:rPr>
          <w:sz w:val="24"/>
          <w:szCs w:val="24"/>
        </w:rPr>
        <w:t>Grossman, R. S. ‘Bloody f</w:t>
      </w:r>
      <w:r w:rsidRPr="006B538E">
        <w:rPr>
          <w:sz w:val="24"/>
          <w:szCs w:val="24"/>
        </w:rPr>
        <w:t xml:space="preserve">oreigners! Overseas </w:t>
      </w:r>
      <w:r>
        <w:rPr>
          <w:sz w:val="24"/>
          <w:szCs w:val="24"/>
        </w:rPr>
        <w:t>equity on the London Stock Exchange, 1869-1928’,</w:t>
      </w:r>
      <w:r w:rsidRPr="006B538E">
        <w:rPr>
          <w:sz w:val="24"/>
          <w:szCs w:val="24"/>
        </w:rPr>
        <w:t xml:space="preserve"> </w:t>
      </w:r>
      <w:r w:rsidRPr="006B538E">
        <w:rPr>
          <w:i/>
          <w:sz w:val="24"/>
          <w:szCs w:val="24"/>
        </w:rPr>
        <w:t>Economic History Review</w:t>
      </w:r>
      <w:r w:rsidRPr="006B538E">
        <w:rPr>
          <w:sz w:val="24"/>
          <w:szCs w:val="24"/>
        </w:rPr>
        <w:t xml:space="preserve"> (forthcoming).</w:t>
      </w:r>
    </w:p>
    <w:p w:rsidR="00DA49AC" w:rsidRPr="006B538E" w:rsidRDefault="00DA49AC" w:rsidP="00C84DD1">
      <w:pPr>
        <w:spacing w:line="240" w:lineRule="auto"/>
        <w:jc w:val="both"/>
        <w:rPr>
          <w:sz w:val="24"/>
          <w:szCs w:val="24"/>
        </w:rPr>
      </w:pPr>
    </w:p>
    <w:p w:rsidR="00DA49AC" w:rsidRPr="001F6E50" w:rsidRDefault="00DA49AC" w:rsidP="00C70B88">
      <w:pPr>
        <w:rPr>
          <w:sz w:val="24"/>
          <w:szCs w:val="24"/>
        </w:rPr>
      </w:pPr>
      <w:r w:rsidRPr="001F6E50">
        <w:rPr>
          <w:sz w:val="24"/>
          <w:szCs w:val="24"/>
        </w:rPr>
        <w:t xml:space="preserve">Jefferys, J. B., </w:t>
      </w:r>
      <w:r w:rsidRPr="001F6E50">
        <w:rPr>
          <w:i/>
          <w:sz w:val="24"/>
          <w:szCs w:val="24"/>
        </w:rPr>
        <w:t>Business organisation in Great Britain 1856-1914</w:t>
      </w:r>
      <w:r w:rsidRPr="001F6E50">
        <w:rPr>
          <w:sz w:val="24"/>
          <w:szCs w:val="24"/>
        </w:rPr>
        <w:t xml:space="preserve"> (New York,</w:t>
      </w:r>
      <w:r>
        <w:rPr>
          <w:sz w:val="24"/>
          <w:szCs w:val="24"/>
        </w:rPr>
        <w:t xml:space="preserve"> Arno,</w:t>
      </w:r>
      <w:r w:rsidRPr="001F6E50">
        <w:rPr>
          <w:sz w:val="24"/>
          <w:szCs w:val="24"/>
        </w:rPr>
        <w:t xml:space="preserve"> 1977).</w:t>
      </w:r>
    </w:p>
    <w:p w:rsidR="00DA49AC" w:rsidRPr="00C70B88" w:rsidRDefault="00DA49AC" w:rsidP="00C70B88">
      <w:pPr>
        <w:spacing w:line="240" w:lineRule="auto"/>
        <w:jc w:val="both"/>
        <w:rPr>
          <w:sz w:val="24"/>
          <w:szCs w:val="24"/>
        </w:rPr>
      </w:pPr>
      <w:r w:rsidRPr="00C70B88">
        <w:rPr>
          <w:sz w:val="24"/>
          <w:szCs w:val="24"/>
        </w:rPr>
        <w:t xml:space="preserve">Jefferys, J. B., ‘The denomination and character of shares, 1855-1885’, </w:t>
      </w:r>
      <w:r w:rsidRPr="00C70B88">
        <w:rPr>
          <w:i/>
          <w:sz w:val="24"/>
          <w:szCs w:val="24"/>
        </w:rPr>
        <w:t>Economic History Review,</w:t>
      </w:r>
      <w:r w:rsidRPr="00C70B88">
        <w:rPr>
          <w:sz w:val="24"/>
          <w:szCs w:val="24"/>
        </w:rPr>
        <w:t xml:space="preserve"> </w:t>
      </w:r>
      <w:r>
        <w:rPr>
          <w:sz w:val="24"/>
          <w:szCs w:val="24"/>
        </w:rPr>
        <w:t>16</w:t>
      </w:r>
      <w:r w:rsidRPr="00C70B88">
        <w:rPr>
          <w:sz w:val="24"/>
          <w:szCs w:val="24"/>
        </w:rPr>
        <w:t xml:space="preserve"> (1946), pp. 45-55.  </w:t>
      </w:r>
    </w:p>
    <w:p w:rsidR="00DA49AC" w:rsidRDefault="00DA49AC" w:rsidP="00C84DD1">
      <w:pPr>
        <w:autoSpaceDE w:val="0"/>
        <w:autoSpaceDN w:val="0"/>
        <w:adjustRightInd w:val="0"/>
        <w:spacing w:line="240" w:lineRule="auto"/>
        <w:jc w:val="both"/>
        <w:rPr>
          <w:sz w:val="24"/>
          <w:szCs w:val="24"/>
        </w:rPr>
      </w:pPr>
    </w:p>
    <w:p w:rsidR="00DA49AC" w:rsidRPr="006B538E" w:rsidRDefault="00DA49AC" w:rsidP="00C84DD1">
      <w:pPr>
        <w:autoSpaceDE w:val="0"/>
        <w:autoSpaceDN w:val="0"/>
        <w:adjustRightInd w:val="0"/>
        <w:spacing w:line="240" w:lineRule="auto"/>
        <w:jc w:val="both"/>
        <w:rPr>
          <w:sz w:val="24"/>
          <w:szCs w:val="24"/>
        </w:rPr>
      </w:pPr>
      <w:r w:rsidRPr="006B538E">
        <w:rPr>
          <w:sz w:val="24"/>
          <w:szCs w:val="24"/>
        </w:rPr>
        <w:t xml:space="preserve">Kennedy, William P. </w:t>
      </w:r>
      <w:r w:rsidRPr="006B538E">
        <w:rPr>
          <w:i/>
          <w:sz w:val="24"/>
          <w:szCs w:val="24"/>
        </w:rPr>
        <w:t>Industrial Structure, Capital Markets and the Origins of British Economic Decline</w:t>
      </w:r>
      <w:r w:rsidRPr="006B538E">
        <w:rPr>
          <w:sz w:val="24"/>
          <w:szCs w:val="24"/>
        </w:rPr>
        <w:t>. Cambridge: Cambridge University Press, 1987.</w:t>
      </w:r>
    </w:p>
    <w:p w:rsidR="00DA49AC" w:rsidRDefault="00DA49AC" w:rsidP="00C84DD1">
      <w:pPr>
        <w:spacing w:line="240" w:lineRule="auto"/>
        <w:jc w:val="both"/>
        <w:rPr>
          <w:sz w:val="24"/>
          <w:szCs w:val="24"/>
        </w:rPr>
      </w:pPr>
    </w:p>
    <w:p w:rsidR="00DA49AC" w:rsidRPr="00C70B88" w:rsidRDefault="00DA49AC" w:rsidP="00D97950">
      <w:pPr>
        <w:spacing w:line="240" w:lineRule="auto"/>
        <w:jc w:val="both"/>
        <w:rPr>
          <w:sz w:val="24"/>
          <w:szCs w:val="24"/>
        </w:rPr>
      </w:pPr>
      <w:r>
        <w:rPr>
          <w:sz w:val="24"/>
          <w:szCs w:val="24"/>
        </w:rPr>
        <w:t xml:space="preserve">Killick, J. R. and Thomas, W. A. ‘The provincial stock exchanges’, </w:t>
      </w:r>
      <w:r w:rsidRPr="00C70B88">
        <w:rPr>
          <w:i/>
          <w:sz w:val="24"/>
          <w:szCs w:val="24"/>
        </w:rPr>
        <w:t>Economic History Review,</w:t>
      </w:r>
      <w:r w:rsidRPr="00C70B88">
        <w:rPr>
          <w:sz w:val="24"/>
          <w:szCs w:val="24"/>
        </w:rPr>
        <w:t xml:space="preserve"> </w:t>
      </w:r>
      <w:r>
        <w:rPr>
          <w:sz w:val="24"/>
          <w:szCs w:val="24"/>
        </w:rPr>
        <w:t>23 (1970), pp. 96-111</w:t>
      </w:r>
      <w:r w:rsidRPr="00C70B88">
        <w:rPr>
          <w:sz w:val="24"/>
          <w:szCs w:val="24"/>
        </w:rPr>
        <w:t xml:space="preserve">.  </w:t>
      </w:r>
    </w:p>
    <w:p w:rsidR="00DA49AC" w:rsidRDefault="00DA49AC" w:rsidP="00C84DD1">
      <w:pPr>
        <w:spacing w:line="240" w:lineRule="auto"/>
        <w:jc w:val="both"/>
        <w:rPr>
          <w:sz w:val="24"/>
          <w:szCs w:val="24"/>
        </w:rPr>
      </w:pPr>
    </w:p>
    <w:p w:rsidR="00DA49AC" w:rsidRPr="006B538E" w:rsidRDefault="00DA49AC" w:rsidP="005E29C4">
      <w:pPr>
        <w:spacing w:line="240" w:lineRule="auto"/>
        <w:jc w:val="both"/>
        <w:rPr>
          <w:sz w:val="24"/>
          <w:szCs w:val="24"/>
        </w:rPr>
      </w:pPr>
      <w:r w:rsidRPr="006B538E">
        <w:rPr>
          <w:sz w:val="24"/>
          <w:szCs w:val="24"/>
        </w:rPr>
        <w:t>McDonald, D. G.</w:t>
      </w:r>
      <w:r>
        <w:rPr>
          <w:sz w:val="24"/>
          <w:szCs w:val="24"/>
        </w:rPr>
        <w:t>,</w:t>
      </w:r>
      <w:r w:rsidRPr="006B538E">
        <w:rPr>
          <w:sz w:val="24"/>
          <w:szCs w:val="24"/>
        </w:rPr>
        <w:t xml:space="preserve"> </w:t>
      </w:r>
      <w:r>
        <w:rPr>
          <w:i/>
          <w:sz w:val="24"/>
          <w:szCs w:val="24"/>
        </w:rPr>
        <w:t>The r</w:t>
      </w:r>
      <w:r w:rsidRPr="006B538E">
        <w:rPr>
          <w:i/>
          <w:sz w:val="24"/>
          <w:szCs w:val="24"/>
        </w:rPr>
        <w:t>ule in Trevor</w:t>
      </w:r>
      <w:r>
        <w:rPr>
          <w:i/>
          <w:sz w:val="24"/>
          <w:szCs w:val="24"/>
        </w:rPr>
        <w:t xml:space="preserve"> v. Whitworth: a United States p</w:t>
      </w:r>
      <w:r w:rsidRPr="006B538E">
        <w:rPr>
          <w:i/>
          <w:sz w:val="24"/>
          <w:szCs w:val="24"/>
        </w:rPr>
        <w:t>erspective</w:t>
      </w:r>
      <w:r>
        <w:rPr>
          <w:sz w:val="24"/>
          <w:szCs w:val="24"/>
        </w:rPr>
        <w:t xml:space="preserve">, </w:t>
      </w:r>
      <w:r w:rsidRPr="006B538E">
        <w:rPr>
          <w:sz w:val="24"/>
          <w:szCs w:val="24"/>
        </w:rPr>
        <w:t>Harvard Law School LLM Thesis, 1980.</w:t>
      </w:r>
    </w:p>
    <w:p w:rsidR="00DA49AC" w:rsidRDefault="00DA49AC" w:rsidP="00C84DD1">
      <w:pPr>
        <w:spacing w:line="240" w:lineRule="auto"/>
        <w:jc w:val="both"/>
        <w:rPr>
          <w:sz w:val="24"/>
          <w:szCs w:val="24"/>
        </w:rPr>
      </w:pPr>
    </w:p>
    <w:p w:rsidR="00DA49AC" w:rsidRPr="00F4652F" w:rsidRDefault="00DA49AC" w:rsidP="00A117C1">
      <w:pPr>
        <w:spacing w:line="240" w:lineRule="auto"/>
        <w:jc w:val="both"/>
        <w:rPr>
          <w:i/>
          <w:sz w:val="24"/>
          <w:szCs w:val="24"/>
        </w:rPr>
      </w:pPr>
      <w:r w:rsidRPr="00F4652F">
        <w:rPr>
          <w:sz w:val="24"/>
          <w:szCs w:val="24"/>
        </w:rPr>
        <w:t>Michie, R. C.</w:t>
      </w:r>
      <w:r>
        <w:rPr>
          <w:sz w:val="24"/>
          <w:szCs w:val="24"/>
        </w:rPr>
        <w:t>,</w:t>
      </w:r>
      <w:r w:rsidRPr="00F4652F">
        <w:rPr>
          <w:sz w:val="24"/>
          <w:szCs w:val="24"/>
        </w:rPr>
        <w:t xml:space="preserve"> </w:t>
      </w:r>
      <w:r w:rsidRPr="00F4652F">
        <w:rPr>
          <w:i/>
          <w:sz w:val="24"/>
          <w:szCs w:val="24"/>
        </w:rPr>
        <w:t>Money, mania and markets: investment, company formation and the stock exchange in nineteenth-century Scotland</w:t>
      </w:r>
      <w:r>
        <w:rPr>
          <w:sz w:val="24"/>
          <w:szCs w:val="24"/>
        </w:rPr>
        <w:t xml:space="preserve"> (</w:t>
      </w:r>
      <w:r w:rsidRPr="00F4652F">
        <w:rPr>
          <w:sz w:val="24"/>
          <w:szCs w:val="24"/>
        </w:rPr>
        <w:t>Edinburgh: John Donald Publishers Ltd., 1981</w:t>
      </w:r>
      <w:r>
        <w:rPr>
          <w:sz w:val="24"/>
          <w:szCs w:val="24"/>
        </w:rPr>
        <w:t>)</w:t>
      </w:r>
      <w:r w:rsidRPr="00F4652F">
        <w:rPr>
          <w:sz w:val="24"/>
          <w:szCs w:val="24"/>
        </w:rPr>
        <w:t>.</w:t>
      </w:r>
    </w:p>
    <w:p w:rsidR="00DA49AC" w:rsidRPr="00F4652F" w:rsidRDefault="00DA49AC" w:rsidP="00A117C1">
      <w:pPr>
        <w:spacing w:line="240" w:lineRule="auto"/>
        <w:jc w:val="both"/>
        <w:rPr>
          <w:sz w:val="24"/>
          <w:szCs w:val="24"/>
        </w:rPr>
      </w:pPr>
    </w:p>
    <w:p w:rsidR="00DA49AC" w:rsidRPr="006B538E" w:rsidRDefault="00DA49AC" w:rsidP="00A117C1">
      <w:pPr>
        <w:spacing w:line="240" w:lineRule="auto"/>
        <w:jc w:val="both"/>
        <w:rPr>
          <w:sz w:val="24"/>
          <w:szCs w:val="24"/>
        </w:rPr>
      </w:pPr>
      <w:r w:rsidRPr="008D3E27">
        <w:rPr>
          <w:sz w:val="24"/>
          <w:szCs w:val="24"/>
        </w:rPr>
        <w:t>Michie, R. C.</w:t>
      </w:r>
      <w:r>
        <w:rPr>
          <w:sz w:val="24"/>
          <w:szCs w:val="24"/>
        </w:rPr>
        <w:t>,</w:t>
      </w:r>
      <w:r w:rsidRPr="008D3E27">
        <w:rPr>
          <w:sz w:val="24"/>
          <w:szCs w:val="24"/>
        </w:rPr>
        <w:t xml:space="preserve"> </w:t>
      </w:r>
      <w:r w:rsidRPr="008D3E27">
        <w:rPr>
          <w:i/>
          <w:sz w:val="24"/>
          <w:szCs w:val="24"/>
        </w:rPr>
        <w:t>The London Stock Exchange</w:t>
      </w:r>
      <w:r>
        <w:rPr>
          <w:sz w:val="24"/>
          <w:szCs w:val="24"/>
        </w:rPr>
        <w:t xml:space="preserve"> (</w:t>
      </w:r>
      <w:r w:rsidRPr="008D3E27">
        <w:rPr>
          <w:sz w:val="24"/>
          <w:szCs w:val="24"/>
        </w:rPr>
        <w:t>Oxford: Oxford University Press, 1999</w:t>
      </w:r>
      <w:r>
        <w:rPr>
          <w:sz w:val="24"/>
          <w:szCs w:val="24"/>
        </w:rPr>
        <w:t>)</w:t>
      </w:r>
      <w:r w:rsidRPr="008D3E27">
        <w:rPr>
          <w:sz w:val="24"/>
          <w:szCs w:val="24"/>
        </w:rPr>
        <w:t>.</w:t>
      </w:r>
    </w:p>
    <w:p w:rsidR="00DA49AC" w:rsidRDefault="00DA49AC" w:rsidP="00A117C1">
      <w:pPr>
        <w:spacing w:line="240" w:lineRule="auto"/>
        <w:rPr>
          <w:rFonts w:cs="Calibri"/>
          <w:sz w:val="24"/>
          <w:szCs w:val="24"/>
        </w:rPr>
      </w:pPr>
    </w:p>
    <w:p w:rsidR="00DA49AC" w:rsidRPr="002F4D6E" w:rsidRDefault="00DA49AC" w:rsidP="00A117C1">
      <w:pPr>
        <w:spacing w:line="240" w:lineRule="auto"/>
        <w:jc w:val="both"/>
        <w:rPr>
          <w:rFonts w:cs="Calibri"/>
          <w:sz w:val="24"/>
          <w:szCs w:val="24"/>
        </w:rPr>
      </w:pPr>
      <w:r>
        <w:rPr>
          <w:rFonts w:cs="Calibri"/>
          <w:sz w:val="24"/>
          <w:szCs w:val="24"/>
        </w:rPr>
        <w:t xml:space="preserve">Michie, R. C., </w:t>
      </w:r>
      <w:r>
        <w:rPr>
          <w:rFonts w:cs="Calibri"/>
          <w:i/>
          <w:sz w:val="24"/>
          <w:szCs w:val="24"/>
        </w:rPr>
        <w:t>Guilty money: the City of London in Victorian and Edwardian culture, 1815-1914</w:t>
      </w:r>
      <w:r>
        <w:rPr>
          <w:rFonts w:cs="Calibri"/>
          <w:sz w:val="24"/>
          <w:szCs w:val="24"/>
        </w:rPr>
        <w:t xml:space="preserve"> (London: Pickering and Chatto, 2009).</w:t>
      </w:r>
    </w:p>
    <w:p w:rsidR="00DA49AC" w:rsidRPr="002F4D6E" w:rsidRDefault="00DA49AC" w:rsidP="00A117C1">
      <w:pPr>
        <w:spacing w:line="240" w:lineRule="auto"/>
        <w:rPr>
          <w:rFonts w:cs="Calibri"/>
          <w:sz w:val="24"/>
          <w:szCs w:val="24"/>
        </w:rPr>
      </w:pPr>
    </w:p>
    <w:p w:rsidR="00DA49AC" w:rsidRPr="002F4D6E" w:rsidRDefault="00DA49AC" w:rsidP="00A117C1">
      <w:pPr>
        <w:spacing w:line="240" w:lineRule="auto"/>
        <w:jc w:val="both"/>
        <w:rPr>
          <w:rFonts w:cs="Calibri"/>
          <w:sz w:val="24"/>
          <w:szCs w:val="24"/>
        </w:rPr>
      </w:pPr>
      <w:r>
        <w:rPr>
          <w:rFonts w:cs="Calibri"/>
          <w:sz w:val="24"/>
          <w:szCs w:val="24"/>
        </w:rPr>
        <w:t xml:space="preserve">Michie, R. C., ‘Gamblers, fools, victims, or wizards?  The British investor in the public mind, 1850-1930’, in D. R. Green, A. Owens, J. Maltby and J. Rutterford, eds., </w:t>
      </w:r>
      <w:r>
        <w:rPr>
          <w:rFonts w:cs="Calibri"/>
          <w:i/>
          <w:sz w:val="24"/>
          <w:szCs w:val="24"/>
        </w:rPr>
        <w:t>Men, women, and money: perspectives on gender, wealth, and investment 1850-1930</w:t>
      </w:r>
      <w:r>
        <w:rPr>
          <w:rFonts w:cs="Calibri"/>
          <w:sz w:val="24"/>
          <w:szCs w:val="24"/>
        </w:rPr>
        <w:t xml:space="preserve"> (Oxford: Oxford University Press, 2011), pp.156-83.</w:t>
      </w:r>
    </w:p>
    <w:p w:rsidR="00DA49AC" w:rsidRDefault="00DA49AC" w:rsidP="00C84DD1">
      <w:pPr>
        <w:spacing w:line="240" w:lineRule="auto"/>
        <w:jc w:val="both"/>
        <w:rPr>
          <w:sz w:val="24"/>
          <w:szCs w:val="24"/>
        </w:rPr>
      </w:pPr>
    </w:p>
    <w:p w:rsidR="00DA49AC" w:rsidRPr="00860ECD" w:rsidRDefault="00DA49AC" w:rsidP="00897918">
      <w:pPr>
        <w:spacing w:line="240" w:lineRule="auto"/>
        <w:jc w:val="both"/>
        <w:rPr>
          <w:rFonts w:eastAsia="MS Mincho"/>
          <w:sz w:val="24"/>
          <w:szCs w:val="24"/>
          <w:lang w:val="en-US"/>
        </w:rPr>
      </w:pPr>
      <w:r>
        <w:rPr>
          <w:rFonts w:eastAsia="MS Mincho"/>
          <w:sz w:val="24"/>
          <w:szCs w:val="24"/>
          <w:lang w:val="en-US"/>
        </w:rPr>
        <w:t>Newton, L</w:t>
      </w:r>
      <w:r w:rsidRPr="00860ECD">
        <w:rPr>
          <w:rFonts w:eastAsia="MS Mincho"/>
          <w:sz w:val="24"/>
          <w:szCs w:val="24"/>
          <w:lang w:val="en-US"/>
        </w:rPr>
        <w:t xml:space="preserve">. </w:t>
      </w:r>
      <w:r w:rsidRPr="00860ECD">
        <w:rPr>
          <w:rFonts w:eastAsia="MS Mincho"/>
          <w:i/>
          <w:sz w:val="24"/>
          <w:szCs w:val="24"/>
          <w:lang w:val="en-US"/>
        </w:rPr>
        <w:t xml:space="preserve">The finance of manufacturing industry </w:t>
      </w:r>
      <w:r>
        <w:rPr>
          <w:rFonts w:eastAsia="MS Mincho"/>
          <w:i/>
          <w:sz w:val="24"/>
          <w:szCs w:val="24"/>
          <w:lang w:val="en-US"/>
        </w:rPr>
        <w:t>in the Sheffield a</w:t>
      </w:r>
      <w:r w:rsidRPr="00860ECD">
        <w:rPr>
          <w:rFonts w:eastAsia="MS Mincho"/>
          <w:i/>
          <w:sz w:val="24"/>
          <w:szCs w:val="24"/>
          <w:lang w:val="en-US"/>
        </w:rPr>
        <w:t xml:space="preserve">rea c.1850-1885. </w:t>
      </w:r>
      <w:r w:rsidRPr="00860ECD">
        <w:rPr>
          <w:rFonts w:eastAsia="MS Mincho"/>
          <w:sz w:val="24"/>
          <w:szCs w:val="24"/>
          <w:lang w:val="en-US"/>
        </w:rPr>
        <w:t>PhD Thesis University of Leicester, 1993.</w:t>
      </w:r>
    </w:p>
    <w:p w:rsidR="00DA49AC" w:rsidRDefault="00DA49AC" w:rsidP="00C84DD1">
      <w:pPr>
        <w:spacing w:line="240" w:lineRule="auto"/>
        <w:jc w:val="both"/>
        <w:rPr>
          <w:sz w:val="24"/>
          <w:szCs w:val="24"/>
        </w:rPr>
      </w:pPr>
    </w:p>
    <w:p w:rsidR="00DA49AC" w:rsidRPr="006B538E" w:rsidRDefault="00DA49AC" w:rsidP="00C84DD1">
      <w:pPr>
        <w:spacing w:line="240" w:lineRule="auto"/>
        <w:jc w:val="both"/>
        <w:rPr>
          <w:sz w:val="24"/>
          <w:szCs w:val="24"/>
        </w:rPr>
      </w:pPr>
      <w:r>
        <w:rPr>
          <w:sz w:val="24"/>
          <w:szCs w:val="24"/>
        </w:rPr>
        <w:t>Newton, L.</w:t>
      </w:r>
      <w:r w:rsidRPr="006B538E">
        <w:rPr>
          <w:sz w:val="24"/>
          <w:szCs w:val="24"/>
        </w:rPr>
        <w:t xml:space="preserve"> and Cottrell</w:t>
      </w:r>
      <w:r>
        <w:rPr>
          <w:sz w:val="24"/>
          <w:szCs w:val="24"/>
        </w:rPr>
        <w:t xml:space="preserve">, P. </w:t>
      </w:r>
      <w:r w:rsidRPr="006B538E">
        <w:rPr>
          <w:sz w:val="24"/>
          <w:szCs w:val="24"/>
        </w:rPr>
        <w:t>L.</w:t>
      </w:r>
      <w:r>
        <w:rPr>
          <w:sz w:val="24"/>
          <w:szCs w:val="24"/>
        </w:rPr>
        <w:t>, ‘Female investors in the first English and Welsh commercial joint-stock banks’,</w:t>
      </w:r>
      <w:r w:rsidRPr="006B538E">
        <w:rPr>
          <w:sz w:val="24"/>
          <w:szCs w:val="24"/>
        </w:rPr>
        <w:t xml:space="preserve"> </w:t>
      </w:r>
      <w:r w:rsidRPr="006B538E">
        <w:rPr>
          <w:i/>
          <w:sz w:val="24"/>
          <w:szCs w:val="24"/>
        </w:rPr>
        <w:t>Accounting, Business and Financial History</w:t>
      </w:r>
      <w:r>
        <w:rPr>
          <w:sz w:val="24"/>
          <w:szCs w:val="24"/>
        </w:rPr>
        <w:t xml:space="preserve">, 16 (2006), pp. </w:t>
      </w:r>
      <w:r w:rsidRPr="006B538E">
        <w:rPr>
          <w:sz w:val="24"/>
          <w:szCs w:val="24"/>
        </w:rPr>
        <w:t>315-40.</w:t>
      </w:r>
    </w:p>
    <w:p w:rsidR="00DA49AC" w:rsidRPr="006B538E" w:rsidRDefault="00DA49AC" w:rsidP="00C84DD1">
      <w:pPr>
        <w:spacing w:line="240" w:lineRule="auto"/>
        <w:jc w:val="both"/>
        <w:rPr>
          <w:sz w:val="24"/>
          <w:szCs w:val="24"/>
        </w:rPr>
      </w:pPr>
    </w:p>
    <w:p w:rsidR="00DA49AC" w:rsidRDefault="00DA49AC" w:rsidP="00C84DD1">
      <w:pPr>
        <w:autoSpaceDE w:val="0"/>
        <w:autoSpaceDN w:val="0"/>
        <w:adjustRightInd w:val="0"/>
        <w:spacing w:line="240" w:lineRule="auto"/>
        <w:jc w:val="both"/>
        <w:rPr>
          <w:sz w:val="24"/>
          <w:szCs w:val="24"/>
        </w:rPr>
      </w:pPr>
      <w:r>
        <w:rPr>
          <w:sz w:val="24"/>
          <w:szCs w:val="24"/>
        </w:rPr>
        <w:t xml:space="preserve">Newton, L., ‘The birth of joint-stock banking: England and New England compared’, </w:t>
      </w:r>
      <w:r w:rsidRPr="00C91876">
        <w:rPr>
          <w:i/>
          <w:sz w:val="24"/>
          <w:szCs w:val="24"/>
        </w:rPr>
        <w:t>Business History Review</w:t>
      </w:r>
      <w:r>
        <w:rPr>
          <w:sz w:val="24"/>
          <w:szCs w:val="24"/>
        </w:rPr>
        <w:t>, 84 (2010), pp. 27-52.</w:t>
      </w:r>
    </w:p>
    <w:p w:rsidR="00DA49AC" w:rsidRDefault="00DA49AC" w:rsidP="00C84DD1">
      <w:pPr>
        <w:autoSpaceDE w:val="0"/>
        <w:autoSpaceDN w:val="0"/>
        <w:adjustRightInd w:val="0"/>
        <w:spacing w:line="240" w:lineRule="auto"/>
        <w:jc w:val="both"/>
        <w:rPr>
          <w:sz w:val="24"/>
          <w:szCs w:val="24"/>
        </w:rPr>
      </w:pPr>
    </w:p>
    <w:p w:rsidR="00DA49AC" w:rsidRPr="006B538E" w:rsidRDefault="00DA49AC" w:rsidP="00C84DD1">
      <w:pPr>
        <w:autoSpaceDE w:val="0"/>
        <w:autoSpaceDN w:val="0"/>
        <w:adjustRightInd w:val="0"/>
        <w:spacing w:line="240" w:lineRule="auto"/>
        <w:jc w:val="both"/>
        <w:rPr>
          <w:sz w:val="24"/>
          <w:szCs w:val="24"/>
        </w:rPr>
      </w:pPr>
      <w:r>
        <w:rPr>
          <w:sz w:val="24"/>
          <w:szCs w:val="24"/>
        </w:rPr>
        <w:t xml:space="preserve">O’Rourke, K. </w:t>
      </w:r>
      <w:r w:rsidRPr="006B538E">
        <w:rPr>
          <w:sz w:val="24"/>
          <w:szCs w:val="24"/>
        </w:rPr>
        <w:t>H. and Williamson</w:t>
      </w:r>
      <w:r>
        <w:rPr>
          <w:sz w:val="24"/>
          <w:szCs w:val="24"/>
        </w:rPr>
        <w:t>, J.</w:t>
      </w:r>
      <w:r w:rsidRPr="006B538E">
        <w:rPr>
          <w:sz w:val="24"/>
          <w:szCs w:val="24"/>
        </w:rPr>
        <w:t xml:space="preserve"> G.</w:t>
      </w:r>
      <w:r>
        <w:rPr>
          <w:sz w:val="24"/>
          <w:szCs w:val="24"/>
        </w:rPr>
        <w:t>,</w:t>
      </w:r>
      <w:r w:rsidRPr="006B538E">
        <w:rPr>
          <w:sz w:val="24"/>
          <w:szCs w:val="24"/>
        </w:rPr>
        <w:t xml:space="preserve"> </w:t>
      </w:r>
      <w:r>
        <w:rPr>
          <w:i/>
          <w:sz w:val="24"/>
          <w:szCs w:val="24"/>
        </w:rPr>
        <w:t>G</w:t>
      </w:r>
      <w:r w:rsidRPr="006B538E">
        <w:rPr>
          <w:i/>
          <w:sz w:val="24"/>
          <w:szCs w:val="24"/>
        </w:rPr>
        <w:t>lobalization and history: the evolution of a nineteenth-century</w:t>
      </w:r>
      <w:r>
        <w:rPr>
          <w:i/>
          <w:sz w:val="24"/>
          <w:szCs w:val="24"/>
        </w:rPr>
        <w:t xml:space="preserve"> Atlantic e</w:t>
      </w:r>
      <w:r w:rsidRPr="006B538E">
        <w:rPr>
          <w:i/>
          <w:sz w:val="24"/>
          <w:szCs w:val="24"/>
        </w:rPr>
        <w:t>conomy</w:t>
      </w:r>
      <w:r>
        <w:rPr>
          <w:sz w:val="24"/>
          <w:szCs w:val="24"/>
        </w:rPr>
        <w:t xml:space="preserve"> (</w:t>
      </w:r>
      <w:r w:rsidRPr="006B538E">
        <w:rPr>
          <w:sz w:val="24"/>
          <w:szCs w:val="24"/>
        </w:rPr>
        <w:t>Cambridge: MIT Press, 1999</w:t>
      </w:r>
      <w:r>
        <w:rPr>
          <w:sz w:val="24"/>
          <w:szCs w:val="24"/>
        </w:rPr>
        <w:t>)</w:t>
      </w:r>
      <w:r w:rsidRPr="006B538E">
        <w:rPr>
          <w:sz w:val="24"/>
          <w:szCs w:val="24"/>
        </w:rPr>
        <w:t>.</w:t>
      </w:r>
    </w:p>
    <w:p w:rsidR="00DA49AC" w:rsidRDefault="00DA49AC" w:rsidP="00C84DD1">
      <w:pPr>
        <w:pStyle w:val="EndnoteText"/>
        <w:jc w:val="both"/>
        <w:rPr>
          <w:rFonts w:ascii="Times New Roman" w:hAnsi="Times New Roman"/>
          <w:sz w:val="24"/>
          <w:szCs w:val="24"/>
        </w:rPr>
      </w:pPr>
    </w:p>
    <w:p w:rsidR="00DA49AC" w:rsidRPr="009B5D09" w:rsidRDefault="00DA49AC" w:rsidP="009B5D09">
      <w:pPr>
        <w:autoSpaceDE w:val="0"/>
        <w:autoSpaceDN w:val="0"/>
        <w:adjustRightInd w:val="0"/>
        <w:spacing w:line="240" w:lineRule="auto"/>
        <w:jc w:val="both"/>
        <w:rPr>
          <w:i/>
          <w:iCs/>
          <w:sz w:val="24"/>
          <w:szCs w:val="24"/>
        </w:rPr>
      </w:pPr>
      <w:r w:rsidRPr="009B5D09">
        <w:rPr>
          <w:sz w:val="24"/>
          <w:szCs w:val="24"/>
        </w:rPr>
        <w:t>Pettit, R. R</w:t>
      </w:r>
      <w:r>
        <w:rPr>
          <w:sz w:val="24"/>
          <w:szCs w:val="24"/>
        </w:rPr>
        <w:t>.,</w:t>
      </w:r>
      <w:r w:rsidRPr="009B5D09">
        <w:rPr>
          <w:sz w:val="24"/>
          <w:szCs w:val="24"/>
        </w:rPr>
        <w:t xml:space="preserve"> </w:t>
      </w:r>
      <w:r>
        <w:rPr>
          <w:sz w:val="24"/>
          <w:szCs w:val="24"/>
        </w:rPr>
        <w:t>‘</w:t>
      </w:r>
      <w:r w:rsidRPr="009B5D09">
        <w:rPr>
          <w:sz w:val="24"/>
          <w:szCs w:val="24"/>
        </w:rPr>
        <w:t xml:space="preserve">Taxes, </w:t>
      </w:r>
      <w:r w:rsidRPr="009B5D09">
        <w:rPr>
          <w:sz w:val="24"/>
          <w:szCs w:val="24"/>
          <w:lang w:eastAsia="zh-CN"/>
        </w:rPr>
        <w:t>t</w:t>
      </w:r>
      <w:r w:rsidRPr="009B5D09">
        <w:rPr>
          <w:sz w:val="24"/>
          <w:szCs w:val="24"/>
        </w:rPr>
        <w:t xml:space="preserve">ransaction </w:t>
      </w:r>
      <w:r w:rsidRPr="009B5D09">
        <w:rPr>
          <w:sz w:val="24"/>
          <w:szCs w:val="24"/>
          <w:lang w:eastAsia="zh-CN"/>
        </w:rPr>
        <w:t>c</w:t>
      </w:r>
      <w:r w:rsidRPr="009B5D09">
        <w:rPr>
          <w:sz w:val="24"/>
          <w:szCs w:val="24"/>
        </w:rPr>
        <w:t xml:space="preserve">osts and the </w:t>
      </w:r>
      <w:r w:rsidRPr="009B5D09">
        <w:rPr>
          <w:sz w:val="24"/>
          <w:szCs w:val="24"/>
          <w:lang w:eastAsia="zh-CN"/>
        </w:rPr>
        <w:t>c</w:t>
      </w:r>
      <w:r w:rsidRPr="009B5D09">
        <w:rPr>
          <w:sz w:val="24"/>
          <w:szCs w:val="24"/>
        </w:rPr>
        <w:t xml:space="preserve">lientele </w:t>
      </w:r>
      <w:r w:rsidRPr="009B5D09">
        <w:rPr>
          <w:sz w:val="24"/>
          <w:szCs w:val="24"/>
          <w:lang w:eastAsia="zh-CN"/>
        </w:rPr>
        <w:t>e</w:t>
      </w:r>
      <w:r w:rsidRPr="009B5D09">
        <w:rPr>
          <w:sz w:val="24"/>
          <w:szCs w:val="24"/>
        </w:rPr>
        <w:t xml:space="preserve">ffect of </w:t>
      </w:r>
      <w:r w:rsidRPr="009B5D09">
        <w:rPr>
          <w:sz w:val="24"/>
          <w:szCs w:val="24"/>
          <w:lang w:eastAsia="zh-CN"/>
        </w:rPr>
        <w:t>d</w:t>
      </w:r>
      <w:r w:rsidRPr="009B5D09">
        <w:rPr>
          <w:sz w:val="24"/>
          <w:szCs w:val="24"/>
        </w:rPr>
        <w:t>ividends</w:t>
      </w:r>
      <w:r>
        <w:rPr>
          <w:sz w:val="24"/>
          <w:szCs w:val="24"/>
          <w:lang w:eastAsia="zh-CN"/>
        </w:rPr>
        <w:t>’,</w:t>
      </w:r>
      <w:r w:rsidRPr="009B5D09">
        <w:rPr>
          <w:sz w:val="24"/>
          <w:szCs w:val="24"/>
        </w:rPr>
        <w:t xml:space="preserve"> </w:t>
      </w:r>
      <w:r w:rsidRPr="009B5D09">
        <w:rPr>
          <w:i/>
          <w:iCs/>
          <w:sz w:val="24"/>
          <w:szCs w:val="24"/>
        </w:rPr>
        <w:t>Journal of Financial Economics</w:t>
      </w:r>
      <w:r>
        <w:rPr>
          <w:iCs/>
          <w:sz w:val="24"/>
          <w:szCs w:val="24"/>
        </w:rPr>
        <w:t>,</w:t>
      </w:r>
      <w:r w:rsidRPr="009B5D09">
        <w:rPr>
          <w:i/>
          <w:iCs/>
          <w:sz w:val="24"/>
          <w:szCs w:val="24"/>
        </w:rPr>
        <w:t xml:space="preserve"> </w:t>
      </w:r>
      <w:r w:rsidRPr="009B5D09">
        <w:rPr>
          <w:sz w:val="24"/>
          <w:szCs w:val="24"/>
        </w:rPr>
        <w:t>5</w:t>
      </w:r>
      <w:r>
        <w:rPr>
          <w:sz w:val="24"/>
          <w:szCs w:val="24"/>
        </w:rPr>
        <w:t xml:space="preserve"> </w:t>
      </w:r>
      <w:r w:rsidRPr="009B5D09">
        <w:rPr>
          <w:sz w:val="24"/>
          <w:szCs w:val="24"/>
        </w:rPr>
        <w:t>(1977)</w:t>
      </w:r>
      <w:r w:rsidRPr="009B5D09">
        <w:rPr>
          <w:sz w:val="24"/>
          <w:szCs w:val="24"/>
          <w:lang w:eastAsia="zh-CN"/>
        </w:rPr>
        <w:t xml:space="preserve">, </w:t>
      </w:r>
      <w:r>
        <w:rPr>
          <w:sz w:val="24"/>
          <w:szCs w:val="24"/>
          <w:lang w:eastAsia="zh-CN"/>
        </w:rPr>
        <w:t xml:space="preserve">pp. </w:t>
      </w:r>
      <w:r>
        <w:rPr>
          <w:sz w:val="24"/>
          <w:szCs w:val="24"/>
        </w:rPr>
        <w:t>419–</w:t>
      </w:r>
      <w:r w:rsidRPr="009B5D09">
        <w:rPr>
          <w:sz w:val="24"/>
          <w:szCs w:val="24"/>
        </w:rPr>
        <w:t>36.</w:t>
      </w:r>
    </w:p>
    <w:p w:rsidR="00DA49AC" w:rsidRPr="009B5D09" w:rsidRDefault="00DA49AC" w:rsidP="009B5D09">
      <w:pPr>
        <w:pStyle w:val="EndnoteText"/>
        <w:jc w:val="both"/>
        <w:rPr>
          <w:rFonts w:ascii="Times New Roman" w:hAnsi="Times New Roman"/>
          <w:sz w:val="24"/>
          <w:szCs w:val="24"/>
        </w:rPr>
      </w:pPr>
    </w:p>
    <w:p w:rsidR="00DA49AC" w:rsidRPr="006B538E" w:rsidRDefault="00DA49AC" w:rsidP="00C84DD1">
      <w:pPr>
        <w:autoSpaceDE w:val="0"/>
        <w:autoSpaceDN w:val="0"/>
        <w:adjustRightInd w:val="0"/>
        <w:spacing w:line="240" w:lineRule="auto"/>
        <w:jc w:val="both"/>
        <w:rPr>
          <w:sz w:val="24"/>
          <w:szCs w:val="24"/>
        </w:rPr>
      </w:pPr>
      <w:r>
        <w:rPr>
          <w:sz w:val="24"/>
          <w:szCs w:val="24"/>
        </w:rPr>
        <w:t>Pollard, S</w:t>
      </w:r>
      <w:r w:rsidRPr="006B538E">
        <w:rPr>
          <w:sz w:val="24"/>
          <w:szCs w:val="24"/>
        </w:rPr>
        <w:t>.</w:t>
      </w:r>
      <w:r>
        <w:rPr>
          <w:sz w:val="24"/>
          <w:szCs w:val="24"/>
        </w:rPr>
        <w:t>, ‘</w:t>
      </w:r>
      <w:r w:rsidRPr="006B538E">
        <w:rPr>
          <w:sz w:val="24"/>
          <w:szCs w:val="24"/>
        </w:rPr>
        <w:t>Capital exports, 1870-1914: harmful or beneficial</w:t>
      </w:r>
      <w:r>
        <w:rPr>
          <w:sz w:val="24"/>
          <w:szCs w:val="24"/>
        </w:rPr>
        <w:t>?’</w:t>
      </w:r>
      <w:r w:rsidRPr="006B538E">
        <w:rPr>
          <w:sz w:val="24"/>
          <w:szCs w:val="24"/>
        </w:rPr>
        <w:t xml:space="preserve"> </w:t>
      </w:r>
      <w:r w:rsidRPr="006B538E">
        <w:rPr>
          <w:i/>
          <w:sz w:val="24"/>
          <w:szCs w:val="24"/>
        </w:rPr>
        <w:t>Economic History Review</w:t>
      </w:r>
      <w:r>
        <w:rPr>
          <w:sz w:val="24"/>
          <w:szCs w:val="24"/>
        </w:rPr>
        <w:t>,</w:t>
      </w:r>
      <w:r w:rsidRPr="006B538E">
        <w:rPr>
          <w:i/>
          <w:sz w:val="24"/>
          <w:szCs w:val="24"/>
        </w:rPr>
        <w:t xml:space="preserve"> </w:t>
      </w:r>
      <w:r>
        <w:rPr>
          <w:sz w:val="24"/>
          <w:szCs w:val="24"/>
        </w:rPr>
        <w:t>38 (1985), pp.</w:t>
      </w:r>
      <w:r w:rsidRPr="006B538E">
        <w:rPr>
          <w:sz w:val="24"/>
          <w:szCs w:val="24"/>
        </w:rPr>
        <w:t xml:space="preserve"> 489–514.</w:t>
      </w:r>
    </w:p>
    <w:p w:rsidR="00DA49AC" w:rsidRPr="006B538E" w:rsidRDefault="00DA49AC" w:rsidP="00C84DD1">
      <w:pPr>
        <w:pStyle w:val="EndnoteText"/>
        <w:jc w:val="both"/>
        <w:rPr>
          <w:rFonts w:ascii="Times New Roman" w:hAnsi="Times New Roman"/>
          <w:sz w:val="24"/>
          <w:szCs w:val="24"/>
        </w:rPr>
      </w:pPr>
    </w:p>
    <w:p w:rsidR="00DA49AC" w:rsidRPr="006B538E" w:rsidRDefault="00DA49AC" w:rsidP="00C84DD1">
      <w:pPr>
        <w:spacing w:line="240" w:lineRule="auto"/>
        <w:jc w:val="both"/>
        <w:rPr>
          <w:rFonts w:cs="Calibri"/>
          <w:sz w:val="24"/>
          <w:szCs w:val="24"/>
        </w:rPr>
      </w:pPr>
      <w:r>
        <w:rPr>
          <w:rFonts w:cs="Calibri"/>
          <w:sz w:val="24"/>
          <w:szCs w:val="24"/>
        </w:rPr>
        <w:t>Pollins, H</w:t>
      </w:r>
      <w:r w:rsidRPr="006B538E">
        <w:rPr>
          <w:rFonts w:cs="Calibri"/>
          <w:sz w:val="24"/>
          <w:szCs w:val="24"/>
        </w:rPr>
        <w:t>.</w:t>
      </w:r>
      <w:r>
        <w:rPr>
          <w:rFonts w:cs="Calibri"/>
          <w:sz w:val="24"/>
          <w:szCs w:val="24"/>
        </w:rPr>
        <w:t>, ‘The f</w:t>
      </w:r>
      <w:r w:rsidRPr="006B538E">
        <w:rPr>
          <w:rFonts w:cs="Calibri"/>
          <w:sz w:val="24"/>
          <w:szCs w:val="24"/>
        </w:rPr>
        <w:t>inances o</w:t>
      </w:r>
      <w:r>
        <w:rPr>
          <w:rFonts w:cs="Calibri"/>
          <w:sz w:val="24"/>
          <w:szCs w:val="24"/>
        </w:rPr>
        <w:t>f the Liverpool and Manchester railway’,</w:t>
      </w:r>
      <w:r w:rsidRPr="006B538E">
        <w:rPr>
          <w:rFonts w:cs="Calibri"/>
          <w:sz w:val="24"/>
          <w:szCs w:val="24"/>
        </w:rPr>
        <w:t xml:space="preserve"> </w:t>
      </w:r>
      <w:r w:rsidRPr="006B538E">
        <w:rPr>
          <w:rFonts w:cs="Calibri"/>
          <w:i/>
          <w:sz w:val="24"/>
          <w:szCs w:val="24"/>
        </w:rPr>
        <w:t>Economic History Review</w:t>
      </w:r>
      <w:r>
        <w:rPr>
          <w:rFonts w:cs="Calibri"/>
          <w:sz w:val="24"/>
          <w:szCs w:val="24"/>
        </w:rPr>
        <w:t>, 5 (1952), pp.</w:t>
      </w:r>
      <w:r w:rsidRPr="006B538E">
        <w:rPr>
          <w:rFonts w:cs="Calibri"/>
          <w:sz w:val="24"/>
          <w:szCs w:val="24"/>
        </w:rPr>
        <w:t xml:space="preserve"> 90-7.</w:t>
      </w:r>
    </w:p>
    <w:p w:rsidR="00DA49AC" w:rsidRDefault="00DA49AC" w:rsidP="00C84DD1">
      <w:pPr>
        <w:pStyle w:val="EndnoteText"/>
        <w:jc w:val="both"/>
        <w:rPr>
          <w:rFonts w:ascii="Times New Roman" w:hAnsi="Times New Roman"/>
          <w:sz w:val="24"/>
          <w:szCs w:val="24"/>
        </w:rPr>
      </w:pPr>
    </w:p>
    <w:p w:rsidR="00DA49AC" w:rsidRPr="006B538E" w:rsidRDefault="00DA49AC" w:rsidP="000F0B1E">
      <w:pPr>
        <w:spacing w:line="240" w:lineRule="auto"/>
        <w:jc w:val="both"/>
        <w:rPr>
          <w:rFonts w:cs="Calibri"/>
          <w:sz w:val="24"/>
          <w:szCs w:val="24"/>
        </w:rPr>
      </w:pPr>
      <w:r>
        <w:rPr>
          <w:rFonts w:cs="Calibri"/>
          <w:sz w:val="24"/>
          <w:szCs w:val="24"/>
        </w:rPr>
        <w:t>Reed, M. C. ‘Railways and the growth of the capital market’, i</w:t>
      </w:r>
      <w:r w:rsidRPr="006B538E">
        <w:rPr>
          <w:rFonts w:cs="Calibri"/>
          <w:sz w:val="24"/>
          <w:szCs w:val="24"/>
        </w:rPr>
        <w:t xml:space="preserve">n M. C. Reed, </w:t>
      </w:r>
      <w:r>
        <w:rPr>
          <w:rFonts w:cs="Calibri"/>
          <w:sz w:val="24"/>
          <w:szCs w:val="24"/>
        </w:rPr>
        <w:t xml:space="preserve">ed., </w:t>
      </w:r>
      <w:r>
        <w:rPr>
          <w:rFonts w:cs="Calibri"/>
          <w:i/>
          <w:sz w:val="24"/>
          <w:szCs w:val="24"/>
        </w:rPr>
        <w:t>Railways in the Victorian e</w:t>
      </w:r>
      <w:r w:rsidRPr="006B538E">
        <w:rPr>
          <w:rFonts w:cs="Calibri"/>
          <w:i/>
          <w:sz w:val="24"/>
          <w:szCs w:val="24"/>
        </w:rPr>
        <w:t>conomy: studies in finance and economic growth</w:t>
      </w:r>
      <w:r>
        <w:rPr>
          <w:rFonts w:cs="Calibri"/>
          <w:sz w:val="24"/>
          <w:szCs w:val="24"/>
        </w:rPr>
        <w:t xml:space="preserve"> (</w:t>
      </w:r>
      <w:r w:rsidRPr="006B538E">
        <w:rPr>
          <w:rFonts w:cs="Calibri"/>
          <w:sz w:val="24"/>
          <w:szCs w:val="24"/>
        </w:rPr>
        <w:t>New York: Augustus M. Kelley, 1968</w:t>
      </w:r>
      <w:r>
        <w:rPr>
          <w:rFonts w:cs="Calibri"/>
          <w:sz w:val="24"/>
          <w:szCs w:val="24"/>
        </w:rPr>
        <w:t>),</w:t>
      </w:r>
      <w:r w:rsidRPr="00053B22">
        <w:rPr>
          <w:rFonts w:cs="Calibri"/>
          <w:sz w:val="24"/>
          <w:szCs w:val="24"/>
        </w:rPr>
        <w:t xml:space="preserve"> </w:t>
      </w:r>
      <w:r>
        <w:rPr>
          <w:rFonts w:cs="Calibri"/>
          <w:sz w:val="24"/>
          <w:szCs w:val="24"/>
        </w:rPr>
        <w:t>pp. 162-83.</w:t>
      </w:r>
    </w:p>
    <w:p w:rsidR="00DA49AC" w:rsidRDefault="00DA49AC" w:rsidP="00242A5C">
      <w:pPr>
        <w:spacing w:line="240" w:lineRule="auto"/>
        <w:jc w:val="both"/>
        <w:rPr>
          <w:rFonts w:cs="Calibri"/>
          <w:bCs/>
          <w:sz w:val="24"/>
          <w:szCs w:val="24"/>
        </w:rPr>
      </w:pPr>
    </w:p>
    <w:p w:rsidR="00DA49AC" w:rsidRPr="006B538E" w:rsidRDefault="00DA49AC" w:rsidP="00242A5C">
      <w:pPr>
        <w:spacing w:line="240" w:lineRule="auto"/>
        <w:jc w:val="both"/>
        <w:rPr>
          <w:rFonts w:cs="Calibri"/>
          <w:sz w:val="24"/>
          <w:szCs w:val="24"/>
        </w:rPr>
      </w:pPr>
      <w:r w:rsidRPr="006B538E">
        <w:rPr>
          <w:rFonts w:cs="Calibri"/>
          <w:bCs/>
          <w:sz w:val="24"/>
          <w:szCs w:val="24"/>
        </w:rPr>
        <w:t xml:space="preserve">Reed, M. C. </w:t>
      </w:r>
      <w:r>
        <w:rPr>
          <w:rFonts w:cs="Calibri"/>
          <w:bCs/>
          <w:i/>
          <w:sz w:val="24"/>
          <w:szCs w:val="24"/>
        </w:rPr>
        <w:t>Investment in railways in Britain 1820-1844: a study in the development of the capital m</w:t>
      </w:r>
      <w:r w:rsidRPr="006B538E">
        <w:rPr>
          <w:rFonts w:cs="Calibri"/>
          <w:bCs/>
          <w:i/>
          <w:sz w:val="24"/>
          <w:szCs w:val="24"/>
        </w:rPr>
        <w:t>arket</w:t>
      </w:r>
      <w:r>
        <w:rPr>
          <w:rFonts w:cs="Calibri"/>
          <w:sz w:val="24"/>
          <w:szCs w:val="24"/>
        </w:rPr>
        <w:t xml:space="preserve"> (</w:t>
      </w:r>
      <w:r w:rsidRPr="006B538E">
        <w:rPr>
          <w:rFonts w:cs="Calibri"/>
          <w:sz w:val="24"/>
          <w:szCs w:val="24"/>
        </w:rPr>
        <w:t>Oxford: Clarendon Press, 1975</w:t>
      </w:r>
      <w:r>
        <w:rPr>
          <w:rFonts w:cs="Calibri"/>
          <w:sz w:val="24"/>
          <w:szCs w:val="24"/>
        </w:rPr>
        <w:t>)</w:t>
      </w:r>
      <w:r w:rsidRPr="006B538E">
        <w:rPr>
          <w:rFonts w:cs="Calibri"/>
          <w:sz w:val="24"/>
          <w:szCs w:val="24"/>
        </w:rPr>
        <w:t>.</w:t>
      </w:r>
    </w:p>
    <w:p w:rsidR="00DA49AC" w:rsidRPr="006B538E" w:rsidRDefault="00DA49AC" w:rsidP="00C84DD1">
      <w:pPr>
        <w:pStyle w:val="EndnoteText"/>
        <w:jc w:val="both"/>
        <w:rPr>
          <w:rFonts w:ascii="Times New Roman" w:hAnsi="Times New Roman"/>
          <w:sz w:val="24"/>
          <w:szCs w:val="24"/>
        </w:rPr>
      </w:pPr>
    </w:p>
    <w:p w:rsidR="00DA49AC" w:rsidRDefault="00DA49AC" w:rsidP="00C84DD1">
      <w:pPr>
        <w:autoSpaceDE w:val="0"/>
        <w:autoSpaceDN w:val="0"/>
        <w:adjustRightInd w:val="0"/>
        <w:spacing w:line="240" w:lineRule="auto"/>
        <w:jc w:val="both"/>
        <w:rPr>
          <w:sz w:val="24"/>
          <w:szCs w:val="24"/>
        </w:rPr>
      </w:pPr>
      <w:r>
        <w:rPr>
          <w:sz w:val="24"/>
          <w:szCs w:val="24"/>
        </w:rPr>
        <w:t xml:space="preserve">Rutterford, J. ‘Learning from one another’s mistakes: investment trust in the UK and the US, 1868-1940’, </w:t>
      </w:r>
      <w:r w:rsidRPr="00AD71A0">
        <w:rPr>
          <w:i/>
          <w:sz w:val="24"/>
          <w:szCs w:val="24"/>
        </w:rPr>
        <w:t>Financial History Review</w:t>
      </w:r>
      <w:r>
        <w:rPr>
          <w:sz w:val="24"/>
          <w:szCs w:val="24"/>
        </w:rPr>
        <w:t>, 16 (2009), pp. 157-81.</w:t>
      </w:r>
    </w:p>
    <w:p w:rsidR="00DA49AC" w:rsidRDefault="00DA49AC" w:rsidP="00C84DD1">
      <w:pPr>
        <w:autoSpaceDE w:val="0"/>
        <w:autoSpaceDN w:val="0"/>
        <w:adjustRightInd w:val="0"/>
        <w:spacing w:line="240" w:lineRule="auto"/>
        <w:jc w:val="both"/>
        <w:rPr>
          <w:sz w:val="24"/>
          <w:szCs w:val="24"/>
        </w:rPr>
      </w:pPr>
    </w:p>
    <w:p w:rsidR="00DA49AC" w:rsidRPr="006B538E" w:rsidRDefault="00DA49AC" w:rsidP="00C84DD1">
      <w:pPr>
        <w:autoSpaceDE w:val="0"/>
        <w:autoSpaceDN w:val="0"/>
        <w:adjustRightInd w:val="0"/>
        <w:spacing w:line="240" w:lineRule="auto"/>
        <w:jc w:val="both"/>
        <w:rPr>
          <w:sz w:val="24"/>
          <w:szCs w:val="24"/>
          <w:lang w:val="en-US"/>
        </w:rPr>
      </w:pPr>
      <w:r w:rsidRPr="006B538E">
        <w:rPr>
          <w:sz w:val="24"/>
          <w:szCs w:val="24"/>
        </w:rPr>
        <w:t>Rutterf</w:t>
      </w:r>
      <w:r>
        <w:rPr>
          <w:sz w:val="24"/>
          <w:szCs w:val="24"/>
        </w:rPr>
        <w:t xml:space="preserve">ord, J. and </w:t>
      </w:r>
      <w:r w:rsidRPr="006B538E">
        <w:rPr>
          <w:sz w:val="24"/>
          <w:szCs w:val="24"/>
        </w:rPr>
        <w:t>Maltby</w:t>
      </w:r>
      <w:r>
        <w:rPr>
          <w:sz w:val="24"/>
          <w:szCs w:val="24"/>
        </w:rPr>
        <w:t>, J</w:t>
      </w:r>
      <w:r>
        <w:rPr>
          <w:sz w:val="24"/>
          <w:szCs w:val="24"/>
          <w:lang w:val="en-US"/>
        </w:rPr>
        <w:t>. ‘</w:t>
      </w:r>
      <w:r w:rsidRPr="006B538E">
        <w:rPr>
          <w:sz w:val="24"/>
          <w:szCs w:val="24"/>
          <w:lang w:val="en-US"/>
        </w:rPr>
        <w:t>The widow, the clergyman and the reckless: women investors</w:t>
      </w:r>
      <w:r>
        <w:rPr>
          <w:sz w:val="24"/>
          <w:szCs w:val="24"/>
          <w:lang w:val="en-US"/>
        </w:rPr>
        <w:t xml:space="preserve"> in England 1830–1914’,</w:t>
      </w:r>
      <w:r w:rsidRPr="006B538E">
        <w:rPr>
          <w:sz w:val="24"/>
          <w:szCs w:val="24"/>
          <w:lang w:val="en-US"/>
        </w:rPr>
        <w:t xml:space="preserve"> </w:t>
      </w:r>
      <w:r w:rsidRPr="006B538E">
        <w:rPr>
          <w:i/>
          <w:iCs/>
          <w:sz w:val="24"/>
          <w:szCs w:val="24"/>
          <w:lang w:val="en-US"/>
        </w:rPr>
        <w:t>Feminist Economics</w:t>
      </w:r>
      <w:r>
        <w:rPr>
          <w:iCs/>
          <w:sz w:val="24"/>
          <w:szCs w:val="24"/>
          <w:lang w:val="en-US"/>
        </w:rPr>
        <w:t>,</w:t>
      </w:r>
      <w:r>
        <w:rPr>
          <w:sz w:val="24"/>
          <w:szCs w:val="24"/>
          <w:lang w:val="en-US"/>
        </w:rPr>
        <w:t xml:space="preserve"> 12 (2006), pp.</w:t>
      </w:r>
      <w:r w:rsidRPr="006B538E">
        <w:rPr>
          <w:sz w:val="24"/>
          <w:szCs w:val="24"/>
          <w:lang w:val="en-US"/>
        </w:rPr>
        <w:t xml:space="preserve"> 111–38.</w:t>
      </w:r>
    </w:p>
    <w:p w:rsidR="00DA49AC" w:rsidRPr="006B538E" w:rsidRDefault="00DA49AC" w:rsidP="00C84DD1">
      <w:pPr>
        <w:autoSpaceDE w:val="0"/>
        <w:autoSpaceDN w:val="0"/>
        <w:adjustRightInd w:val="0"/>
        <w:spacing w:line="240" w:lineRule="auto"/>
        <w:jc w:val="both"/>
        <w:rPr>
          <w:sz w:val="24"/>
          <w:szCs w:val="24"/>
          <w:lang w:val="en-US"/>
        </w:rPr>
      </w:pPr>
    </w:p>
    <w:p w:rsidR="00DA49AC" w:rsidRPr="006B538E" w:rsidRDefault="00DA49AC" w:rsidP="00C84DD1">
      <w:pPr>
        <w:pStyle w:val="Heading2"/>
        <w:jc w:val="both"/>
      </w:pPr>
      <w:r>
        <w:rPr>
          <w:i w:val="0"/>
        </w:rPr>
        <w:t>Rutterford, J.</w:t>
      </w:r>
      <w:r w:rsidRPr="006B538E">
        <w:rPr>
          <w:i w:val="0"/>
        </w:rPr>
        <w:t xml:space="preserve"> and Maltby</w:t>
      </w:r>
      <w:r>
        <w:rPr>
          <w:i w:val="0"/>
        </w:rPr>
        <w:t>, J</w:t>
      </w:r>
      <w:r w:rsidRPr="006B538E">
        <w:rPr>
          <w:lang w:val="en-US" w:eastAsia="en-US"/>
        </w:rPr>
        <w:t>.</w:t>
      </w:r>
      <w:r w:rsidRPr="006B538E">
        <w:rPr>
          <w:i w:val="0"/>
          <w:lang w:val="en-US" w:eastAsia="en-US"/>
        </w:rPr>
        <w:t xml:space="preserve"> </w:t>
      </w:r>
      <w:r>
        <w:rPr>
          <w:i w:val="0"/>
        </w:rPr>
        <w:t>‘</w:t>
      </w:r>
      <w:r w:rsidRPr="006B538E">
        <w:rPr>
          <w:i w:val="0"/>
        </w:rPr>
        <w:t>The nesting instinct: women and investment risk in a historical context</w:t>
      </w:r>
      <w:r>
        <w:rPr>
          <w:i w:val="0"/>
        </w:rPr>
        <w:t>’,</w:t>
      </w:r>
      <w:r w:rsidRPr="006B538E">
        <w:rPr>
          <w:i w:val="0"/>
        </w:rPr>
        <w:t xml:space="preserve"> </w:t>
      </w:r>
      <w:r w:rsidRPr="006B538E">
        <w:t>Accounting History</w:t>
      </w:r>
      <w:r>
        <w:rPr>
          <w:i w:val="0"/>
        </w:rPr>
        <w:t>,</w:t>
      </w:r>
      <w:r w:rsidRPr="006B538E">
        <w:t xml:space="preserve"> </w:t>
      </w:r>
      <w:r>
        <w:rPr>
          <w:i w:val="0"/>
        </w:rPr>
        <w:t>12 (2007), pp.</w:t>
      </w:r>
      <w:r w:rsidRPr="006B538E">
        <w:rPr>
          <w:i w:val="0"/>
        </w:rPr>
        <w:t xml:space="preserve"> 305-27</w:t>
      </w:r>
      <w:r w:rsidRPr="006B538E">
        <w:t>.</w:t>
      </w:r>
    </w:p>
    <w:p w:rsidR="00DA49AC" w:rsidRPr="006B538E" w:rsidRDefault="00DA49AC" w:rsidP="00C84DD1">
      <w:pPr>
        <w:spacing w:line="240" w:lineRule="auto"/>
        <w:jc w:val="both"/>
        <w:rPr>
          <w:sz w:val="24"/>
          <w:szCs w:val="24"/>
        </w:rPr>
      </w:pPr>
    </w:p>
    <w:p w:rsidR="00DA49AC" w:rsidRPr="006B538E" w:rsidRDefault="00DA49AC" w:rsidP="00C84DD1">
      <w:pPr>
        <w:shd w:val="clear" w:color="auto" w:fill="FFFFFF"/>
        <w:spacing w:line="220" w:lineRule="atLeast"/>
        <w:jc w:val="both"/>
        <w:rPr>
          <w:sz w:val="24"/>
          <w:szCs w:val="24"/>
        </w:rPr>
      </w:pPr>
      <w:r>
        <w:rPr>
          <w:sz w:val="24"/>
          <w:szCs w:val="24"/>
        </w:rPr>
        <w:t>Rutterford, J.,</w:t>
      </w:r>
      <w:r w:rsidRPr="006B538E">
        <w:rPr>
          <w:sz w:val="24"/>
          <w:szCs w:val="24"/>
        </w:rPr>
        <w:t xml:space="preserve"> Green,</w:t>
      </w:r>
      <w:r>
        <w:rPr>
          <w:sz w:val="24"/>
          <w:szCs w:val="24"/>
        </w:rPr>
        <w:t xml:space="preserve"> D. R.,</w:t>
      </w:r>
      <w:r w:rsidRPr="006B538E">
        <w:rPr>
          <w:sz w:val="24"/>
          <w:szCs w:val="24"/>
        </w:rPr>
        <w:t xml:space="preserve"> Maltby,</w:t>
      </w:r>
      <w:r>
        <w:rPr>
          <w:sz w:val="24"/>
          <w:szCs w:val="24"/>
        </w:rPr>
        <w:t xml:space="preserve"> J.</w:t>
      </w:r>
      <w:r w:rsidRPr="006B538E">
        <w:rPr>
          <w:sz w:val="24"/>
          <w:szCs w:val="24"/>
        </w:rPr>
        <w:t xml:space="preserve"> and Owens</w:t>
      </w:r>
      <w:r>
        <w:rPr>
          <w:sz w:val="24"/>
          <w:szCs w:val="24"/>
        </w:rPr>
        <w:t>, A</w:t>
      </w:r>
      <w:r w:rsidRPr="006B538E">
        <w:rPr>
          <w:sz w:val="24"/>
          <w:szCs w:val="24"/>
        </w:rPr>
        <w:t>.</w:t>
      </w:r>
      <w:r>
        <w:rPr>
          <w:sz w:val="24"/>
          <w:szCs w:val="24"/>
        </w:rPr>
        <w:t>, ‘</w:t>
      </w:r>
      <w:r w:rsidRPr="006B538E">
        <w:rPr>
          <w:sz w:val="24"/>
          <w:szCs w:val="24"/>
        </w:rPr>
        <w:t>Who comprised the nation of shareholders? Gender and investment</w:t>
      </w:r>
      <w:r>
        <w:rPr>
          <w:sz w:val="24"/>
          <w:szCs w:val="24"/>
        </w:rPr>
        <w:t xml:space="preserve"> in Great Britain, c.1870-1935’,</w:t>
      </w:r>
      <w:r w:rsidRPr="006B538E">
        <w:rPr>
          <w:sz w:val="24"/>
          <w:szCs w:val="24"/>
        </w:rPr>
        <w:t xml:space="preserve"> </w:t>
      </w:r>
      <w:r w:rsidRPr="006B538E">
        <w:rPr>
          <w:i/>
          <w:sz w:val="24"/>
          <w:szCs w:val="24"/>
        </w:rPr>
        <w:t>Economic History Review</w:t>
      </w:r>
      <w:r>
        <w:rPr>
          <w:sz w:val="24"/>
          <w:szCs w:val="24"/>
        </w:rPr>
        <w:t>,</w:t>
      </w:r>
      <w:r w:rsidRPr="006B538E">
        <w:rPr>
          <w:sz w:val="24"/>
          <w:szCs w:val="24"/>
        </w:rPr>
        <w:t xml:space="preserve"> 64 </w:t>
      </w:r>
      <w:r>
        <w:rPr>
          <w:sz w:val="24"/>
          <w:szCs w:val="24"/>
        </w:rPr>
        <w:t>(2011), pp.</w:t>
      </w:r>
      <w:r w:rsidRPr="006B538E">
        <w:rPr>
          <w:sz w:val="24"/>
          <w:szCs w:val="24"/>
        </w:rPr>
        <w:t xml:space="preserve"> 157-87.</w:t>
      </w:r>
    </w:p>
    <w:p w:rsidR="00DA49AC" w:rsidRDefault="00DA49AC" w:rsidP="00C84DD1">
      <w:pPr>
        <w:spacing w:line="240" w:lineRule="auto"/>
        <w:jc w:val="both"/>
        <w:rPr>
          <w:sz w:val="24"/>
          <w:szCs w:val="24"/>
        </w:rPr>
      </w:pPr>
    </w:p>
    <w:p w:rsidR="00DA49AC" w:rsidRDefault="00DA49AC" w:rsidP="0016553A">
      <w:pPr>
        <w:spacing w:line="240" w:lineRule="auto"/>
        <w:jc w:val="both"/>
        <w:rPr>
          <w:sz w:val="24"/>
          <w:szCs w:val="24"/>
        </w:rPr>
      </w:pPr>
      <w:r>
        <w:rPr>
          <w:sz w:val="24"/>
          <w:szCs w:val="24"/>
        </w:rPr>
        <w:t>Shannon, H. ‘The limited companies of 1863-1883’,</w:t>
      </w:r>
      <w:r w:rsidRPr="0016553A">
        <w:rPr>
          <w:sz w:val="24"/>
          <w:szCs w:val="24"/>
        </w:rPr>
        <w:t xml:space="preserve"> </w:t>
      </w:r>
      <w:r w:rsidRPr="0016553A">
        <w:rPr>
          <w:i/>
          <w:iCs/>
          <w:sz w:val="24"/>
          <w:szCs w:val="24"/>
        </w:rPr>
        <w:t>Economic History Review</w:t>
      </w:r>
      <w:r>
        <w:rPr>
          <w:sz w:val="24"/>
          <w:szCs w:val="24"/>
        </w:rPr>
        <w:t xml:space="preserve">, 4 (1933), pp. </w:t>
      </w:r>
      <w:r w:rsidRPr="0016553A">
        <w:rPr>
          <w:sz w:val="24"/>
          <w:szCs w:val="24"/>
        </w:rPr>
        <w:t>290-316.</w:t>
      </w:r>
    </w:p>
    <w:p w:rsidR="00DA49AC" w:rsidRDefault="00DA49AC" w:rsidP="0016553A">
      <w:pPr>
        <w:spacing w:line="240" w:lineRule="auto"/>
        <w:jc w:val="both"/>
        <w:rPr>
          <w:sz w:val="24"/>
          <w:szCs w:val="24"/>
        </w:rPr>
      </w:pPr>
    </w:p>
    <w:p w:rsidR="00DA49AC" w:rsidRPr="0016553A" w:rsidRDefault="00DA49AC" w:rsidP="0016553A">
      <w:pPr>
        <w:spacing w:line="240" w:lineRule="auto"/>
        <w:jc w:val="both"/>
        <w:rPr>
          <w:sz w:val="24"/>
          <w:szCs w:val="24"/>
        </w:rPr>
      </w:pPr>
      <w:r w:rsidRPr="0016553A">
        <w:rPr>
          <w:sz w:val="24"/>
          <w:szCs w:val="24"/>
        </w:rPr>
        <w:t xml:space="preserve">Taylor, J. </w:t>
      </w:r>
      <w:r w:rsidRPr="0016553A">
        <w:rPr>
          <w:i/>
          <w:sz w:val="24"/>
          <w:szCs w:val="24"/>
        </w:rPr>
        <w:t>Creating capitalism: joint-stock enterprise in British politics and culture, 1800-1870</w:t>
      </w:r>
      <w:r>
        <w:rPr>
          <w:sz w:val="24"/>
          <w:szCs w:val="24"/>
        </w:rPr>
        <w:t xml:space="preserve"> (</w:t>
      </w:r>
      <w:r w:rsidRPr="0016553A">
        <w:rPr>
          <w:sz w:val="24"/>
          <w:szCs w:val="24"/>
        </w:rPr>
        <w:t>London: Royal Historical Society, 2006</w:t>
      </w:r>
      <w:r>
        <w:rPr>
          <w:sz w:val="24"/>
          <w:szCs w:val="24"/>
        </w:rPr>
        <w:t>)</w:t>
      </w:r>
      <w:r w:rsidRPr="0016553A">
        <w:rPr>
          <w:sz w:val="24"/>
          <w:szCs w:val="24"/>
        </w:rPr>
        <w:t>.</w:t>
      </w:r>
    </w:p>
    <w:p w:rsidR="00DA49AC" w:rsidRPr="0016553A" w:rsidRDefault="00DA49AC" w:rsidP="0016553A">
      <w:pPr>
        <w:spacing w:line="240" w:lineRule="auto"/>
        <w:jc w:val="both"/>
        <w:rPr>
          <w:sz w:val="24"/>
          <w:szCs w:val="24"/>
        </w:rPr>
      </w:pPr>
    </w:p>
    <w:p w:rsidR="00DA49AC" w:rsidRDefault="00DA49AC" w:rsidP="00F4652F">
      <w:pPr>
        <w:jc w:val="both"/>
        <w:rPr>
          <w:sz w:val="24"/>
          <w:szCs w:val="24"/>
        </w:rPr>
      </w:pPr>
      <w:r w:rsidRPr="00F4652F">
        <w:rPr>
          <w:sz w:val="24"/>
          <w:szCs w:val="24"/>
        </w:rPr>
        <w:t>Thomas, W.</w:t>
      </w:r>
      <w:r>
        <w:rPr>
          <w:sz w:val="24"/>
          <w:szCs w:val="24"/>
        </w:rPr>
        <w:t xml:space="preserve"> A.,</w:t>
      </w:r>
      <w:r w:rsidRPr="00F4652F">
        <w:rPr>
          <w:sz w:val="24"/>
          <w:szCs w:val="24"/>
        </w:rPr>
        <w:t xml:space="preserve"> </w:t>
      </w:r>
      <w:r>
        <w:rPr>
          <w:i/>
          <w:sz w:val="24"/>
          <w:szCs w:val="24"/>
        </w:rPr>
        <w:t xml:space="preserve">The Provincial Stock Exchanges </w:t>
      </w:r>
      <w:r>
        <w:rPr>
          <w:sz w:val="24"/>
          <w:szCs w:val="24"/>
        </w:rPr>
        <w:t xml:space="preserve">(London: </w:t>
      </w:r>
      <w:r w:rsidRPr="00F4652F">
        <w:rPr>
          <w:sz w:val="24"/>
          <w:szCs w:val="24"/>
        </w:rPr>
        <w:t>Frank Cass: London, 1973</w:t>
      </w:r>
      <w:r>
        <w:rPr>
          <w:sz w:val="24"/>
          <w:szCs w:val="24"/>
        </w:rPr>
        <w:t>)</w:t>
      </w:r>
      <w:r w:rsidRPr="00F4652F">
        <w:rPr>
          <w:sz w:val="24"/>
          <w:szCs w:val="24"/>
        </w:rPr>
        <w:t>.</w:t>
      </w:r>
    </w:p>
    <w:p w:rsidR="00DA49AC" w:rsidRPr="00D06B56" w:rsidRDefault="00DA49AC" w:rsidP="00D06B56">
      <w:pPr>
        <w:pStyle w:val="CommentText"/>
        <w:jc w:val="both"/>
        <w:rPr>
          <w:sz w:val="24"/>
          <w:szCs w:val="24"/>
        </w:rPr>
      </w:pPr>
      <w:r w:rsidRPr="00D06B56">
        <w:rPr>
          <w:sz w:val="24"/>
          <w:szCs w:val="24"/>
        </w:rPr>
        <w:t>Thompson, F. M. L. English Landed Society in the Nineteenth Century (London: Routledge and Kegan Paul, 1963)</w:t>
      </w:r>
      <w:r>
        <w:rPr>
          <w:sz w:val="24"/>
          <w:szCs w:val="24"/>
        </w:rPr>
        <w:t>.</w:t>
      </w:r>
    </w:p>
    <w:p w:rsidR="00DA49AC" w:rsidRDefault="00DA49AC" w:rsidP="00AB503E">
      <w:pPr>
        <w:spacing w:line="240" w:lineRule="auto"/>
        <w:jc w:val="both"/>
        <w:rPr>
          <w:rFonts w:cs="Calibri"/>
          <w:sz w:val="24"/>
          <w:szCs w:val="24"/>
        </w:rPr>
      </w:pPr>
    </w:p>
    <w:p w:rsidR="00DA49AC" w:rsidRDefault="00DA49AC" w:rsidP="00AB503E">
      <w:pPr>
        <w:spacing w:line="240" w:lineRule="auto"/>
        <w:jc w:val="both"/>
        <w:rPr>
          <w:rFonts w:cs="Calibri"/>
          <w:sz w:val="24"/>
          <w:szCs w:val="24"/>
        </w:rPr>
      </w:pPr>
      <w:r>
        <w:rPr>
          <w:rFonts w:cs="Calibri"/>
          <w:sz w:val="24"/>
          <w:szCs w:val="24"/>
        </w:rPr>
        <w:t>Turner, J. D., ‘</w:t>
      </w:r>
      <w:r w:rsidRPr="00737800">
        <w:rPr>
          <w:rFonts w:cs="Calibri"/>
          <w:sz w:val="24"/>
          <w:szCs w:val="24"/>
        </w:rPr>
        <w:t xml:space="preserve">Wider </w:t>
      </w:r>
      <w:r>
        <w:rPr>
          <w:rFonts w:cs="Calibri"/>
          <w:sz w:val="24"/>
          <w:szCs w:val="24"/>
        </w:rPr>
        <w:t>s</w:t>
      </w:r>
      <w:r w:rsidRPr="00737800">
        <w:rPr>
          <w:rFonts w:cs="Calibri"/>
          <w:sz w:val="24"/>
          <w:szCs w:val="24"/>
        </w:rPr>
        <w:t xml:space="preserve">hare </w:t>
      </w:r>
      <w:r>
        <w:rPr>
          <w:rFonts w:cs="Calibri"/>
          <w:sz w:val="24"/>
          <w:szCs w:val="24"/>
        </w:rPr>
        <w:t>o</w:t>
      </w:r>
      <w:r w:rsidRPr="00737800">
        <w:rPr>
          <w:rFonts w:cs="Calibri"/>
          <w:sz w:val="24"/>
          <w:szCs w:val="24"/>
        </w:rPr>
        <w:t xml:space="preserve">wnership?: </w:t>
      </w:r>
      <w:r>
        <w:rPr>
          <w:rFonts w:cs="Calibri"/>
          <w:sz w:val="24"/>
          <w:szCs w:val="24"/>
        </w:rPr>
        <w:t>Investors in English bank shares in t</w:t>
      </w:r>
      <w:r w:rsidRPr="00737800">
        <w:rPr>
          <w:rFonts w:cs="Calibri"/>
          <w:sz w:val="24"/>
          <w:szCs w:val="24"/>
        </w:rPr>
        <w:t>he nineteenth century</w:t>
      </w:r>
      <w:r>
        <w:rPr>
          <w:rFonts w:cs="Calibri"/>
          <w:sz w:val="24"/>
          <w:szCs w:val="24"/>
        </w:rPr>
        <w:t>’,</w:t>
      </w:r>
      <w:r w:rsidRPr="00737800">
        <w:rPr>
          <w:rFonts w:cs="Calibri"/>
          <w:sz w:val="24"/>
          <w:szCs w:val="24"/>
        </w:rPr>
        <w:t xml:space="preserve"> </w:t>
      </w:r>
      <w:r w:rsidRPr="00737800">
        <w:rPr>
          <w:rFonts w:cs="Calibri"/>
          <w:i/>
          <w:sz w:val="24"/>
          <w:szCs w:val="24"/>
        </w:rPr>
        <w:t>Economic History Review</w:t>
      </w:r>
      <w:r>
        <w:rPr>
          <w:rFonts w:cs="Calibri"/>
          <w:sz w:val="24"/>
          <w:szCs w:val="24"/>
        </w:rPr>
        <w:t>,</w:t>
      </w:r>
      <w:r w:rsidRPr="00737800">
        <w:rPr>
          <w:rFonts w:cs="Calibri"/>
          <w:i/>
          <w:sz w:val="24"/>
          <w:szCs w:val="24"/>
        </w:rPr>
        <w:t xml:space="preserve"> </w:t>
      </w:r>
      <w:r w:rsidRPr="00F6004B">
        <w:rPr>
          <w:rFonts w:cs="Calibri"/>
          <w:sz w:val="24"/>
          <w:szCs w:val="24"/>
        </w:rPr>
        <w:t>62</w:t>
      </w:r>
      <w:r>
        <w:rPr>
          <w:rFonts w:cs="Calibri"/>
          <w:sz w:val="24"/>
          <w:szCs w:val="24"/>
        </w:rPr>
        <w:t xml:space="preserve"> (2009), pp. 167-92</w:t>
      </w:r>
      <w:r w:rsidRPr="00737800">
        <w:rPr>
          <w:rFonts w:cs="Calibri"/>
          <w:sz w:val="24"/>
          <w:szCs w:val="24"/>
        </w:rPr>
        <w:t>.</w:t>
      </w:r>
    </w:p>
    <w:p w:rsidR="00DA49AC" w:rsidRPr="00737800" w:rsidRDefault="00DA49AC" w:rsidP="00AB503E">
      <w:pPr>
        <w:spacing w:line="240" w:lineRule="auto"/>
        <w:jc w:val="both"/>
        <w:rPr>
          <w:rFonts w:cs="Calibri"/>
          <w:sz w:val="24"/>
          <w:szCs w:val="24"/>
        </w:rPr>
      </w:pPr>
    </w:p>
    <w:p w:rsidR="00DA49AC" w:rsidRPr="00E62ADC" w:rsidRDefault="00DA49AC" w:rsidP="00AB503E">
      <w:pPr>
        <w:pStyle w:val="NoSpacing"/>
        <w:jc w:val="both"/>
        <w:rPr>
          <w:rFonts w:ascii="Times New Roman" w:hAnsi="Times New Roman"/>
          <w:color w:val="000000"/>
          <w:sz w:val="24"/>
          <w:szCs w:val="24"/>
          <w:lang w:eastAsia="en-GB"/>
        </w:rPr>
      </w:pPr>
      <w:r w:rsidRPr="00E62ADC">
        <w:rPr>
          <w:rFonts w:ascii="Times New Roman" w:hAnsi="Times New Roman"/>
          <w:color w:val="000000"/>
          <w:sz w:val="24"/>
          <w:szCs w:val="24"/>
          <w:lang w:eastAsia="en-GB"/>
        </w:rPr>
        <w:t>Turner, J.</w:t>
      </w:r>
      <w:r>
        <w:rPr>
          <w:rFonts w:ascii="Times New Roman" w:hAnsi="Times New Roman"/>
          <w:color w:val="000000"/>
          <w:sz w:val="24"/>
          <w:szCs w:val="24"/>
          <w:lang w:eastAsia="en-GB"/>
        </w:rPr>
        <w:t xml:space="preserve"> </w:t>
      </w:r>
      <w:r w:rsidRPr="00E62ADC">
        <w:rPr>
          <w:rFonts w:ascii="Times New Roman" w:hAnsi="Times New Roman"/>
          <w:color w:val="000000"/>
          <w:sz w:val="24"/>
          <w:szCs w:val="24"/>
          <w:lang w:eastAsia="en-GB"/>
        </w:rPr>
        <w:t xml:space="preserve">D., Ye, Q. and Zhan, W. </w:t>
      </w:r>
      <w:r>
        <w:rPr>
          <w:rFonts w:ascii="Times New Roman" w:hAnsi="Times New Roman"/>
          <w:color w:val="000000"/>
          <w:sz w:val="24"/>
          <w:szCs w:val="24"/>
          <w:lang w:eastAsia="en-GB"/>
        </w:rPr>
        <w:t>‘</w:t>
      </w:r>
      <w:r w:rsidRPr="00E62ADC">
        <w:rPr>
          <w:rFonts w:ascii="Times New Roman" w:hAnsi="Times New Roman"/>
          <w:color w:val="000000"/>
          <w:sz w:val="24"/>
          <w:szCs w:val="24"/>
          <w:lang w:eastAsia="en-GB"/>
        </w:rPr>
        <w:t>Why do firms pay dividends?: evidence from an early and unregulated capital market</w:t>
      </w:r>
      <w:r>
        <w:rPr>
          <w:rFonts w:ascii="Times New Roman" w:hAnsi="Times New Roman"/>
          <w:color w:val="000000"/>
          <w:sz w:val="24"/>
          <w:szCs w:val="24"/>
          <w:lang w:eastAsia="en-GB"/>
        </w:rPr>
        <w:t>’,</w:t>
      </w:r>
      <w:r w:rsidRPr="00E62ADC">
        <w:rPr>
          <w:rFonts w:ascii="Times New Roman" w:hAnsi="Times New Roman"/>
          <w:color w:val="000000"/>
          <w:sz w:val="24"/>
          <w:szCs w:val="24"/>
          <w:lang w:eastAsia="en-GB"/>
        </w:rPr>
        <w:t xml:space="preserve"> </w:t>
      </w:r>
      <w:r w:rsidRPr="003573B5">
        <w:rPr>
          <w:rFonts w:ascii="Times New Roman" w:hAnsi="Times New Roman"/>
          <w:i/>
          <w:color w:val="000000"/>
          <w:sz w:val="24"/>
          <w:szCs w:val="24"/>
          <w:lang w:eastAsia="en-GB"/>
        </w:rPr>
        <w:t>Review of Finance</w:t>
      </w:r>
      <w:r w:rsidRPr="00E62ADC">
        <w:rPr>
          <w:rFonts w:ascii="Times New Roman" w:hAnsi="Times New Roman"/>
          <w:color w:val="000000"/>
          <w:sz w:val="24"/>
          <w:szCs w:val="24"/>
          <w:lang w:eastAsia="en-GB"/>
        </w:rPr>
        <w:t>, 17</w:t>
      </w:r>
      <w:r>
        <w:rPr>
          <w:rFonts w:ascii="Times New Roman" w:hAnsi="Times New Roman"/>
          <w:color w:val="000000"/>
          <w:sz w:val="24"/>
          <w:szCs w:val="24"/>
          <w:lang w:eastAsia="en-GB"/>
        </w:rPr>
        <w:t xml:space="preserve"> </w:t>
      </w:r>
      <w:r w:rsidRPr="00E62ADC">
        <w:rPr>
          <w:rFonts w:ascii="Times New Roman" w:hAnsi="Times New Roman"/>
          <w:color w:val="000000"/>
          <w:sz w:val="24"/>
          <w:szCs w:val="24"/>
          <w:lang w:eastAsia="en-GB"/>
        </w:rPr>
        <w:t>(2013)</w:t>
      </w:r>
      <w:r>
        <w:rPr>
          <w:rFonts w:ascii="Times New Roman" w:hAnsi="Times New Roman"/>
          <w:color w:val="000000"/>
          <w:sz w:val="24"/>
          <w:szCs w:val="24"/>
          <w:lang w:eastAsia="en-GB"/>
        </w:rPr>
        <w:t xml:space="preserve">, pp. </w:t>
      </w:r>
      <w:r w:rsidRPr="00E62ADC">
        <w:rPr>
          <w:rFonts w:ascii="Times New Roman" w:hAnsi="Times New Roman"/>
          <w:color w:val="000000"/>
          <w:sz w:val="24"/>
          <w:szCs w:val="24"/>
          <w:lang w:eastAsia="en-GB"/>
        </w:rPr>
        <w:t>1787-1826.</w:t>
      </w:r>
    </w:p>
    <w:p w:rsidR="00DA49AC" w:rsidRDefault="00DA49AC">
      <w:pPr>
        <w:spacing w:line="276" w:lineRule="auto"/>
        <w:rPr>
          <w:sz w:val="24"/>
          <w:szCs w:val="24"/>
        </w:rPr>
      </w:pPr>
      <w:r>
        <w:rPr>
          <w:sz w:val="24"/>
          <w:szCs w:val="24"/>
        </w:rPr>
        <w:br w:type="page"/>
      </w:r>
    </w:p>
    <w:p w:rsidR="00DA49AC" w:rsidRPr="00240847" w:rsidRDefault="00DA49AC" w:rsidP="00240847">
      <w:pPr>
        <w:spacing w:line="240" w:lineRule="auto"/>
        <w:rPr>
          <w:sz w:val="24"/>
          <w:szCs w:val="24"/>
        </w:rPr>
      </w:pPr>
      <w:r w:rsidRPr="006D587B">
        <w:rPr>
          <w:i/>
          <w:sz w:val="24"/>
          <w:szCs w:val="24"/>
        </w:rPr>
        <w:t>Table 1</w:t>
      </w:r>
      <w:r>
        <w:rPr>
          <w:sz w:val="24"/>
          <w:szCs w:val="24"/>
        </w:rPr>
        <w:t>.</w:t>
      </w:r>
      <w:r>
        <w:rPr>
          <w:sz w:val="24"/>
          <w:szCs w:val="24"/>
        </w:rPr>
        <w:tab/>
        <w:t>Characteristics of sample companies</w:t>
      </w:r>
    </w:p>
    <w:tbl>
      <w:tblPr>
        <w:tblW w:w="8302" w:type="dxa"/>
        <w:tblBorders>
          <w:top w:val="double" w:sz="4" w:space="0" w:color="auto"/>
          <w:bottom w:val="double" w:sz="4" w:space="0" w:color="auto"/>
        </w:tblBorders>
        <w:tblLook w:val="00A0"/>
      </w:tblPr>
      <w:tblGrid>
        <w:gridCol w:w="1852"/>
        <w:gridCol w:w="1554"/>
        <w:gridCol w:w="1554"/>
        <w:gridCol w:w="1787"/>
        <w:gridCol w:w="1555"/>
      </w:tblGrid>
      <w:tr w:rsidR="00DA49AC" w:rsidRPr="003301F4" w:rsidTr="00DC566A">
        <w:trPr>
          <w:trHeight w:val="309"/>
        </w:trPr>
        <w:tc>
          <w:tcPr>
            <w:tcW w:w="0" w:type="auto"/>
            <w:tcBorders>
              <w:top w:val="single" w:sz="4" w:space="0" w:color="auto"/>
              <w:bottom w:val="single" w:sz="4" w:space="0" w:color="auto"/>
            </w:tcBorders>
            <w:noWrap/>
            <w:vAlign w:val="bottom"/>
          </w:tcPr>
          <w:p w:rsidR="00DA49AC" w:rsidRPr="00BF31F1" w:rsidRDefault="00DA49AC" w:rsidP="00BF31F1">
            <w:pPr>
              <w:spacing w:line="240" w:lineRule="auto"/>
              <w:contextualSpacing/>
              <w:rPr>
                <w:color w:val="000000"/>
                <w:lang w:eastAsia="en-GB"/>
              </w:rPr>
            </w:pPr>
          </w:p>
        </w:tc>
        <w:tc>
          <w:tcPr>
            <w:tcW w:w="1524" w:type="dxa"/>
            <w:tcBorders>
              <w:top w:val="single" w:sz="4" w:space="0" w:color="auto"/>
              <w:bottom w:val="single" w:sz="4" w:space="0" w:color="auto"/>
            </w:tcBorders>
            <w:noWrap/>
            <w:vAlign w:val="bottom"/>
          </w:tcPr>
          <w:p w:rsidR="00DA49AC" w:rsidRPr="00BF31F1" w:rsidRDefault="00DA49AC" w:rsidP="00240847">
            <w:pPr>
              <w:spacing w:line="240" w:lineRule="auto"/>
              <w:contextualSpacing/>
              <w:jc w:val="center"/>
              <w:rPr>
                <w:color w:val="000000"/>
                <w:lang w:eastAsia="en-GB"/>
              </w:rPr>
            </w:pPr>
            <w:r w:rsidRPr="00BF31F1">
              <w:rPr>
                <w:color w:val="000000"/>
                <w:lang w:eastAsia="en-GB"/>
              </w:rPr>
              <w:t>Number of Companies</w:t>
            </w:r>
          </w:p>
        </w:tc>
        <w:tc>
          <w:tcPr>
            <w:tcW w:w="1524" w:type="dxa"/>
            <w:tcBorders>
              <w:top w:val="single" w:sz="4" w:space="0" w:color="auto"/>
              <w:bottom w:val="single" w:sz="4" w:space="0" w:color="auto"/>
            </w:tcBorders>
            <w:noWrap/>
            <w:vAlign w:val="bottom"/>
          </w:tcPr>
          <w:p w:rsidR="00DA49AC" w:rsidRPr="00BF31F1" w:rsidRDefault="00DA49AC" w:rsidP="00240847">
            <w:pPr>
              <w:spacing w:line="240" w:lineRule="auto"/>
              <w:contextualSpacing/>
              <w:jc w:val="center"/>
              <w:rPr>
                <w:color w:val="000000"/>
                <w:lang w:eastAsia="en-GB"/>
              </w:rPr>
            </w:pPr>
            <w:r w:rsidRPr="00BF31F1">
              <w:rPr>
                <w:color w:val="000000"/>
                <w:lang w:eastAsia="en-GB"/>
              </w:rPr>
              <w:t>Number of Securities</w:t>
            </w:r>
          </w:p>
        </w:tc>
        <w:tc>
          <w:tcPr>
            <w:tcW w:w="1753" w:type="dxa"/>
            <w:tcBorders>
              <w:top w:val="single" w:sz="4" w:space="0" w:color="auto"/>
              <w:bottom w:val="single" w:sz="4" w:space="0" w:color="auto"/>
            </w:tcBorders>
            <w:noWrap/>
            <w:vAlign w:val="bottom"/>
          </w:tcPr>
          <w:p w:rsidR="00DA49AC" w:rsidRPr="00BF31F1" w:rsidRDefault="00DA49AC" w:rsidP="00240847">
            <w:pPr>
              <w:spacing w:line="240" w:lineRule="auto"/>
              <w:contextualSpacing/>
              <w:jc w:val="center"/>
              <w:rPr>
                <w:color w:val="000000"/>
                <w:lang w:eastAsia="en-GB"/>
              </w:rPr>
            </w:pPr>
            <w:r w:rsidRPr="00BF31F1">
              <w:rPr>
                <w:color w:val="000000"/>
                <w:lang w:eastAsia="en-GB"/>
              </w:rPr>
              <w:t>Number of Shareholdings</w:t>
            </w:r>
          </w:p>
        </w:tc>
        <w:tc>
          <w:tcPr>
            <w:tcW w:w="1525" w:type="dxa"/>
            <w:tcBorders>
              <w:top w:val="single" w:sz="4" w:space="0" w:color="auto"/>
              <w:bottom w:val="single" w:sz="4" w:space="0" w:color="auto"/>
            </w:tcBorders>
            <w:noWrap/>
            <w:vAlign w:val="bottom"/>
          </w:tcPr>
          <w:p w:rsidR="00DA49AC" w:rsidRPr="00BF31F1" w:rsidRDefault="00DA49AC" w:rsidP="00240847">
            <w:pPr>
              <w:spacing w:line="240" w:lineRule="auto"/>
              <w:contextualSpacing/>
              <w:jc w:val="center"/>
              <w:rPr>
                <w:color w:val="000000"/>
                <w:lang w:eastAsia="en-GB"/>
              </w:rPr>
            </w:pPr>
            <w:r w:rsidRPr="00BF31F1">
              <w:rPr>
                <w:color w:val="000000"/>
                <w:lang w:eastAsia="en-GB"/>
              </w:rPr>
              <w:t>Total Par Value (£m)</w:t>
            </w:r>
          </w:p>
        </w:tc>
      </w:tr>
      <w:tr w:rsidR="00DA49AC" w:rsidRPr="003301F4" w:rsidTr="00DC566A">
        <w:trPr>
          <w:trHeight w:val="309"/>
        </w:trPr>
        <w:tc>
          <w:tcPr>
            <w:tcW w:w="8302" w:type="dxa"/>
            <w:gridSpan w:val="5"/>
            <w:tcBorders>
              <w:top w:val="single" w:sz="4" w:space="0" w:color="auto"/>
              <w:bottom w:val="single" w:sz="4" w:space="0" w:color="auto"/>
            </w:tcBorders>
            <w:noWrap/>
            <w:vAlign w:val="bottom"/>
          </w:tcPr>
          <w:p w:rsidR="00DA49AC" w:rsidRPr="00BF31F1" w:rsidRDefault="00DA49AC" w:rsidP="00BF31F1">
            <w:pPr>
              <w:spacing w:line="240" w:lineRule="auto"/>
              <w:contextualSpacing/>
              <w:jc w:val="center"/>
              <w:rPr>
                <w:color w:val="000000"/>
                <w:lang w:eastAsia="en-GB"/>
              </w:rPr>
            </w:pPr>
            <w:r w:rsidRPr="00BF31F1">
              <w:rPr>
                <w:color w:val="000000"/>
                <w:lang w:eastAsia="en-GB"/>
              </w:rPr>
              <w:t>Panel A: Decade of observation</w:t>
            </w:r>
          </w:p>
        </w:tc>
      </w:tr>
      <w:tr w:rsidR="00DA49AC" w:rsidRPr="003301F4" w:rsidTr="00DC566A">
        <w:trPr>
          <w:trHeight w:val="309"/>
        </w:trPr>
        <w:tc>
          <w:tcPr>
            <w:tcW w:w="0" w:type="auto"/>
            <w:tcBorders>
              <w:top w:val="single" w:sz="4" w:space="0" w:color="auto"/>
            </w:tcBorders>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1850s and 1860s</w:t>
            </w:r>
          </w:p>
        </w:tc>
        <w:tc>
          <w:tcPr>
            <w:tcW w:w="1524"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103</w:t>
            </w:r>
          </w:p>
        </w:tc>
        <w:tc>
          <w:tcPr>
            <w:tcW w:w="1524"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107</w:t>
            </w:r>
          </w:p>
        </w:tc>
        <w:tc>
          <w:tcPr>
            <w:tcW w:w="1753"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27,606</w:t>
            </w:r>
          </w:p>
        </w:tc>
        <w:tc>
          <w:tcPr>
            <w:tcW w:w="1525"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13.6</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1870</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64</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68</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24,115</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14.0</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1880</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130</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148</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50,521</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27.7</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1890</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107</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142</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53,500</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25.3</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1900</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49</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66</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33,549</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14.7</w:t>
            </w:r>
          </w:p>
        </w:tc>
      </w:tr>
      <w:tr w:rsidR="00DA49AC" w:rsidRPr="003301F4" w:rsidTr="00DC566A">
        <w:trPr>
          <w:trHeight w:val="309"/>
        </w:trPr>
        <w:tc>
          <w:tcPr>
            <w:tcW w:w="0" w:type="auto"/>
            <w:tcBorders>
              <w:bottom w:val="single" w:sz="4" w:space="0" w:color="auto"/>
            </w:tcBorders>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Total</w:t>
            </w:r>
          </w:p>
        </w:tc>
        <w:tc>
          <w:tcPr>
            <w:tcW w:w="1524"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453</w:t>
            </w:r>
          </w:p>
        </w:tc>
        <w:tc>
          <w:tcPr>
            <w:tcW w:w="1524"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531</w:t>
            </w:r>
          </w:p>
        </w:tc>
        <w:tc>
          <w:tcPr>
            <w:tcW w:w="1753"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189,291</w:t>
            </w:r>
          </w:p>
        </w:tc>
        <w:tc>
          <w:tcPr>
            <w:tcW w:w="1525"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95.3</w:t>
            </w:r>
          </w:p>
        </w:tc>
      </w:tr>
      <w:tr w:rsidR="00DA49AC" w:rsidRPr="003301F4" w:rsidTr="00DC566A">
        <w:trPr>
          <w:trHeight w:val="309"/>
        </w:trPr>
        <w:tc>
          <w:tcPr>
            <w:tcW w:w="8302" w:type="dxa"/>
            <w:gridSpan w:val="5"/>
            <w:tcBorders>
              <w:top w:val="single" w:sz="4" w:space="0" w:color="auto"/>
              <w:bottom w:val="single" w:sz="4" w:space="0" w:color="auto"/>
            </w:tcBorders>
            <w:noWrap/>
            <w:vAlign w:val="bottom"/>
          </w:tcPr>
          <w:p w:rsidR="00DA49AC" w:rsidRPr="00DC566A" w:rsidRDefault="00DA49AC" w:rsidP="00BF31F1">
            <w:pPr>
              <w:spacing w:line="240" w:lineRule="auto"/>
              <w:contextualSpacing/>
              <w:jc w:val="center"/>
              <w:rPr>
                <w:color w:val="000000"/>
                <w:lang w:eastAsia="en-GB"/>
              </w:rPr>
            </w:pPr>
            <w:r w:rsidRPr="00BF31F1">
              <w:rPr>
                <w:color w:val="000000"/>
                <w:lang w:eastAsia="en-GB"/>
              </w:rPr>
              <w:t>Panel B: Industry</w:t>
            </w:r>
          </w:p>
        </w:tc>
      </w:tr>
      <w:tr w:rsidR="00DA49AC" w:rsidRPr="003301F4" w:rsidTr="00DC566A">
        <w:trPr>
          <w:trHeight w:val="309"/>
        </w:trPr>
        <w:tc>
          <w:tcPr>
            <w:tcW w:w="0" w:type="auto"/>
            <w:tcBorders>
              <w:top w:val="single" w:sz="4" w:space="0" w:color="auto"/>
            </w:tcBorders>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Banks</w:t>
            </w:r>
          </w:p>
        </w:tc>
        <w:tc>
          <w:tcPr>
            <w:tcW w:w="1524"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103</w:t>
            </w:r>
          </w:p>
        </w:tc>
        <w:tc>
          <w:tcPr>
            <w:tcW w:w="1524"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109</w:t>
            </w:r>
          </w:p>
        </w:tc>
        <w:tc>
          <w:tcPr>
            <w:tcW w:w="1753"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63,445</w:t>
            </w:r>
          </w:p>
        </w:tc>
        <w:tc>
          <w:tcPr>
            <w:tcW w:w="1525"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28.8</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Insurance</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35</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35</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12,072</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4.2</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Finance</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37</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39</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18,173</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7.2</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Iron</w:t>
            </w:r>
            <w:r w:rsidRPr="00BF31F1">
              <w:rPr>
                <w:color w:val="000000"/>
                <w:lang w:eastAsia="en-GB"/>
              </w:rPr>
              <w:t xml:space="preserve">, </w:t>
            </w:r>
            <w:r w:rsidRPr="00DC566A">
              <w:rPr>
                <w:color w:val="000000"/>
                <w:lang w:eastAsia="en-GB"/>
              </w:rPr>
              <w:t>Coal</w:t>
            </w:r>
            <w:r w:rsidRPr="00BF31F1">
              <w:rPr>
                <w:color w:val="000000"/>
                <w:lang w:eastAsia="en-GB"/>
              </w:rPr>
              <w:t xml:space="preserve"> and </w:t>
            </w:r>
            <w:r w:rsidRPr="00DC566A">
              <w:rPr>
                <w:color w:val="000000"/>
                <w:lang w:eastAsia="en-GB"/>
              </w:rPr>
              <w:t>Steel</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30</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38</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8,469</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11.0</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Utility</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22</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25</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6,196</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3.3</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Mines</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34</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39</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17,490</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10.4</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Breweries</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20</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31</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7,396</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4.9</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Other</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172</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215</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56,050</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25.6</w:t>
            </w:r>
          </w:p>
        </w:tc>
      </w:tr>
      <w:tr w:rsidR="00DA49AC" w:rsidRPr="003301F4" w:rsidTr="00DC566A">
        <w:trPr>
          <w:trHeight w:val="309"/>
        </w:trPr>
        <w:tc>
          <w:tcPr>
            <w:tcW w:w="0" w:type="auto"/>
            <w:tcBorders>
              <w:bottom w:val="single" w:sz="4" w:space="0" w:color="auto"/>
            </w:tcBorders>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Total</w:t>
            </w:r>
          </w:p>
        </w:tc>
        <w:tc>
          <w:tcPr>
            <w:tcW w:w="1524"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453</w:t>
            </w:r>
          </w:p>
        </w:tc>
        <w:tc>
          <w:tcPr>
            <w:tcW w:w="1524"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531</w:t>
            </w:r>
          </w:p>
        </w:tc>
        <w:tc>
          <w:tcPr>
            <w:tcW w:w="1753"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189,291</w:t>
            </w:r>
          </w:p>
        </w:tc>
        <w:tc>
          <w:tcPr>
            <w:tcW w:w="1525"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95.3</w:t>
            </w:r>
          </w:p>
        </w:tc>
      </w:tr>
      <w:tr w:rsidR="00DA49AC" w:rsidRPr="003301F4" w:rsidTr="00DC566A">
        <w:trPr>
          <w:trHeight w:val="309"/>
        </w:trPr>
        <w:tc>
          <w:tcPr>
            <w:tcW w:w="8302" w:type="dxa"/>
            <w:gridSpan w:val="5"/>
            <w:tcBorders>
              <w:top w:val="single" w:sz="4" w:space="0" w:color="auto"/>
              <w:bottom w:val="single" w:sz="4" w:space="0" w:color="auto"/>
            </w:tcBorders>
            <w:noWrap/>
            <w:vAlign w:val="bottom"/>
          </w:tcPr>
          <w:p w:rsidR="00DA49AC" w:rsidRPr="00DC566A" w:rsidRDefault="00DA49AC" w:rsidP="00BF31F1">
            <w:pPr>
              <w:spacing w:line="240" w:lineRule="auto"/>
              <w:contextualSpacing/>
              <w:jc w:val="center"/>
              <w:rPr>
                <w:color w:val="000000"/>
                <w:lang w:eastAsia="en-GB"/>
              </w:rPr>
            </w:pPr>
            <w:r w:rsidRPr="00BF31F1">
              <w:rPr>
                <w:color w:val="000000"/>
                <w:lang w:eastAsia="en-GB"/>
              </w:rPr>
              <w:t xml:space="preserve">Panel C: </w:t>
            </w:r>
            <w:r>
              <w:rPr>
                <w:color w:val="000000"/>
                <w:lang w:eastAsia="en-GB"/>
              </w:rPr>
              <w:t>Company h</w:t>
            </w:r>
            <w:r w:rsidRPr="00BF31F1">
              <w:rPr>
                <w:color w:val="000000"/>
                <w:lang w:eastAsia="en-GB"/>
              </w:rPr>
              <w:t>eadquarters</w:t>
            </w:r>
          </w:p>
        </w:tc>
      </w:tr>
      <w:tr w:rsidR="00DA49AC" w:rsidRPr="003301F4" w:rsidTr="00DC566A">
        <w:trPr>
          <w:trHeight w:val="309"/>
        </w:trPr>
        <w:tc>
          <w:tcPr>
            <w:tcW w:w="0" w:type="auto"/>
            <w:tcBorders>
              <w:top w:val="single" w:sz="4" w:space="0" w:color="auto"/>
            </w:tcBorders>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London</w:t>
            </w:r>
          </w:p>
        </w:tc>
        <w:tc>
          <w:tcPr>
            <w:tcW w:w="1524"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190</w:t>
            </w:r>
          </w:p>
        </w:tc>
        <w:tc>
          <w:tcPr>
            <w:tcW w:w="1524"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239</w:t>
            </w:r>
          </w:p>
        </w:tc>
        <w:tc>
          <w:tcPr>
            <w:tcW w:w="1753"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94,449</w:t>
            </w:r>
          </w:p>
        </w:tc>
        <w:tc>
          <w:tcPr>
            <w:tcW w:w="1525"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48.3</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Lancashire</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45</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57</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15,830</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12.4</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Yorkshire</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31</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33</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11,017</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5.7</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Other</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88</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102</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42,319</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14.7</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Unknown</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99</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100</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25,676</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14.2</w:t>
            </w:r>
          </w:p>
        </w:tc>
      </w:tr>
      <w:tr w:rsidR="00DA49AC" w:rsidRPr="003301F4" w:rsidTr="00DC566A">
        <w:trPr>
          <w:trHeight w:val="309"/>
        </w:trPr>
        <w:tc>
          <w:tcPr>
            <w:tcW w:w="0" w:type="auto"/>
            <w:tcBorders>
              <w:bottom w:val="single" w:sz="4" w:space="0" w:color="auto"/>
            </w:tcBorders>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Total</w:t>
            </w:r>
          </w:p>
        </w:tc>
        <w:tc>
          <w:tcPr>
            <w:tcW w:w="1524"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453</w:t>
            </w:r>
          </w:p>
        </w:tc>
        <w:tc>
          <w:tcPr>
            <w:tcW w:w="1524"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531</w:t>
            </w:r>
          </w:p>
        </w:tc>
        <w:tc>
          <w:tcPr>
            <w:tcW w:w="1753"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189,291</w:t>
            </w:r>
          </w:p>
        </w:tc>
        <w:tc>
          <w:tcPr>
            <w:tcW w:w="1525"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95.3</w:t>
            </w:r>
          </w:p>
        </w:tc>
      </w:tr>
      <w:tr w:rsidR="00DA49AC" w:rsidRPr="003301F4" w:rsidTr="00DC566A">
        <w:trPr>
          <w:trHeight w:val="309"/>
        </w:trPr>
        <w:tc>
          <w:tcPr>
            <w:tcW w:w="8302" w:type="dxa"/>
            <w:gridSpan w:val="5"/>
            <w:tcBorders>
              <w:top w:val="single" w:sz="4" w:space="0" w:color="auto"/>
              <w:bottom w:val="single" w:sz="4" w:space="0" w:color="auto"/>
            </w:tcBorders>
            <w:noWrap/>
            <w:vAlign w:val="bottom"/>
          </w:tcPr>
          <w:p w:rsidR="00DA49AC" w:rsidRPr="00DC566A" w:rsidRDefault="00DA49AC" w:rsidP="00BF31F1">
            <w:pPr>
              <w:spacing w:line="240" w:lineRule="auto"/>
              <w:contextualSpacing/>
              <w:jc w:val="center"/>
              <w:rPr>
                <w:color w:val="000000"/>
                <w:lang w:eastAsia="en-GB"/>
              </w:rPr>
            </w:pPr>
            <w:r>
              <w:rPr>
                <w:color w:val="000000"/>
                <w:lang w:eastAsia="en-GB"/>
              </w:rPr>
              <w:t>Panel D: Stock market l</w:t>
            </w:r>
            <w:r w:rsidRPr="00BF31F1">
              <w:rPr>
                <w:color w:val="000000"/>
                <w:lang w:eastAsia="en-GB"/>
              </w:rPr>
              <w:t>istings</w:t>
            </w:r>
          </w:p>
        </w:tc>
      </w:tr>
      <w:tr w:rsidR="00DA49AC" w:rsidRPr="003301F4" w:rsidTr="00DC566A">
        <w:trPr>
          <w:trHeight w:val="309"/>
        </w:trPr>
        <w:tc>
          <w:tcPr>
            <w:tcW w:w="0" w:type="auto"/>
            <w:tcBorders>
              <w:top w:val="single" w:sz="4" w:space="0" w:color="auto"/>
            </w:tcBorders>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London</w:t>
            </w:r>
          </w:p>
        </w:tc>
        <w:tc>
          <w:tcPr>
            <w:tcW w:w="1524"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187</w:t>
            </w:r>
          </w:p>
        </w:tc>
        <w:tc>
          <w:tcPr>
            <w:tcW w:w="1524"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240</w:t>
            </w:r>
          </w:p>
        </w:tc>
        <w:tc>
          <w:tcPr>
            <w:tcW w:w="1753"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94,588</w:t>
            </w:r>
          </w:p>
        </w:tc>
        <w:tc>
          <w:tcPr>
            <w:tcW w:w="1525" w:type="dxa"/>
            <w:tcBorders>
              <w:top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48.6</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Lancashire</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70</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93</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31,697</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22.2</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Yorkshire</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34</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41</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18,012</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11.7</w:t>
            </w:r>
          </w:p>
        </w:tc>
      </w:tr>
      <w:tr w:rsidR="00DA49AC" w:rsidRPr="003301F4" w:rsidTr="00DC566A">
        <w:trPr>
          <w:trHeight w:val="309"/>
        </w:trPr>
        <w:tc>
          <w:tcPr>
            <w:tcW w:w="0" w:type="auto"/>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Other</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97</w:t>
            </w:r>
          </w:p>
        </w:tc>
        <w:tc>
          <w:tcPr>
            <w:tcW w:w="1524" w:type="dxa"/>
            <w:noWrap/>
            <w:vAlign w:val="bottom"/>
          </w:tcPr>
          <w:p w:rsidR="00DA49AC" w:rsidRPr="003301F4" w:rsidRDefault="00DA49AC" w:rsidP="00BF31F1">
            <w:pPr>
              <w:spacing w:line="240" w:lineRule="auto"/>
              <w:contextualSpacing/>
              <w:jc w:val="right"/>
              <w:rPr>
                <w:color w:val="000000"/>
              </w:rPr>
            </w:pPr>
            <w:r w:rsidRPr="003301F4">
              <w:rPr>
                <w:color w:val="000000"/>
              </w:rPr>
              <w:t>115</w:t>
            </w:r>
          </w:p>
        </w:tc>
        <w:tc>
          <w:tcPr>
            <w:tcW w:w="1753" w:type="dxa"/>
            <w:noWrap/>
            <w:vAlign w:val="bottom"/>
          </w:tcPr>
          <w:p w:rsidR="00DA49AC" w:rsidRPr="003301F4" w:rsidRDefault="00DA49AC" w:rsidP="00BF31F1">
            <w:pPr>
              <w:spacing w:line="240" w:lineRule="auto"/>
              <w:contextualSpacing/>
              <w:jc w:val="right"/>
              <w:rPr>
                <w:color w:val="000000"/>
              </w:rPr>
            </w:pPr>
            <w:r w:rsidRPr="003301F4">
              <w:rPr>
                <w:color w:val="000000"/>
              </w:rPr>
              <w:t>55,533</w:t>
            </w:r>
          </w:p>
        </w:tc>
        <w:tc>
          <w:tcPr>
            <w:tcW w:w="1525" w:type="dxa"/>
            <w:noWrap/>
            <w:vAlign w:val="bottom"/>
          </w:tcPr>
          <w:p w:rsidR="00DA49AC" w:rsidRPr="003301F4" w:rsidRDefault="00DA49AC" w:rsidP="00BF31F1">
            <w:pPr>
              <w:spacing w:line="240" w:lineRule="auto"/>
              <w:contextualSpacing/>
              <w:jc w:val="right"/>
              <w:rPr>
                <w:color w:val="000000"/>
              </w:rPr>
            </w:pPr>
            <w:r w:rsidRPr="003301F4">
              <w:rPr>
                <w:color w:val="000000"/>
              </w:rPr>
              <w:t>21.5</w:t>
            </w:r>
          </w:p>
        </w:tc>
      </w:tr>
      <w:tr w:rsidR="00DA49AC" w:rsidRPr="003301F4" w:rsidTr="00DC566A">
        <w:trPr>
          <w:trHeight w:val="309"/>
        </w:trPr>
        <w:tc>
          <w:tcPr>
            <w:tcW w:w="0" w:type="auto"/>
            <w:tcBorders>
              <w:bottom w:val="single" w:sz="4" w:space="0" w:color="auto"/>
            </w:tcBorders>
            <w:noWrap/>
            <w:vAlign w:val="bottom"/>
          </w:tcPr>
          <w:p w:rsidR="00DA49AC" w:rsidRPr="00DC566A" w:rsidRDefault="00DA49AC" w:rsidP="00BF31F1">
            <w:pPr>
              <w:spacing w:line="240" w:lineRule="auto"/>
              <w:contextualSpacing/>
              <w:rPr>
                <w:color w:val="000000"/>
                <w:lang w:eastAsia="en-GB"/>
              </w:rPr>
            </w:pPr>
            <w:r w:rsidRPr="00DC566A">
              <w:rPr>
                <w:color w:val="000000"/>
                <w:lang w:eastAsia="en-GB"/>
              </w:rPr>
              <w:t>Unknown</w:t>
            </w:r>
          </w:p>
        </w:tc>
        <w:tc>
          <w:tcPr>
            <w:tcW w:w="1524"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133</w:t>
            </w:r>
          </w:p>
        </w:tc>
        <w:tc>
          <w:tcPr>
            <w:tcW w:w="1524"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135</w:t>
            </w:r>
          </w:p>
        </w:tc>
        <w:tc>
          <w:tcPr>
            <w:tcW w:w="1753"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37,390</w:t>
            </w:r>
          </w:p>
        </w:tc>
        <w:tc>
          <w:tcPr>
            <w:tcW w:w="1525" w:type="dxa"/>
            <w:tcBorders>
              <w:bottom w:val="single" w:sz="4" w:space="0" w:color="auto"/>
            </w:tcBorders>
            <w:noWrap/>
            <w:vAlign w:val="bottom"/>
          </w:tcPr>
          <w:p w:rsidR="00DA49AC" w:rsidRPr="003301F4" w:rsidRDefault="00DA49AC" w:rsidP="00BF31F1">
            <w:pPr>
              <w:spacing w:line="240" w:lineRule="auto"/>
              <w:contextualSpacing/>
              <w:jc w:val="right"/>
              <w:rPr>
                <w:color w:val="000000"/>
              </w:rPr>
            </w:pPr>
            <w:r w:rsidRPr="003301F4">
              <w:rPr>
                <w:color w:val="000000"/>
              </w:rPr>
              <w:t>18.8</w:t>
            </w:r>
          </w:p>
        </w:tc>
      </w:tr>
    </w:tbl>
    <w:p w:rsidR="00DA49AC" w:rsidRPr="00DC566A" w:rsidRDefault="00DA49AC" w:rsidP="00961CB4">
      <w:pPr>
        <w:spacing w:line="276" w:lineRule="auto"/>
        <w:ind w:right="662"/>
        <w:jc w:val="both"/>
        <w:rPr>
          <w:sz w:val="24"/>
          <w:szCs w:val="24"/>
        </w:rPr>
      </w:pPr>
      <w:r w:rsidRPr="00240847">
        <w:rPr>
          <w:i/>
          <w:szCs w:val="24"/>
        </w:rPr>
        <w:t>Notes</w:t>
      </w:r>
      <w:r w:rsidRPr="00DC566A">
        <w:rPr>
          <w:szCs w:val="24"/>
        </w:rPr>
        <w:t>: Stock Market Listings sum above 453 companies, as one company could list on multiple exchanges.</w:t>
      </w:r>
      <w:r>
        <w:rPr>
          <w:szCs w:val="24"/>
        </w:rPr>
        <w:t xml:space="preserve"> The number of unknowns is so high in Panels C and D because we were not able to locate this information for most of our pre-1875 companies.</w:t>
      </w:r>
      <w:r w:rsidRPr="00DC566A">
        <w:rPr>
          <w:sz w:val="24"/>
          <w:szCs w:val="24"/>
        </w:rPr>
        <w:br w:type="page"/>
      </w:r>
    </w:p>
    <w:p w:rsidR="00DA49AC" w:rsidRPr="006D587B" w:rsidRDefault="00DA49AC" w:rsidP="006D587B">
      <w:pPr>
        <w:spacing w:line="240" w:lineRule="auto"/>
        <w:rPr>
          <w:sz w:val="24"/>
          <w:szCs w:val="24"/>
        </w:rPr>
      </w:pPr>
      <w:r w:rsidRPr="006D587B">
        <w:rPr>
          <w:i/>
          <w:sz w:val="24"/>
          <w:szCs w:val="24"/>
        </w:rPr>
        <w:t xml:space="preserve">Table </w:t>
      </w:r>
      <w:r>
        <w:rPr>
          <w:i/>
          <w:sz w:val="24"/>
          <w:szCs w:val="24"/>
        </w:rPr>
        <w:t>2</w:t>
      </w:r>
      <w:r>
        <w:rPr>
          <w:sz w:val="24"/>
          <w:szCs w:val="24"/>
        </w:rPr>
        <w:t>.</w:t>
      </w:r>
      <w:r>
        <w:rPr>
          <w:sz w:val="24"/>
          <w:szCs w:val="24"/>
        </w:rPr>
        <w:tab/>
      </w:r>
      <w:r w:rsidRPr="006D587B">
        <w:rPr>
          <w:sz w:val="24"/>
          <w:szCs w:val="24"/>
        </w:rPr>
        <w:t>Occupation</w:t>
      </w:r>
      <w:r>
        <w:rPr>
          <w:sz w:val="24"/>
          <w:szCs w:val="24"/>
        </w:rPr>
        <w:t>al composition of capital and shareholders</w:t>
      </w:r>
    </w:p>
    <w:tbl>
      <w:tblPr>
        <w:tblW w:w="8973" w:type="dxa"/>
        <w:tblInd w:w="93" w:type="dxa"/>
        <w:tblBorders>
          <w:top w:val="double" w:sz="4" w:space="0" w:color="auto"/>
          <w:bottom w:val="double" w:sz="4" w:space="0" w:color="auto"/>
        </w:tblBorders>
        <w:tblLook w:val="00A0"/>
      </w:tblPr>
      <w:tblGrid>
        <w:gridCol w:w="2567"/>
        <w:gridCol w:w="1559"/>
        <w:gridCol w:w="1161"/>
        <w:gridCol w:w="1249"/>
        <w:gridCol w:w="1330"/>
        <w:gridCol w:w="1107"/>
      </w:tblGrid>
      <w:tr w:rsidR="00DA49AC" w:rsidRPr="003301F4" w:rsidTr="003C5023">
        <w:trPr>
          <w:trHeight w:val="1033"/>
        </w:trPr>
        <w:tc>
          <w:tcPr>
            <w:tcW w:w="2567" w:type="dxa"/>
            <w:tcBorders>
              <w:top w:val="single" w:sz="4" w:space="0" w:color="auto"/>
            </w:tcBorders>
            <w:noWrap/>
            <w:vAlign w:val="bottom"/>
          </w:tcPr>
          <w:p w:rsidR="00DA49AC" w:rsidRPr="00D86156" w:rsidRDefault="00DA49AC" w:rsidP="00DE3973">
            <w:pPr>
              <w:spacing w:line="240" w:lineRule="auto"/>
              <w:rPr>
                <w:color w:val="000000"/>
              </w:rPr>
            </w:pPr>
          </w:p>
        </w:tc>
        <w:tc>
          <w:tcPr>
            <w:tcW w:w="1559" w:type="dxa"/>
            <w:tcBorders>
              <w:top w:val="single" w:sz="4" w:space="0" w:color="auto"/>
              <w:bottom w:val="single" w:sz="4" w:space="0" w:color="auto"/>
            </w:tcBorders>
            <w:noWrap/>
          </w:tcPr>
          <w:p w:rsidR="00DA49AC" w:rsidRPr="003301F4" w:rsidRDefault="00DA49AC" w:rsidP="003C5023">
            <w:pPr>
              <w:spacing w:line="240" w:lineRule="auto"/>
              <w:jc w:val="center"/>
              <w:rPr>
                <w:color w:val="000000"/>
              </w:rPr>
            </w:pPr>
            <w:r w:rsidRPr="003301F4">
              <w:rPr>
                <w:color w:val="000000"/>
              </w:rPr>
              <w:t>Capital</w:t>
            </w:r>
          </w:p>
          <w:p w:rsidR="00DA49AC" w:rsidRPr="003301F4" w:rsidRDefault="00DA49AC" w:rsidP="003C5023">
            <w:pPr>
              <w:spacing w:line="240" w:lineRule="auto"/>
              <w:jc w:val="center"/>
              <w:rPr>
                <w:color w:val="000000"/>
              </w:rPr>
            </w:pPr>
          </w:p>
          <w:p w:rsidR="00DA49AC" w:rsidRPr="003301F4" w:rsidRDefault="00DA49AC" w:rsidP="003C5023">
            <w:pPr>
              <w:spacing w:line="240" w:lineRule="auto"/>
              <w:jc w:val="center"/>
              <w:rPr>
                <w:color w:val="000000"/>
              </w:rPr>
            </w:pPr>
          </w:p>
          <w:p w:rsidR="00DA49AC" w:rsidRPr="003301F4" w:rsidRDefault="00DA49AC" w:rsidP="003C5023">
            <w:pPr>
              <w:spacing w:line="240" w:lineRule="auto"/>
              <w:jc w:val="center"/>
              <w:rPr>
                <w:color w:val="000000"/>
              </w:rPr>
            </w:pPr>
            <w:r w:rsidRPr="003301F4">
              <w:rPr>
                <w:color w:val="000000"/>
              </w:rPr>
              <w:t>(£)</w:t>
            </w:r>
          </w:p>
        </w:tc>
        <w:tc>
          <w:tcPr>
            <w:tcW w:w="1161" w:type="dxa"/>
            <w:tcBorders>
              <w:top w:val="single" w:sz="4" w:space="0" w:color="auto"/>
              <w:bottom w:val="single" w:sz="4" w:space="0" w:color="auto"/>
            </w:tcBorders>
            <w:noWrap/>
          </w:tcPr>
          <w:p w:rsidR="00DA49AC" w:rsidRPr="003301F4" w:rsidRDefault="00DA49AC" w:rsidP="003C5023">
            <w:pPr>
              <w:spacing w:line="240" w:lineRule="auto"/>
              <w:jc w:val="center"/>
              <w:rPr>
                <w:color w:val="000000"/>
              </w:rPr>
            </w:pPr>
            <w:r w:rsidRPr="003301F4">
              <w:rPr>
                <w:color w:val="000000"/>
              </w:rPr>
              <w:t>Proportion of capital</w:t>
            </w:r>
          </w:p>
          <w:p w:rsidR="00DA49AC" w:rsidRPr="003301F4" w:rsidRDefault="00DA49AC" w:rsidP="003C5023">
            <w:pPr>
              <w:spacing w:line="240" w:lineRule="auto"/>
              <w:jc w:val="center"/>
              <w:rPr>
                <w:color w:val="000000"/>
              </w:rPr>
            </w:pPr>
          </w:p>
          <w:p w:rsidR="00DA49AC" w:rsidRPr="003301F4" w:rsidRDefault="00DA49AC" w:rsidP="003C5023">
            <w:pPr>
              <w:spacing w:line="240" w:lineRule="auto"/>
              <w:jc w:val="center"/>
              <w:rPr>
                <w:color w:val="000000"/>
              </w:rPr>
            </w:pPr>
            <w:r w:rsidRPr="003301F4">
              <w:rPr>
                <w:color w:val="000000"/>
              </w:rPr>
              <w:t>(%)</w:t>
            </w:r>
          </w:p>
        </w:tc>
        <w:tc>
          <w:tcPr>
            <w:tcW w:w="1249" w:type="dxa"/>
            <w:tcBorders>
              <w:top w:val="single" w:sz="4" w:space="0" w:color="auto"/>
              <w:bottom w:val="single" w:sz="4" w:space="0" w:color="auto"/>
            </w:tcBorders>
            <w:noWrap/>
          </w:tcPr>
          <w:p w:rsidR="00DA49AC" w:rsidRPr="003301F4" w:rsidRDefault="00DA49AC" w:rsidP="003C5023">
            <w:pPr>
              <w:spacing w:line="240" w:lineRule="auto"/>
              <w:jc w:val="center"/>
              <w:rPr>
                <w:color w:val="000000"/>
              </w:rPr>
            </w:pPr>
            <w:r w:rsidRPr="003301F4">
              <w:rPr>
                <w:color w:val="000000"/>
              </w:rPr>
              <w:t>Number of investors</w:t>
            </w:r>
          </w:p>
        </w:tc>
        <w:tc>
          <w:tcPr>
            <w:tcW w:w="1330" w:type="dxa"/>
            <w:tcBorders>
              <w:top w:val="single" w:sz="4" w:space="0" w:color="auto"/>
              <w:bottom w:val="single" w:sz="4" w:space="0" w:color="auto"/>
            </w:tcBorders>
            <w:noWrap/>
          </w:tcPr>
          <w:p w:rsidR="00DA49AC" w:rsidRPr="003301F4" w:rsidRDefault="00DA49AC" w:rsidP="003C5023">
            <w:pPr>
              <w:spacing w:line="240" w:lineRule="auto"/>
              <w:jc w:val="center"/>
              <w:rPr>
                <w:color w:val="000000"/>
              </w:rPr>
            </w:pPr>
            <w:r w:rsidRPr="003301F4">
              <w:rPr>
                <w:color w:val="000000"/>
              </w:rPr>
              <w:t>Proportion of investors</w:t>
            </w:r>
          </w:p>
          <w:p w:rsidR="00DA49AC" w:rsidRPr="003301F4" w:rsidRDefault="00DA49AC" w:rsidP="003C5023">
            <w:pPr>
              <w:spacing w:line="240" w:lineRule="auto"/>
              <w:jc w:val="center"/>
              <w:rPr>
                <w:color w:val="000000"/>
              </w:rPr>
            </w:pPr>
          </w:p>
          <w:p w:rsidR="00DA49AC" w:rsidRPr="003301F4" w:rsidRDefault="00DA49AC" w:rsidP="003C5023">
            <w:pPr>
              <w:spacing w:line="240" w:lineRule="auto"/>
              <w:jc w:val="center"/>
              <w:rPr>
                <w:color w:val="000000"/>
              </w:rPr>
            </w:pPr>
            <w:r w:rsidRPr="003301F4">
              <w:rPr>
                <w:color w:val="000000"/>
              </w:rPr>
              <w:t>(%)</w:t>
            </w:r>
          </w:p>
        </w:tc>
        <w:tc>
          <w:tcPr>
            <w:tcW w:w="1107" w:type="dxa"/>
            <w:tcBorders>
              <w:top w:val="single" w:sz="4" w:space="0" w:color="auto"/>
              <w:bottom w:val="single" w:sz="4" w:space="0" w:color="auto"/>
            </w:tcBorders>
            <w:noWrap/>
          </w:tcPr>
          <w:p w:rsidR="00DA49AC" w:rsidRPr="003301F4" w:rsidRDefault="00DA49AC" w:rsidP="003C5023">
            <w:pPr>
              <w:spacing w:line="240" w:lineRule="auto"/>
              <w:jc w:val="center"/>
              <w:rPr>
                <w:color w:val="000000"/>
              </w:rPr>
            </w:pPr>
            <w:r w:rsidRPr="003301F4">
              <w:rPr>
                <w:color w:val="000000"/>
              </w:rPr>
              <w:t xml:space="preserve">Mean per investor </w:t>
            </w:r>
          </w:p>
          <w:p w:rsidR="00DA49AC" w:rsidRPr="003301F4" w:rsidRDefault="00DA49AC" w:rsidP="003C5023">
            <w:pPr>
              <w:spacing w:line="240" w:lineRule="auto"/>
              <w:jc w:val="center"/>
              <w:rPr>
                <w:color w:val="000000"/>
              </w:rPr>
            </w:pPr>
          </w:p>
          <w:p w:rsidR="00DA49AC" w:rsidRPr="003301F4" w:rsidRDefault="00DA49AC" w:rsidP="003C5023">
            <w:pPr>
              <w:spacing w:line="240" w:lineRule="auto"/>
              <w:jc w:val="center"/>
              <w:rPr>
                <w:color w:val="000000"/>
              </w:rPr>
            </w:pPr>
            <w:r w:rsidRPr="003301F4">
              <w:rPr>
                <w:color w:val="000000"/>
              </w:rPr>
              <w:t>(£)</w:t>
            </w:r>
          </w:p>
        </w:tc>
      </w:tr>
      <w:tr w:rsidR="00DA49AC" w:rsidRPr="003301F4" w:rsidTr="006D587B">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Agriculture</w:t>
            </w:r>
          </w:p>
        </w:tc>
        <w:tc>
          <w:tcPr>
            <w:tcW w:w="1559" w:type="dxa"/>
            <w:tcBorders>
              <w:top w:val="single" w:sz="4" w:space="0" w:color="auto"/>
              <w:bottom w:val="nil"/>
            </w:tcBorders>
            <w:noWrap/>
            <w:vAlign w:val="bottom"/>
          </w:tcPr>
          <w:p w:rsidR="00DA49AC" w:rsidRPr="00D86156" w:rsidRDefault="00DA49AC" w:rsidP="00DE3973">
            <w:pPr>
              <w:spacing w:line="240" w:lineRule="auto"/>
              <w:jc w:val="center"/>
              <w:rPr>
                <w:color w:val="000000"/>
              </w:rPr>
            </w:pPr>
            <w:r w:rsidRPr="00D86156">
              <w:rPr>
                <w:color w:val="000000"/>
              </w:rPr>
              <w:t>1,162,674</w:t>
            </w:r>
          </w:p>
        </w:tc>
        <w:tc>
          <w:tcPr>
            <w:tcW w:w="1161" w:type="dxa"/>
            <w:tcBorders>
              <w:top w:val="single" w:sz="4" w:space="0" w:color="auto"/>
              <w:bottom w:val="nil"/>
            </w:tcBorders>
            <w:noWrap/>
            <w:vAlign w:val="bottom"/>
          </w:tcPr>
          <w:p w:rsidR="00DA49AC" w:rsidRPr="00D86156" w:rsidRDefault="00DA49AC" w:rsidP="00DE3973">
            <w:pPr>
              <w:spacing w:line="240" w:lineRule="auto"/>
              <w:jc w:val="center"/>
              <w:rPr>
                <w:color w:val="000000"/>
              </w:rPr>
            </w:pPr>
            <w:r>
              <w:rPr>
                <w:color w:val="000000"/>
              </w:rPr>
              <w:t>1.2</w:t>
            </w:r>
          </w:p>
        </w:tc>
        <w:tc>
          <w:tcPr>
            <w:tcW w:w="1249" w:type="dxa"/>
            <w:tcBorders>
              <w:top w:val="single" w:sz="4" w:space="0" w:color="auto"/>
              <w:bottom w:val="nil"/>
            </w:tcBorders>
            <w:noWrap/>
            <w:vAlign w:val="bottom"/>
          </w:tcPr>
          <w:p w:rsidR="00DA49AC" w:rsidRPr="00D86156" w:rsidRDefault="00DA49AC" w:rsidP="00DE3973">
            <w:pPr>
              <w:spacing w:line="240" w:lineRule="auto"/>
              <w:jc w:val="center"/>
              <w:rPr>
                <w:color w:val="000000"/>
              </w:rPr>
            </w:pPr>
            <w:r w:rsidRPr="00D86156">
              <w:rPr>
                <w:color w:val="000000"/>
              </w:rPr>
              <w:t>4,960</w:t>
            </w:r>
          </w:p>
        </w:tc>
        <w:tc>
          <w:tcPr>
            <w:tcW w:w="1330" w:type="dxa"/>
            <w:tcBorders>
              <w:top w:val="single" w:sz="4" w:space="0" w:color="auto"/>
              <w:bottom w:val="nil"/>
            </w:tcBorders>
            <w:noWrap/>
            <w:vAlign w:val="bottom"/>
          </w:tcPr>
          <w:p w:rsidR="00DA49AC" w:rsidRPr="00D86156" w:rsidRDefault="00DA49AC" w:rsidP="00DE3973">
            <w:pPr>
              <w:spacing w:line="240" w:lineRule="auto"/>
              <w:jc w:val="center"/>
              <w:rPr>
                <w:color w:val="000000"/>
              </w:rPr>
            </w:pPr>
            <w:r>
              <w:rPr>
                <w:color w:val="000000"/>
              </w:rPr>
              <w:t>2.9</w:t>
            </w:r>
          </w:p>
        </w:tc>
        <w:tc>
          <w:tcPr>
            <w:tcW w:w="1107" w:type="dxa"/>
            <w:tcBorders>
              <w:top w:val="single" w:sz="4" w:space="0" w:color="auto"/>
              <w:bottom w:val="nil"/>
            </w:tcBorders>
            <w:noWrap/>
            <w:vAlign w:val="bottom"/>
          </w:tcPr>
          <w:p w:rsidR="00DA49AC" w:rsidRPr="00D86156" w:rsidRDefault="00DA49AC" w:rsidP="00DE3973">
            <w:pPr>
              <w:spacing w:line="240" w:lineRule="auto"/>
              <w:jc w:val="center"/>
              <w:rPr>
                <w:color w:val="000000"/>
              </w:rPr>
            </w:pPr>
            <w:r w:rsidRPr="00D86156">
              <w:rPr>
                <w:color w:val="000000"/>
              </w:rPr>
              <w:t>230</w:t>
            </w:r>
          </w:p>
        </w:tc>
      </w:tr>
      <w:tr w:rsidR="00DA49AC" w:rsidRPr="003301F4" w:rsidTr="006D587B">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Business-Manufacturing</w:t>
            </w:r>
          </w:p>
        </w:tc>
        <w:tc>
          <w:tcPr>
            <w:tcW w:w="1559" w:type="dxa"/>
            <w:tcBorders>
              <w:top w:val="nil"/>
            </w:tcBorders>
            <w:noWrap/>
            <w:vAlign w:val="bottom"/>
          </w:tcPr>
          <w:p w:rsidR="00DA49AC" w:rsidRPr="00D86156" w:rsidRDefault="00DA49AC" w:rsidP="00DE3973">
            <w:pPr>
              <w:spacing w:line="240" w:lineRule="auto"/>
              <w:jc w:val="center"/>
              <w:rPr>
                <w:color w:val="000000"/>
              </w:rPr>
            </w:pPr>
            <w:r w:rsidRPr="00D86156">
              <w:rPr>
                <w:color w:val="000000"/>
              </w:rPr>
              <w:t>5,674,462</w:t>
            </w:r>
          </w:p>
        </w:tc>
        <w:tc>
          <w:tcPr>
            <w:tcW w:w="1161" w:type="dxa"/>
            <w:tcBorders>
              <w:top w:val="nil"/>
            </w:tcBorders>
            <w:noWrap/>
            <w:vAlign w:val="bottom"/>
          </w:tcPr>
          <w:p w:rsidR="00DA49AC" w:rsidRPr="00D86156" w:rsidRDefault="00DA49AC" w:rsidP="00DE3973">
            <w:pPr>
              <w:spacing w:line="240" w:lineRule="auto"/>
              <w:jc w:val="center"/>
              <w:rPr>
                <w:color w:val="000000"/>
              </w:rPr>
            </w:pPr>
            <w:r>
              <w:rPr>
                <w:color w:val="000000"/>
              </w:rPr>
              <w:t>6.0</w:t>
            </w:r>
          </w:p>
        </w:tc>
        <w:tc>
          <w:tcPr>
            <w:tcW w:w="1249" w:type="dxa"/>
            <w:tcBorders>
              <w:top w:val="nil"/>
            </w:tcBorders>
            <w:noWrap/>
            <w:vAlign w:val="bottom"/>
          </w:tcPr>
          <w:p w:rsidR="00DA49AC" w:rsidRPr="00D86156" w:rsidRDefault="00DA49AC" w:rsidP="00DE3973">
            <w:pPr>
              <w:spacing w:line="240" w:lineRule="auto"/>
              <w:jc w:val="center"/>
              <w:rPr>
                <w:color w:val="000000"/>
              </w:rPr>
            </w:pPr>
            <w:r w:rsidRPr="00D86156">
              <w:rPr>
                <w:color w:val="000000"/>
              </w:rPr>
              <w:t>8,616</w:t>
            </w:r>
          </w:p>
        </w:tc>
        <w:tc>
          <w:tcPr>
            <w:tcW w:w="1330" w:type="dxa"/>
            <w:tcBorders>
              <w:top w:val="nil"/>
            </w:tcBorders>
            <w:noWrap/>
            <w:vAlign w:val="bottom"/>
          </w:tcPr>
          <w:p w:rsidR="00DA49AC" w:rsidRPr="00D86156" w:rsidRDefault="00DA49AC" w:rsidP="00DE3973">
            <w:pPr>
              <w:spacing w:line="240" w:lineRule="auto"/>
              <w:jc w:val="center"/>
              <w:rPr>
                <w:color w:val="000000"/>
              </w:rPr>
            </w:pPr>
            <w:r>
              <w:rPr>
                <w:color w:val="000000"/>
              </w:rPr>
              <w:t>5.0</w:t>
            </w:r>
          </w:p>
        </w:tc>
        <w:tc>
          <w:tcPr>
            <w:tcW w:w="1107" w:type="dxa"/>
            <w:tcBorders>
              <w:top w:val="nil"/>
            </w:tcBorders>
            <w:noWrap/>
            <w:vAlign w:val="bottom"/>
          </w:tcPr>
          <w:p w:rsidR="00DA49AC" w:rsidRPr="00D86156" w:rsidRDefault="00DA49AC" w:rsidP="00DE3973">
            <w:pPr>
              <w:spacing w:line="240" w:lineRule="auto"/>
              <w:jc w:val="center"/>
              <w:rPr>
                <w:color w:val="000000"/>
              </w:rPr>
            </w:pPr>
            <w:r w:rsidRPr="00D86156">
              <w:rPr>
                <w:color w:val="000000"/>
              </w:rPr>
              <w:t>622</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Business-Merchant</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11,700,000</w:t>
            </w:r>
          </w:p>
        </w:tc>
        <w:tc>
          <w:tcPr>
            <w:tcW w:w="1161" w:type="dxa"/>
            <w:noWrap/>
            <w:vAlign w:val="bottom"/>
          </w:tcPr>
          <w:p w:rsidR="00DA49AC" w:rsidRPr="00D86156" w:rsidRDefault="00DA49AC" w:rsidP="00DE3973">
            <w:pPr>
              <w:spacing w:line="240" w:lineRule="auto"/>
              <w:jc w:val="center"/>
              <w:rPr>
                <w:color w:val="000000"/>
              </w:rPr>
            </w:pPr>
            <w:r w:rsidRPr="00D86156">
              <w:rPr>
                <w:color w:val="000000"/>
              </w:rPr>
              <w:t>12.3</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14,408</w:t>
            </w:r>
          </w:p>
        </w:tc>
        <w:tc>
          <w:tcPr>
            <w:tcW w:w="1330" w:type="dxa"/>
            <w:noWrap/>
            <w:vAlign w:val="bottom"/>
          </w:tcPr>
          <w:p w:rsidR="00DA49AC" w:rsidRPr="00D86156" w:rsidRDefault="00DA49AC" w:rsidP="00DE3973">
            <w:pPr>
              <w:spacing w:line="240" w:lineRule="auto"/>
              <w:jc w:val="center"/>
              <w:rPr>
                <w:color w:val="000000"/>
              </w:rPr>
            </w:pPr>
            <w:r>
              <w:rPr>
                <w:color w:val="000000"/>
              </w:rPr>
              <w:t>8.4</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756</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Business-Retail</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1,858,279</w:t>
            </w:r>
          </w:p>
        </w:tc>
        <w:tc>
          <w:tcPr>
            <w:tcW w:w="1161" w:type="dxa"/>
            <w:noWrap/>
            <w:vAlign w:val="bottom"/>
          </w:tcPr>
          <w:p w:rsidR="00DA49AC" w:rsidRPr="00D86156" w:rsidRDefault="00DA49AC" w:rsidP="00DE3973">
            <w:pPr>
              <w:spacing w:line="240" w:lineRule="auto"/>
              <w:jc w:val="center"/>
              <w:rPr>
                <w:color w:val="000000"/>
              </w:rPr>
            </w:pPr>
            <w:r>
              <w:rPr>
                <w:color w:val="000000"/>
              </w:rPr>
              <w:t>1.9</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7,262</w:t>
            </w:r>
          </w:p>
        </w:tc>
        <w:tc>
          <w:tcPr>
            <w:tcW w:w="1330" w:type="dxa"/>
            <w:noWrap/>
            <w:vAlign w:val="bottom"/>
          </w:tcPr>
          <w:p w:rsidR="00DA49AC" w:rsidRPr="00D86156" w:rsidRDefault="00DA49AC" w:rsidP="00DE3973">
            <w:pPr>
              <w:spacing w:line="240" w:lineRule="auto"/>
              <w:jc w:val="center"/>
              <w:rPr>
                <w:color w:val="000000"/>
              </w:rPr>
            </w:pPr>
            <w:r>
              <w:rPr>
                <w:color w:val="000000"/>
              </w:rPr>
              <w:t>4.2</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246</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Company</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360,897</w:t>
            </w:r>
          </w:p>
        </w:tc>
        <w:tc>
          <w:tcPr>
            <w:tcW w:w="1161" w:type="dxa"/>
            <w:noWrap/>
            <w:vAlign w:val="bottom"/>
          </w:tcPr>
          <w:p w:rsidR="00DA49AC" w:rsidRPr="00D86156" w:rsidRDefault="00DA49AC" w:rsidP="00DE3973">
            <w:pPr>
              <w:spacing w:line="240" w:lineRule="auto"/>
              <w:jc w:val="center"/>
              <w:rPr>
                <w:color w:val="000000"/>
              </w:rPr>
            </w:pPr>
            <w:r>
              <w:rPr>
                <w:color w:val="000000"/>
              </w:rPr>
              <w:t>0.4</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107</w:t>
            </w:r>
          </w:p>
        </w:tc>
        <w:tc>
          <w:tcPr>
            <w:tcW w:w="1330" w:type="dxa"/>
            <w:noWrap/>
            <w:vAlign w:val="bottom"/>
          </w:tcPr>
          <w:p w:rsidR="00DA49AC" w:rsidRPr="00D86156" w:rsidRDefault="00DA49AC" w:rsidP="00DE3973">
            <w:pPr>
              <w:spacing w:line="240" w:lineRule="auto"/>
              <w:jc w:val="center"/>
              <w:rPr>
                <w:color w:val="000000"/>
              </w:rPr>
            </w:pPr>
            <w:r>
              <w:rPr>
                <w:color w:val="000000"/>
              </w:rPr>
              <w:t>0.1</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3,289</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Inv</w:t>
            </w:r>
            <w:r>
              <w:rPr>
                <w:color w:val="000000"/>
              </w:rPr>
              <w:t>estment trust</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706,589</w:t>
            </w:r>
          </w:p>
        </w:tc>
        <w:tc>
          <w:tcPr>
            <w:tcW w:w="1161" w:type="dxa"/>
            <w:noWrap/>
            <w:vAlign w:val="bottom"/>
          </w:tcPr>
          <w:p w:rsidR="00DA49AC" w:rsidRPr="00D86156" w:rsidRDefault="00DA49AC" w:rsidP="00DE3973">
            <w:pPr>
              <w:spacing w:line="240" w:lineRule="auto"/>
              <w:jc w:val="center"/>
              <w:rPr>
                <w:color w:val="000000"/>
              </w:rPr>
            </w:pPr>
            <w:r>
              <w:rPr>
                <w:color w:val="000000"/>
              </w:rPr>
              <w:t>0.7</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89</w:t>
            </w:r>
          </w:p>
        </w:tc>
        <w:tc>
          <w:tcPr>
            <w:tcW w:w="1330" w:type="dxa"/>
            <w:noWrap/>
            <w:vAlign w:val="bottom"/>
          </w:tcPr>
          <w:p w:rsidR="00DA49AC" w:rsidRPr="00D86156" w:rsidRDefault="00DA49AC" w:rsidP="00DE3973">
            <w:pPr>
              <w:spacing w:line="240" w:lineRule="auto"/>
              <w:jc w:val="center"/>
              <w:rPr>
                <w:color w:val="000000"/>
              </w:rPr>
            </w:pPr>
            <w:r>
              <w:rPr>
                <w:color w:val="000000"/>
              </w:rPr>
              <w:t>0.1</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7,858</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Finance-Banker</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2,093,118</w:t>
            </w:r>
          </w:p>
        </w:tc>
        <w:tc>
          <w:tcPr>
            <w:tcW w:w="1161" w:type="dxa"/>
            <w:noWrap/>
            <w:vAlign w:val="bottom"/>
          </w:tcPr>
          <w:p w:rsidR="00DA49AC" w:rsidRPr="00D86156" w:rsidRDefault="00DA49AC" w:rsidP="00DE3973">
            <w:pPr>
              <w:spacing w:line="240" w:lineRule="auto"/>
              <w:jc w:val="center"/>
              <w:rPr>
                <w:color w:val="000000"/>
              </w:rPr>
            </w:pPr>
            <w:r>
              <w:rPr>
                <w:color w:val="000000"/>
              </w:rPr>
              <w:t>2.2</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1,613</w:t>
            </w:r>
          </w:p>
        </w:tc>
        <w:tc>
          <w:tcPr>
            <w:tcW w:w="1330" w:type="dxa"/>
            <w:noWrap/>
            <w:vAlign w:val="bottom"/>
          </w:tcPr>
          <w:p w:rsidR="00DA49AC" w:rsidRPr="00D86156" w:rsidRDefault="00DA49AC" w:rsidP="00DE3973">
            <w:pPr>
              <w:spacing w:line="240" w:lineRule="auto"/>
              <w:jc w:val="center"/>
              <w:rPr>
                <w:color w:val="000000"/>
              </w:rPr>
            </w:pPr>
            <w:r>
              <w:rPr>
                <w:color w:val="000000"/>
              </w:rPr>
              <w:t>0.9</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1,234</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Finance-Other Finance</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642,596</w:t>
            </w:r>
          </w:p>
        </w:tc>
        <w:tc>
          <w:tcPr>
            <w:tcW w:w="1161" w:type="dxa"/>
            <w:noWrap/>
            <w:vAlign w:val="bottom"/>
          </w:tcPr>
          <w:p w:rsidR="00DA49AC" w:rsidRPr="00D86156" w:rsidRDefault="00DA49AC" w:rsidP="00DE3973">
            <w:pPr>
              <w:spacing w:line="240" w:lineRule="auto"/>
              <w:jc w:val="center"/>
              <w:rPr>
                <w:color w:val="000000"/>
              </w:rPr>
            </w:pPr>
            <w:r>
              <w:rPr>
                <w:color w:val="000000"/>
              </w:rPr>
              <w:t>0.7</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1,892</w:t>
            </w:r>
          </w:p>
        </w:tc>
        <w:tc>
          <w:tcPr>
            <w:tcW w:w="1330" w:type="dxa"/>
            <w:noWrap/>
            <w:vAlign w:val="bottom"/>
          </w:tcPr>
          <w:p w:rsidR="00DA49AC" w:rsidRPr="00D86156" w:rsidRDefault="00DA49AC" w:rsidP="00DE3973">
            <w:pPr>
              <w:spacing w:line="240" w:lineRule="auto"/>
              <w:jc w:val="center"/>
              <w:rPr>
                <w:color w:val="000000"/>
              </w:rPr>
            </w:pPr>
            <w:r>
              <w:rPr>
                <w:color w:val="000000"/>
              </w:rPr>
              <w:t>1.1</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327</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Finance-Stockbroker</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1,395,550</w:t>
            </w:r>
          </w:p>
        </w:tc>
        <w:tc>
          <w:tcPr>
            <w:tcW w:w="1161" w:type="dxa"/>
            <w:noWrap/>
            <w:vAlign w:val="bottom"/>
          </w:tcPr>
          <w:p w:rsidR="00DA49AC" w:rsidRPr="00D86156" w:rsidRDefault="00DA49AC" w:rsidP="00DE3973">
            <w:pPr>
              <w:spacing w:line="240" w:lineRule="auto"/>
              <w:jc w:val="center"/>
              <w:rPr>
                <w:color w:val="000000"/>
              </w:rPr>
            </w:pPr>
            <w:r>
              <w:rPr>
                <w:color w:val="000000"/>
              </w:rPr>
              <w:t>1.5</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1,833</w:t>
            </w:r>
          </w:p>
        </w:tc>
        <w:tc>
          <w:tcPr>
            <w:tcW w:w="1330" w:type="dxa"/>
            <w:noWrap/>
            <w:vAlign w:val="bottom"/>
          </w:tcPr>
          <w:p w:rsidR="00DA49AC" w:rsidRPr="00D86156" w:rsidRDefault="00DA49AC" w:rsidP="00DE3973">
            <w:pPr>
              <w:spacing w:line="240" w:lineRule="auto"/>
              <w:jc w:val="center"/>
              <w:rPr>
                <w:color w:val="000000"/>
              </w:rPr>
            </w:pPr>
            <w:r>
              <w:rPr>
                <w:color w:val="000000"/>
              </w:rPr>
              <w:t>1.1</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699</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Pr>
                <w:color w:val="000000"/>
              </w:rPr>
              <w:t>Middle-</w:t>
            </w:r>
            <w:r w:rsidRPr="00D86156">
              <w:rPr>
                <w:color w:val="000000"/>
              </w:rPr>
              <w:t>Legal Profession</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3,066,400</w:t>
            </w:r>
          </w:p>
        </w:tc>
        <w:tc>
          <w:tcPr>
            <w:tcW w:w="1161" w:type="dxa"/>
            <w:noWrap/>
            <w:vAlign w:val="bottom"/>
          </w:tcPr>
          <w:p w:rsidR="00DA49AC" w:rsidRPr="00D86156" w:rsidRDefault="00DA49AC" w:rsidP="00DE3973">
            <w:pPr>
              <w:spacing w:line="240" w:lineRule="auto"/>
              <w:jc w:val="center"/>
              <w:rPr>
                <w:color w:val="000000"/>
              </w:rPr>
            </w:pPr>
            <w:r>
              <w:rPr>
                <w:color w:val="000000"/>
              </w:rPr>
              <w:t>3.2</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6,655</w:t>
            </w:r>
          </w:p>
        </w:tc>
        <w:tc>
          <w:tcPr>
            <w:tcW w:w="1330" w:type="dxa"/>
            <w:noWrap/>
            <w:vAlign w:val="bottom"/>
          </w:tcPr>
          <w:p w:rsidR="00DA49AC" w:rsidRPr="00D86156" w:rsidRDefault="00DA49AC" w:rsidP="00DE3973">
            <w:pPr>
              <w:spacing w:line="240" w:lineRule="auto"/>
              <w:jc w:val="center"/>
              <w:rPr>
                <w:color w:val="000000"/>
              </w:rPr>
            </w:pPr>
            <w:r>
              <w:rPr>
                <w:color w:val="000000"/>
              </w:rPr>
              <w:t>3.9</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437</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Middle-Clergy</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1,577,757</w:t>
            </w:r>
          </w:p>
        </w:tc>
        <w:tc>
          <w:tcPr>
            <w:tcW w:w="1161" w:type="dxa"/>
            <w:noWrap/>
            <w:vAlign w:val="bottom"/>
          </w:tcPr>
          <w:p w:rsidR="00DA49AC" w:rsidRPr="00D86156" w:rsidRDefault="00DA49AC" w:rsidP="00DE3973">
            <w:pPr>
              <w:spacing w:line="240" w:lineRule="auto"/>
              <w:jc w:val="center"/>
              <w:rPr>
                <w:color w:val="000000"/>
              </w:rPr>
            </w:pPr>
            <w:r>
              <w:rPr>
                <w:color w:val="000000"/>
              </w:rPr>
              <w:t>1.7</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4,160</w:t>
            </w:r>
          </w:p>
        </w:tc>
        <w:tc>
          <w:tcPr>
            <w:tcW w:w="1330" w:type="dxa"/>
            <w:noWrap/>
            <w:vAlign w:val="bottom"/>
          </w:tcPr>
          <w:p w:rsidR="00DA49AC" w:rsidRPr="00D86156" w:rsidRDefault="00DA49AC" w:rsidP="00DE3973">
            <w:pPr>
              <w:spacing w:line="240" w:lineRule="auto"/>
              <w:jc w:val="center"/>
              <w:rPr>
                <w:color w:val="000000"/>
              </w:rPr>
            </w:pPr>
            <w:r>
              <w:rPr>
                <w:color w:val="000000"/>
              </w:rPr>
              <w:t>2.4</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348</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Middle-Professional</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3,970,541</w:t>
            </w:r>
          </w:p>
        </w:tc>
        <w:tc>
          <w:tcPr>
            <w:tcW w:w="1161" w:type="dxa"/>
            <w:noWrap/>
            <w:vAlign w:val="bottom"/>
          </w:tcPr>
          <w:p w:rsidR="00DA49AC" w:rsidRPr="00D86156" w:rsidRDefault="00DA49AC" w:rsidP="00DE3973">
            <w:pPr>
              <w:spacing w:line="240" w:lineRule="auto"/>
              <w:jc w:val="center"/>
              <w:rPr>
                <w:color w:val="000000"/>
              </w:rPr>
            </w:pPr>
            <w:r>
              <w:rPr>
                <w:color w:val="000000"/>
              </w:rPr>
              <w:t>4.2</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7,180</w:t>
            </w:r>
          </w:p>
        </w:tc>
        <w:tc>
          <w:tcPr>
            <w:tcW w:w="1330" w:type="dxa"/>
            <w:noWrap/>
            <w:vAlign w:val="bottom"/>
          </w:tcPr>
          <w:p w:rsidR="00DA49AC" w:rsidRPr="00D86156" w:rsidRDefault="00DA49AC" w:rsidP="00DE3973">
            <w:pPr>
              <w:spacing w:line="240" w:lineRule="auto"/>
              <w:jc w:val="center"/>
              <w:rPr>
                <w:color w:val="000000"/>
              </w:rPr>
            </w:pPr>
            <w:r>
              <w:rPr>
                <w:color w:val="000000"/>
              </w:rPr>
              <w:t>4.2</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516</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Middle-White Collar</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1,907,744</w:t>
            </w:r>
          </w:p>
        </w:tc>
        <w:tc>
          <w:tcPr>
            <w:tcW w:w="1161" w:type="dxa"/>
            <w:noWrap/>
            <w:vAlign w:val="bottom"/>
          </w:tcPr>
          <w:p w:rsidR="00DA49AC" w:rsidRPr="00D86156" w:rsidRDefault="00DA49AC" w:rsidP="00DE3973">
            <w:pPr>
              <w:spacing w:line="240" w:lineRule="auto"/>
              <w:jc w:val="center"/>
              <w:rPr>
                <w:color w:val="000000"/>
              </w:rPr>
            </w:pPr>
            <w:r>
              <w:rPr>
                <w:color w:val="000000"/>
              </w:rPr>
              <w:t>2.0</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6,957</w:t>
            </w:r>
          </w:p>
        </w:tc>
        <w:tc>
          <w:tcPr>
            <w:tcW w:w="1330" w:type="dxa"/>
            <w:noWrap/>
            <w:vAlign w:val="bottom"/>
          </w:tcPr>
          <w:p w:rsidR="00DA49AC" w:rsidRPr="00D86156" w:rsidRDefault="00DA49AC" w:rsidP="00DE3973">
            <w:pPr>
              <w:spacing w:line="240" w:lineRule="auto"/>
              <w:jc w:val="center"/>
              <w:rPr>
                <w:color w:val="000000"/>
              </w:rPr>
            </w:pPr>
            <w:r>
              <w:rPr>
                <w:color w:val="000000"/>
              </w:rPr>
              <w:t>4.0</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256</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Upper-ArmyNavy</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2,185,713</w:t>
            </w:r>
          </w:p>
        </w:tc>
        <w:tc>
          <w:tcPr>
            <w:tcW w:w="1161" w:type="dxa"/>
            <w:noWrap/>
            <w:vAlign w:val="bottom"/>
          </w:tcPr>
          <w:p w:rsidR="00DA49AC" w:rsidRPr="00D86156" w:rsidRDefault="00DA49AC" w:rsidP="00DE3973">
            <w:pPr>
              <w:spacing w:line="240" w:lineRule="auto"/>
              <w:jc w:val="center"/>
              <w:rPr>
                <w:color w:val="000000"/>
              </w:rPr>
            </w:pPr>
            <w:r>
              <w:rPr>
                <w:color w:val="000000"/>
              </w:rPr>
              <w:t>2.3</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3,418</w:t>
            </w:r>
          </w:p>
        </w:tc>
        <w:tc>
          <w:tcPr>
            <w:tcW w:w="1330" w:type="dxa"/>
            <w:noWrap/>
            <w:vAlign w:val="bottom"/>
          </w:tcPr>
          <w:p w:rsidR="00DA49AC" w:rsidRPr="00D86156" w:rsidRDefault="00DA49AC" w:rsidP="00DE3973">
            <w:pPr>
              <w:spacing w:line="240" w:lineRule="auto"/>
              <w:jc w:val="center"/>
              <w:rPr>
                <w:color w:val="000000"/>
              </w:rPr>
            </w:pPr>
            <w:r>
              <w:rPr>
                <w:color w:val="000000"/>
              </w:rPr>
              <w:t>2.0</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598</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Upper-Esquire</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14,600,000</w:t>
            </w:r>
          </w:p>
        </w:tc>
        <w:tc>
          <w:tcPr>
            <w:tcW w:w="1161" w:type="dxa"/>
            <w:noWrap/>
            <w:vAlign w:val="bottom"/>
          </w:tcPr>
          <w:p w:rsidR="00DA49AC" w:rsidRPr="00D86156" w:rsidRDefault="00DA49AC" w:rsidP="00DE3973">
            <w:pPr>
              <w:spacing w:line="240" w:lineRule="auto"/>
              <w:jc w:val="center"/>
              <w:rPr>
                <w:color w:val="000000"/>
              </w:rPr>
            </w:pPr>
            <w:r w:rsidRPr="00D86156">
              <w:rPr>
                <w:color w:val="000000"/>
              </w:rPr>
              <w:t>15.3</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16,612</w:t>
            </w:r>
          </w:p>
        </w:tc>
        <w:tc>
          <w:tcPr>
            <w:tcW w:w="1330" w:type="dxa"/>
            <w:noWrap/>
            <w:vAlign w:val="bottom"/>
          </w:tcPr>
          <w:p w:rsidR="00DA49AC" w:rsidRPr="00D86156" w:rsidRDefault="00DA49AC" w:rsidP="00DE3973">
            <w:pPr>
              <w:spacing w:line="240" w:lineRule="auto"/>
              <w:jc w:val="center"/>
              <w:rPr>
                <w:color w:val="000000"/>
              </w:rPr>
            </w:pPr>
            <w:r>
              <w:rPr>
                <w:color w:val="000000"/>
              </w:rPr>
              <w:t>9.6</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782</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Upper-Gentleman</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26,600,000</w:t>
            </w:r>
          </w:p>
        </w:tc>
        <w:tc>
          <w:tcPr>
            <w:tcW w:w="1161" w:type="dxa"/>
            <w:noWrap/>
            <w:vAlign w:val="bottom"/>
          </w:tcPr>
          <w:p w:rsidR="00DA49AC" w:rsidRPr="00D86156" w:rsidRDefault="00DA49AC" w:rsidP="00DE3973">
            <w:pPr>
              <w:spacing w:line="240" w:lineRule="auto"/>
              <w:jc w:val="center"/>
              <w:rPr>
                <w:color w:val="000000"/>
              </w:rPr>
            </w:pPr>
            <w:r>
              <w:rPr>
                <w:color w:val="000000"/>
              </w:rPr>
              <w:t>27.9</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46,122</w:t>
            </w:r>
          </w:p>
        </w:tc>
        <w:tc>
          <w:tcPr>
            <w:tcW w:w="1330" w:type="dxa"/>
            <w:noWrap/>
            <w:vAlign w:val="bottom"/>
          </w:tcPr>
          <w:p w:rsidR="00DA49AC" w:rsidRPr="00D86156" w:rsidRDefault="00DA49AC" w:rsidP="00DE3973">
            <w:pPr>
              <w:spacing w:line="240" w:lineRule="auto"/>
              <w:jc w:val="center"/>
              <w:rPr>
                <w:color w:val="000000"/>
              </w:rPr>
            </w:pPr>
            <w:r>
              <w:rPr>
                <w:color w:val="000000"/>
              </w:rPr>
              <w:t>26.7</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546</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Upper-Nobility</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1,496,633</w:t>
            </w:r>
          </w:p>
        </w:tc>
        <w:tc>
          <w:tcPr>
            <w:tcW w:w="1161" w:type="dxa"/>
            <w:noWrap/>
            <w:vAlign w:val="bottom"/>
          </w:tcPr>
          <w:p w:rsidR="00DA49AC" w:rsidRPr="00D86156" w:rsidRDefault="00DA49AC" w:rsidP="00DE3973">
            <w:pPr>
              <w:spacing w:line="240" w:lineRule="auto"/>
              <w:jc w:val="center"/>
              <w:rPr>
                <w:color w:val="000000"/>
              </w:rPr>
            </w:pPr>
            <w:r>
              <w:rPr>
                <w:color w:val="000000"/>
              </w:rPr>
              <w:t>1.6</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598</w:t>
            </w:r>
          </w:p>
        </w:tc>
        <w:tc>
          <w:tcPr>
            <w:tcW w:w="1330" w:type="dxa"/>
            <w:noWrap/>
            <w:vAlign w:val="bottom"/>
          </w:tcPr>
          <w:p w:rsidR="00DA49AC" w:rsidRPr="00D86156" w:rsidRDefault="00DA49AC" w:rsidP="00DE3973">
            <w:pPr>
              <w:spacing w:line="240" w:lineRule="auto"/>
              <w:jc w:val="center"/>
              <w:rPr>
                <w:color w:val="000000"/>
              </w:rPr>
            </w:pPr>
            <w:r>
              <w:rPr>
                <w:color w:val="000000"/>
              </w:rPr>
              <w:t>0.3</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2,390</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Women-Married</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1,545,565</w:t>
            </w:r>
          </w:p>
        </w:tc>
        <w:tc>
          <w:tcPr>
            <w:tcW w:w="1161" w:type="dxa"/>
            <w:noWrap/>
            <w:vAlign w:val="bottom"/>
          </w:tcPr>
          <w:p w:rsidR="00DA49AC" w:rsidRPr="00D86156" w:rsidRDefault="00DA49AC" w:rsidP="00DE3973">
            <w:pPr>
              <w:spacing w:line="240" w:lineRule="auto"/>
              <w:jc w:val="center"/>
              <w:rPr>
                <w:color w:val="000000"/>
              </w:rPr>
            </w:pPr>
            <w:r>
              <w:rPr>
                <w:color w:val="000000"/>
              </w:rPr>
              <w:t>1.6</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5,647</w:t>
            </w:r>
          </w:p>
        </w:tc>
        <w:tc>
          <w:tcPr>
            <w:tcW w:w="1330" w:type="dxa"/>
            <w:noWrap/>
            <w:vAlign w:val="bottom"/>
          </w:tcPr>
          <w:p w:rsidR="00DA49AC" w:rsidRPr="00D86156" w:rsidRDefault="00DA49AC" w:rsidP="00DE3973">
            <w:pPr>
              <w:spacing w:line="240" w:lineRule="auto"/>
              <w:jc w:val="center"/>
              <w:rPr>
                <w:color w:val="000000"/>
              </w:rPr>
            </w:pPr>
            <w:r>
              <w:rPr>
                <w:color w:val="000000"/>
              </w:rPr>
              <w:t>3.3</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244</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Women-Spinster</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5,015,968</w:t>
            </w:r>
          </w:p>
        </w:tc>
        <w:tc>
          <w:tcPr>
            <w:tcW w:w="1161" w:type="dxa"/>
            <w:noWrap/>
            <w:vAlign w:val="bottom"/>
          </w:tcPr>
          <w:p w:rsidR="00DA49AC" w:rsidRPr="00D86156" w:rsidRDefault="00DA49AC" w:rsidP="00DE3973">
            <w:pPr>
              <w:spacing w:line="240" w:lineRule="auto"/>
              <w:jc w:val="center"/>
              <w:rPr>
                <w:color w:val="000000"/>
              </w:rPr>
            </w:pPr>
            <w:r>
              <w:rPr>
                <w:color w:val="000000"/>
              </w:rPr>
              <w:t>5.3</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18,564</w:t>
            </w:r>
          </w:p>
        </w:tc>
        <w:tc>
          <w:tcPr>
            <w:tcW w:w="1330" w:type="dxa"/>
            <w:noWrap/>
            <w:vAlign w:val="bottom"/>
          </w:tcPr>
          <w:p w:rsidR="00DA49AC" w:rsidRPr="00D86156" w:rsidRDefault="00DA49AC" w:rsidP="00DE3973">
            <w:pPr>
              <w:spacing w:line="240" w:lineRule="auto"/>
              <w:jc w:val="center"/>
              <w:rPr>
                <w:color w:val="000000"/>
              </w:rPr>
            </w:pPr>
            <w:r>
              <w:rPr>
                <w:color w:val="000000"/>
              </w:rPr>
              <w:t>10.8</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258</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Women-Widow</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3,867,379</w:t>
            </w:r>
          </w:p>
        </w:tc>
        <w:tc>
          <w:tcPr>
            <w:tcW w:w="1161" w:type="dxa"/>
            <w:noWrap/>
            <w:vAlign w:val="bottom"/>
          </w:tcPr>
          <w:p w:rsidR="00DA49AC" w:rsidRPr="00D86156" w:rsidRDefault="00DA49AC" w:rsidP="00DE3973">
            <w:pPr>
              <w:spacing w:line="240" w:lineRule="auto"/>
              <w:jc w:val="center"/>
              <w:rPr>
                <w:color w:val="000000"/>
              </w:rPr>
            </w:pPr>
            <w:r>
              <w:rPr>
                <w:color w:val="000000"/>
              </w:rPr>
              <w:t>4.1</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10,743</w:t>
            </w:r>
          </w:p>
        </w:tc>
        <w:tc>
          <w:tcPr>
            <w:tcW w:w="1330" w:type="dxa"/>
            <w:noWrap/>
            <w:vAlign w:val="bottom"/>
          </w:tcPr>
          <w:p w:rsidR="00DA49AC" w:rsidRPr="00D86156" w:rsidRDefault="00DA49AC" w:rsidP="00DE3973">
            <w:pPr>
              <w:spacing w:line="240" w:lineRule="auto"/>
              <w:jc w:val="center"/>
              <w:rPr>
                <w:color w:val="000000"/>
              </w:rPr>
            </w:pPr>
            <w:r>
              <w:rPr>
                <w:color w:val="000000"/>
              </w:rPr>
              <w:t>6.2</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340</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Working-Skilled</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384,080</w:t>
            </w:r>
          </w:p>
        </w:tc>
        <w:tc>
          <w:tcPr>
            <w:tcW w:w="1161" w:type="dxa"/>
            <w:noWrap/>
            <w:vAlign w:val="bottom"/>
          </w:tcPr>
          <w:p w:rsidR="00DA49AC" w:rsidRPr="00D86156" w:rsidRDefault="00DA49AC" w:rsidP="00DE3973">
            <w:pPr>
              <w:spacing w:line="240" w:lineRule="auto"/>
              <w:jc w:val="center"/>
              <w:rPr>
                <w:color w:val="000000"/>
              </w:rPr>
            </w:pPr>
            <w:r>
              <w:rPr>
                <w:color w:val="000000"/>
              </w:rPr>
              <w:t>0.4</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1,629</w:t>
            </w:r>
          </w:p>
        </w:tc>
        <w:tc>
          <w:tcPr>
            <w:tcW w:w="1330" w:type="dxa"/>
            <w:noWrap/>
            <w:vAlign w:val="bottom"/>
          </w:tcPr>
          <w:p w:rsidR="00DA49AC" w:rsidRPr="00D86156" w:rsidRDefault="00DA49AC" w:rsidP="00DE3973">
            <w:pPr>
              <w:spacing w:line="240" w:lineRule="auto"/>
              <w:jc w:val="center"/>
              <w:rPr>
                <w:color w:val="000000"/>
              </w:rPr>
            </w:pPr>
            <w:r>
              <w:rPr>
                <w:color w:val="000000"/>
              </w:rPr>
              <w:t>0.9</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228</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Working-Unskilled</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51,160</w:t>
            </w:r>
          </w:p>
        </w:tc>
        <w:tc>
          <w:tcPr>
            <w:tcW w:w="1161" w:type="dxa"/>
            <w:noWrap/>
            <w:vAlign w:val="bottom"/>
          </w:tcPr>
          <w:p w:rsidR="00DA49AC" w:rsidRPr="00D86156" w:rsidRDefault="00DA49AC" w:rsidP="00DE3973">
            <w:pPr>
              <w:spacing w:line="240" w:lineRule="auto"/>
              <w:jc w:val="center"/>
              <w:rPr>
                <w:color w:val="000000"/>
              </w:rPr>
            </w:pPr>
            <w:r>
              <w:rPr>
                <w:color w:val="000000"/>
              </w:rPr>
              <w:t>0.1</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512</w:t>
            </w:r>
          </w:p>
        </w:tc>
        <w:tc>
          <w:tcPr>
            <w:tcW w:w="1330" w:type="dxa"/>
            <w:noWrap/>
            <w:vAlign w:val="bottom"/>
          </w:tcPr>
          <w:p w:rsidR="00DA49AC" w:rsidRPr="00D86156" w:rsidRDefault="00DA49AC" w:rsidP="00DE3973">
            <w:pPr>
              <w:spacing w:line="240" w:lineRule="auto"/>
              <w:jc w:val="center"/>
              <w:rPr>
                <w:color w:val="000000"/>
              </w:rPr>
            </w:pPr>
            <w:r>
              <w:rPr>
                <w:color w:val="000000"/>
              </w:rPr>
              <w:t>0.3</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98</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Politician</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536,375</w:t>
            </w:r>
          </w:p>
        </w:tc>
        <w:tc>
          <w:tcPr>
            <w:tcW w:w="1161" w:type="dxa"/>
            <w:noWrap/>
            <w:vAlign w:val="bottom"/>
          </w:tcPr>
          <w:p w:rsidR="00DA49AC" w:rsidRPr="00D86156" w:rsidRDefault="00DA49AC" w:rsidP="00DE3973">
            <w:pPr>
              <w:spacing w:line="240" w:lineRule="auto"/>
              <w:jc w:val="center"/>
              <w:rPr>
                <w:color w:val="000000"/>
              </w:rPr>
            </w:pPr>
            <w:r>
              <w:rPr>
                <w:color w:val="000000"/>
              </w:rPr>
              <w:t>0.6</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222</w:t>
            </w:r>
          </w:p>
        </w:tc>
        <w:tc>
          <w:tcPr>
            <w:tcW w:w="1330" w:type="dxa"/>
            <w:noWrap/>
            <w:vAlign w:val="bottom"/>
          </w:tcPr>
          <w:p w:rsidR="00DA49AC" w:rsidRPr="00D86156" w:rsidRDefault="00DA49AC" w:rsidP="00DE3973">
            <w:pPr>
              <w:spacing w:line="240" w:lineRule="auto"/>
              <w:jc w:val="center"/>
              <w:rPr>
                <w:color w:val="000000"/>
              </w:rPr>
            </w:pPr>
            <w:r>
              <w:rPr>
                <w:color w:val="000000"/>
              </w:rPr>
              <w:t>0.1</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2,051</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Pr>
                <w:color w:val="000000"/>
              </w:rPr>
              <w:t xml:space="preserve">Executor </w:t>
            </w:r>
            <w:r w:rsidRPr="00D86156">
              <w:rPr>
                <w:color w:val="000000"/>
              </w:rPr>
              <w:t>/</w:t>
            </w:r>
            <w:r>
              <w:rPr>
                <w:color w:val="000000"/>
              </w:rPr>
              <w:t xml:space="preserve"> </w:t>
            </w:r>
            <w:r w:rsidRPr="00D86156">
              <w:rPr>
                <w:color w:val="000000"/>
              </w:rPr>
              <w:t>Trust</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1,626,188</w:t>
            </w:r>
          </w:p>
        </w:tc>
        <w:tc>
          <w:tcPr>
            <w:tcW w:w="1161" w:type="dxa"/>
            <w:noWrap/>
            <w:vAlign w:val="bottom"/>
          </w:tcPr>
          <w:p w:rsidR="00DA49AC" w:rsidRPr="00D86156" w:rsidRDefault="00DA49AC" w:rsidP="00DE3973">
            <w:pPr>
              <w:spacing w:line="240" w:lineRule="auto"/>
              <w:jc w:val="center"/>
              <w:rPr>
                <w:color w:val="000000"/>
              </w:rPr>
            </w:pPr>
            <w:r>
              <w:rPr>
                <w:color w:val="000000"/>
              </w:rPr>
              <w:t>1.7</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1,143</w:t>
            </w:r>
          </w:p>
        </w:tc>
        <w:tc>
          <w:tcPr>
            <w:tcW w:w="1330" w:type="dxa"/>
            <w:noWrap/>
            <w:vAlign w:val="bottom"/>
          </w:tcPr>
          <w:p w:rsidR="00DA49AC" w:rsidRPr="00D86156" w:rsidRDefault="00DA49AC" w:rsidP="00DE3973">
            <w:pPr>
              <w:spacing w:line="240" w:lineRule="auto"/>
              <w:jc w:val="center"/>
              <w:rPr>
                <w:color w:val="000000"/>
              </w:rPr>
            </w:pPr>
            <w:r>
              <w:rPr>
                <w:color w:val="000000"/>
              </w:rPr>
              <w:t>0.7</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1,373</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Unknown</w:t>
            </w:r>
            <w:r>
              <w:rPr>
                <w:color w:val="000000"/>
              </w:rPr>
              <w:t xml:space="preserve"> (males)</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1,293,380</w:t>
            </w:r>
          </w:p>
        </w:tc>
        <w:tc>
          <w:tcPr>
            <w:tcW w:w="1161" w:type="dxa"/>
            <w:noWrap/>
            <w:vAlign w:val="bottom"/>
          </w:tcPr>
          <w:p w:rsidR="00DA49AC" w:rsidRPr="00D86156" w:rsidRDefault="00DA49AC" w:rsidP="00DE3973">
            <w:pPr>
              <w:spacing w:line="240" w:lineRule="auto"/>
              <w:jc w:val="center"/>
              <w:rPr>
                <w:color w:val="000000"/>
              </w:rPr>
            </w:pPr>
            <w:r>
              <w:rPr>
                <w:color w:val="000000"/>
              </w:rPr>
              <w:t>1.4</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1,531</w:t>
            </w:r>
          </w:p>
        </w:tc>
        <w:tc>
          <w:tcPr>
            <w:tcW w:w="1330" w:type="dxa"/>
            <w:noWrap/>
            <w:vAlign w:val="bottom"/>
          </w:tcPr>
          <w:p w:rsidR="00DA49AC" w:rsidRPr="00D86156" w:rsidRDefault="00DA49AC" w:rsidP="00DE3973">
            <w:pPr>
              <w:spacing w:line="240" w:lineRule="auto"/>
              <w:jc w:val="center"/>
              <w:rPr>
                <w:color w:val="000000"/>
              </w:rPr>
            </w:pPr>
            <w:r>
              <w:rPr>
                <w:color w:val="000000"/>
              </w:rPr>
              <w:t>0.9</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785</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p>
        </w:tc>
        <w:tc>
          <w:tcPr>
            <w:tcW w:w="1559" w:type="dxa"/>
            <w:noWrap/>
            <w:vAlign w:val="bottom"/>
          </w:tcPr>
          <w:p w:rsidR="00DA49AC" w:rsidRPr="00D86156" w:rsidRDefault="00DA49AC" w:rsidP="00DE3973">
            <w:pPr>
              <w:spacing w:line="240" w:lineRule="auto"/>
              <w:jc w:val="center"/>
              <w:rPr>
                <w:color w:val="000000"/>
              </w:rPr>
            </w:pPr>
          </w:p>
        </w:tc>
        <w:tc>
          <w:tcPr>
            <w:tcW w:w="1161" w:type="dxa"/>
            <w:noWrap/>
            <w:vAlign w:val="bottom"/>
          </w:tcPr>
          <w:p w:rsidR="00DA49AC" w:rsidRPr="00D86156" w:rsidRDefault="00DA49AC" w:rsidP="00DE3973">
            <w:pPr>
              <w:spacing w:line="240" w:lineRule="auto"/>
              <w:jc w:val="center"/>
              <w:rPr>
                <w:color w:val="000000"/>
              </w:rPr>
            </w:pPr>
          </w:p>
        </w:tc>
        <w:tc>
          <w:tcPr>
            <w:tcW w:w="1249" w:type="dxa"/>
            <w:noWrap/>
            <w:vAlign w:val="bottom"/>
          </w:tcPr>
          <w:p w:rsidR="00DA49AC" w:rsidRPr="00D86156" w:rsidRDefault="00DA49AC" w:rsidP="00DE3973">
            <w:pPr>
              <w:spacing w:line="240" w:lineRule="auto"/>
              <w:jc w:val="center"/>
              <w:rPr>
                <w:color w:val="000000"/>
              </w:rPr>
            </w:pPr>
          </w:p>
        </w:tc>
        <w:tc>
          <w:tcPr>
            <w:tcW w:w="1330" w:type="dxa"/>
            <w:noWrap/>
            <w:vAlign w:val="bottom"/>
          </w:tcPr>
          <w:p w:rsidR="00DA49AC" w:rsidRPr="00D86156" w:rsidRDefault="00DA49AC" w:rsidP="00DE3973">
            <w:pPr>
              <w:spacing w:line="240" w:lineRule="auto"/>
              <w:jc w:val="center"/>
              <w:rPr>
                <w:color w:val="000000"/>
              </w:rPr>
            </w:pPr>
          </w:p>
        </w:tc>
        <w:tc>
          <w:tcPr>
            <w:tcW w:w="1107" w:type="dxa"/>
            <w:noWrap/>
            <w:vAlign w:val="bottom"/>
          </w:tcPr>
          <w:p w:rsidR="00DA49AC" w:rsidRPr="00D86156" w:rsidRDefault="00DA49AC" w:rsidP="00DE3973">
            <w:pPr>
              <w:spacing w:line="240" w:lineRule="auto"/>
              <w:jc w:val="center"/>
              <w:rPr>
                <w:color w:val="000000"/>
              </w:rPr>
            </w:pP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r w:rsidRPr="00D86156">
              <w:rPr>
                <w:color w:val="000000"/>
              </w:rPr>
              <w:t>Total</w:t>
            </w:r>
          </w:p>
        </w:tc>
        <w:tc>
          <w:tcPr>
            <w:tcW w:w="1559" w:type="dxa"/>
            <w:noWrap/>
            <w:vAlign w:val="bottom"/>
          </w:tcPr>
          <w:p w:rsidR="00DA49AC" w:rsidRPr="00D86156" w:rsidRDefault="00DA49AC" w:rsidP="00DE3973">
            <w:pPr>
              <w:spacing w:line="240" w:lineRule="auto"/>
              <w:jc w:val="center"/>
              <w:rPr>
                <w:color w:val="000000"/>
              </w:rPr>
            </w:pPr>
            <w:r w:rsidRPr="00D86156">
              <w:rPr>
                <w:color w:val="000000"/>
              </w:rPr>
              <w:t>95,319,047</w:t>
            </w:r>
          </w:p>
        </w:tc>
        <w:tc>
          <w:tcPr>
            <w:tcW w:w="1161" w:type="dxa"/>
            <w:noWrap/>
            <w:vAlign w:val="bottom"/>
          </w:tcPr>
          <w:p w:rsidR="00DA49AC" w:rsidRPr="00D86156" w:rsidRDefault="00DA49AC" w:rsidP="00DE3973">
            <w:pPr>
              <w:spacing w:line="240" w:lineRule="auto"/>
              <w:jc w:val="center"/>
              <w:rPr>
                <w:color w:val="000000"/>
              </w:rPr>
            </w:pPr>
            <w:r>
              <w:rPr>
                <w:color w:val="000000"/>
              </w:rPr>
              <w:t>100.0</w:t>
            </w:r>
          </w:p>
        </w:tc>
        <w:tc>
          <w:tcPr>
            <w:tcW w:w="1249" w:type="dxa"/>
            <w:noWrap/>
            <w:vAlign w:val="bottom"/>
          </w:tcPr>
          <w:p w:rsidR="00DA49AC" w:rsidRPr="00D86156" w:rsidRDefault="00DA49AC" w:rsidP="00DE3973">
            <w:pPr>
              <w:spacing w:line="240" w:lineRule="auto"/>
              <w:jc w:val="center"/>
              <w:rPr>
                <w:color w:val="000000"/>
              </w:rPr>
            </w:pPr>
            <w:r w:rsidRPr="00D86156">
              <w:rPr>
                <w:color w:val="000000"/>
              </w:rPr>
              <w:t>172,473</w:t>
            </w:r>
          </w:p>
        </w:tc>
        <w:tc>
          <w:tcPr>
            <w:tcW w:w="1330" w:type="dxa"/>
            <w:noWrap/>
            <w:vAlign w:val="bottom"/>
          </w:tcPr>
          <w:p w:rsidR="00DA49AC" w:rsidRPr="00D86156" w:rsidRDefault="00DA49AC" w:rsidP="00DE3973">
            <w:pPr>
              <w:spacing w:line="240" w:lineRule="auto"/>
              <w:jc w:val="center"/>
              <w:rPr>
                <w:color w:val="000000"/>
              </w:rPr>
            </w:pPr>
            <w:r>
              <w:rPr>
                <w:color w:val="000000"/>
              </w:rPr>
              <w:t>100.0</w:t>
            </w:r>
          </w:p>
        </w:tc>
        <w:tc>
          <w:tcPr>
            <w:tcW w:w="1107" w:type="dxa"/>
            <w:noWrap/>
            <w:vAlign w:val="bottom"/>
          </w:tcPr>
          <w:p w:rsidR="00DA49AC" w:rsidRPr="00D86156" w:rsidRDefault="00DA49AC" w:rsidP="00DE3973">
            <w:pPr>
              <w:spacing w:line="240" w:lineRule="auto"/>
              <w:jc w:val="center"/>
              <w:rPr>
                <w:color w:val="000000"/>
              </w:rPr>
            </w:pPr>
            <w:r w:rsidRPr="00D86156">
              <w:rPr>
                <w:color w:val="000000"/>
              </w:rPr>
              <w:t>517</w:t>
            </w:r>
          </w:p>
        </w:tc>
      </w:tr>
      <w:tr w:rsidR="00DA49AC" w:rsidRPr="003301F4" w:rsidTr="00DE3973">
        <w:trPr>
          <w:trHeight w:val="299"/>
        </w:trPr>
        <w:tc>
          <w:tcPr>
            <w:tcW w:w="2567" w:type="dxa"/>
            <w:noWrap/>
            <w:vAlign w:val="bottom"/>
          </w:tcPr>
          <w:p w:rsidR="00DA49AC" w:rsidRPr="00D86156" w:rsidRDefault="00DA49AC" w:rsidP="00DE3973">
            <w:pPr>
              <w:spacing w:line="240" w:lineRule="auto"/>
              <w:rPr>
                <w:color w:val="000000"/>
              </w:rPr>
            </w:pPr>
          </w:p>
        </w:tc>
        <w:tc>
          <w:tcPr>
            <w:tcW w:w="1559" w:type="dxa"/>
            <w:noWrap/>
            <w:vAlign w:val="bottom"/>
          </w:tcPr>
          <w:p w:rsidR="00DA49AC" w:rsidRPr="00D86156" w:rsidRDefault="00DA49AC" w:rsidP="00DE3973">
            <w:pPr>
              <w:spacing w:line="240" w:lineRule="auto"/>
              <w:jc w:val="center"/>
              <w:rPr>
                <w:color w:val="000000"/>
              </w:rPr>
            </w:pPr>
          </w:p>
        </w:tc>
        <w:tc>
          <w:tcPr>
            <w:tcW w:w="1161" w:type="dxa"/>
            <w:noWrap/>
            <w:vAlign w:val="bottom"/>
          </w:tcPr>
          <w:p w:rsidR="00DA49AC" w:rsidRPr="00D86156" w:rsidRDefault="00DA49AC" w:rsidP="00DE3973">
            <w:pPr>
              <w:spacing w:line="240" w:lineRule="auto"/>
              <w:jc w:val="center"/>
              <w:rPr>
                <w:color w:val="000000"/>
              </w:rPr>
            </w:pPr>
          </w:p>
        </w:tc>
        <w:tc>
          <w:tcPr>
            <w:tcW w:w="1249" w:type="dxa"/>
            <w:noWrap/>
            <w:vAlign w:val="bottom"/>
          </w:tcPr>
          <w:p w:rsidR="00DA49AC" w:rsidRPr="00D86156" w:rsidRDefault="00DA49AC" w:rsidP="00DE3973">
            <w:pPr>
              <w:spacing w:line="240" w:lineRule="auto"/>
              <w:jc w:val="center"/>
              <w:rPr>
                <w:color w:val="000000"/>
              </w:rPr>
            </w:pPr>
          </w:p>
        </w:tc>
        <w:tc>
          <w:tcPr>
            <w:tcW w:w="1330" w:type="dxa"/>
            <w:noWrap/>
            <w:vAlign w:val="bottom"/>
          </w:tcPr>
          <w:p w:rsidR="00DA49AC" w:rsidRPr="00D86156" w:rsidRDefault="00DA49AC" w:rsidP="00DE3973">
            <w:pPr>
              <w:spacing w:line="240" w:lineRule="auto"/>
              <w:jc w:val="center"/>
              <w:rPr>
                <w:color w:val="000000"/>
              </w:rPr>
            </w:pPr>
          </w:p>
        </w:tc>
        <w:tc>
          <w:tcPr>
            <w:tcW w:w="1107" w:type="dxa"/>
            <w:noWrap/>
            <w:vAlign w:val="bottom"/>
          </w:tcPr>
          <w:p w:rsidR="00DA49AC" w:rsidRPr="00D86156" w:rsidRDefault="00DA49AC" w:rsidP="00DE3973">
            <w:pPr>
              <w:spacing w:line="240" w:lineRule="auto"/>
              <w:jc w:val="center"/>
              <w:rPr>
                <w:color w:val="000000"/>
              </w:rPr>
            </w:pPr>
          </w:p>
        </w:tc>
      </w:tr>
      <w:tr w:rsidR="00DA49AC" w:rsidRPr="003301F4" w:rsidTr="006D587B">
        <w:trPr>
          <w:trHeight w:val="299"/>
        </w:trPr>
        <w:tc>
          <w:tcPr>
            <w:tcW w:w="2567" w:type="dxa"/>
            <w:tcBorders>
              <w:top w:val="nil"/>
              <w:bottom w:val="single" w:sz="4" w:space="0" w:color="auto"/>
            </w:tcBorders>
            <w:noWrap/>
            <w:vAlign w:val="bottom"/>
          </w:tcPr>
          <w:p w:rsidR="00DA49AC" w:rsidRPr="00D86156" w:rsidRDefault="00DA49AC" w:rsidP="00DE3973">
            <w:pPr>
              <w:spacing w:line="240" w:lineRule="auto"/>
              <w:rPr>
                <w:color w:val="000000"/>
              </w:rPr>
            </w:pPr>
          </w:p>
        </w:tc>
        <w:tc>
          <w:tcPr>
            <w:tcW w:w="1559" w:type="dxa"/>
            <w:tcBorders>
              <w:top w:val="nil"/>
              <w:bottom w:val="single" w:sz="4" w:space="0" w:color="auto"/>
            </w:tcBorders>
            <w:noWrap/>
            <w:vAlign w:val="bottom"/>
          </w:tcPr>
          <w:p w:rsidR="00DA49AC" w:rsidRPr="00D86156" w:rsidRDefault="00DA49AC" w:rsidP="00DE3973">
            <w:pPr>
              <w:spacing w:line="240" w:lineRule="auto"/>
              <w:rPr>
                <w:color w:val="000000"/>
              </w:rPr>
            </w:pPr>
          </w:p>
        </w:tc>
        <w:tc>
          <w:tcPr>
            <w:tcW w:w="1161" w:type="dxa"/>
            <w:tcBorders>
              <w:top w:val="nil"/>
              <w:bottom w:val="single" w:sz="4" w:space="0" w:color="auto"/>
            </w:tcBorders>
            <w:noWrap/>
            <w:vAlign w:val="bottom"/>
          </w:tcPr>
          <w:p w:rsidR="00DA49AC" w:rsidRPr="00D86156" w:rsidRDefault="00DA49AC" w:rsidP="00DE3973">
            <w:pPr>
              <w:spacing w:line="240" w:lineRule="auto"/>
              <w:rPr>
                <w:color w:val="000000"/>
              </w:rPr>
            </w:pPr>
          </w:p>
        </w:tc>
        <w:tc>
          <w:tcPr>
            <w:tcW w:w="1249" w:type="dxa"/>
            <w:tcBorders>
              <w:top w:val="nil"/>
              <w:bottom w:val="single" w:sz="4" w:space="0" w:color="auto"/>
            </w:tcBorders>
            <w:noWrap/>
            <w:vAlign w:val="bottom"/>
          </w:tcPr>
          <w:p w:rsidR="00DA49AC" w:rsidRPr="00D86156" w:rsidRDefault="00DA49AC" w:rsidP="00DE3973">
            <w:pPr>
              <w:spacing w:line="240" w:lineRule="auto"/>
              <w:rPr>
                <w:color w:val="000000"/>
              </w:rPr>
            </w:pPr>
          </w:p>
        </w:tc>
        <w:tc>
          <w:tcPr>
            <w:tcW w:w="1330" w:type="dxa"/>
            <w:tcBorders>
              <w:top w:val="nil"/>
              <w:bottom w:val="single" w:sz="4" w:space="0" w:color="auto"/>
            </w:tcBorders>
            <w:noWrap/>
            <w:vAlign w:val="bottom"/>
          </w:tcPr>
          <w:p w:rsidR="00DA49AC" w:rsidRPr="00D86156" w:rsidRDefault="00DA49AC" w:rsidP="00DE3973">
            <w:pPr>
              <w:spacing w:line="240" w:lineRule="auto"/>
              <w:rPr>
                <w:color w:val="000000"/>
              </w:rPr>
            </w:pPr>
          </w:p>
        </w:tc>
        <w:tc>
          <w:tcPr>
            <w:tcW w:w="1107" w:type="dxa"/>
            <w:tcBorders>
              <w:top w:val="nil"/>
              <w:bottom w:val="single" w:sz="4" w:space="0" w:color="auto"/>
            </w:tcBorders>
            <w:noWrap/>
            <w:vAlign w:val="bottom"/>
          </w:tcPr>
          <w:p w:rsidR="00DA49AC" w:rsidRPr="00D86156" w:rsidRDefault="00DA49AC" w:rsidP="00DE3973">
            <w:pPr>
              <w:spacing w:line="240" w:lineRule="auto"/>
              <w:rPr>
                <w:color w:val="000000"/>
              </w:rPr>
            </w:pPr>
          </w:p>
        </w:tc>
      </w:tr>
    </w:tbl>
    <w:p w:rsidR="00DA49AC" w:rsidRDefault="00DA49AC" w:rsidP="006D587B">
      <w:pPr>
        <w:spacing w:line="240" w:lineRule="auto"/>
      </w:pPr>
      <w:r w:rsidRPr="006D587B">
        <w:rPr>
          <w:i/>
        </w:rPr>
        <w:t>Sources</w:t>
      </w:r>
      <w:r>
        <w:t>: See text</w:t>
      </w:r>
    </w:p>
    <w:p w:rsidR="00DA49AC" w:rsidRPr="00D86156" w:rsidRDefault="00DA49AC" w:rsidP="00892BBE">
      <w:pPr>
        <w:spacing w:line="240" w:lineRule="auto"/>
        <w:jc w:val="both"/>
      </w:pPr>
      <w:r w:rsidRPr="006D587B">
        <w:rPr>
          <w:i/>
        </w:rPr>
        <w:t>Notes</w:t>
      </w:r>
      <w:r>
        <w:t xml:space="preserve">: See text for definitions of occupations.  The number of investors is from a slightly smaller sample of company-years because we were unable to match up shareholders in some companies who held both preference and ordinary shares.  </w:t>
      </w:r>
    </w:p>
    <w:p w:rsidR="00DA49AC" w:rsidRPr="00D86156" w:rsidRDefault="00DA49AC" w:rsidP="006D587B"/>
    <w:p w:rsidR="00DA49AC" w:rsidRDefault="00DA49AC" w:rsidP="00C84DD1">
      <w:pPr>
        <w:spacing w:line="240" w:lineRule="auto"/>
        <w:jc w:val="both"/>
        <w:rPr>
          <w:sz w:val="24"/>
          <w:szCs w:val="24"/>
        </w:rPr>
      </w:pPr>
    </w:p>
    <w:p w:rsidR="00DA49AC" w:rsidRDefault="00DA49AC" w:rsidP="00C84DD1">
      <w:pPr>
        <w:spacing w:line="240" w:lineRule="auto"/>
        <w:jc w:val="both"/>
        <w:rPr>
          <w:sz w:val="24"/>
          <w:szCs w:val="24"/>
        </w:rPr>
      </w:pPr>
    </w:p>
    <w:p w:rsidR="00DA49AC" w:rsidRDefault="00DA49AC" w:rsidP="00C84DD1">
      <w:pPr>
        <w:spacing w:line="240" w:lineRule="auto"/>
        <w:jc w:val="both"/>
        <w:rPr>
          <w:sz w:val="24"/>
          <w:szCs w:val="24"/>
        </w:rPr>
      </w:pPr>
    </w:p>
    <w:p w:rsidR="00DA49AC" w:rsidRDefault="00DA49AC" w:rsidP="00C84DD1">
      <w:pPr>
        <w:spacing w:line="240" w:lineRule="auto"/>
        <w:jc w:val="both"/>
        <w:rPr>
          <w:sz w:val="24"/>
          <w:szCs w:val="24"/>
        </w:rPr>
      </w:pPr>
    </w:p>
    <w:p w:rsidR="00DA49AC" w:rsidRDefault="00DA49AC" w:rsidP="00C84DD1">
      <w:pPr>
        <w:spacing w:line="240" w:lineRule="auto"/>
        <w:jc w:val="both"/>
        <w:rPr>
          <w:sz w:val="24"/>
          <w:szCs w:val="24"/>
        </w:rPr>
      </w:pPr>
    </w:p>
    <w:p w:rsidR="00DA49AC" w:rsidRDefault="00DA49AC" w:rsidP="00C84DD1">
      <w:pPr>
        <w:spacing w:line="240" w:lineRule="auto"/>
        <w:jc w:val="both"/>
        <w:rPr>
          <w:sz w:val="24"/>
          <w:szCs w:val="24"/>
        </w:rPr>
      </w:pPr>
    </w:p>
    <w:p w:rsidR="00DA49AC" w:rsidRDefault="00DA49AC" w:rsidP="00C84DD1">
      <w:pPr>
        <w:spacing w:line="240" w:lineRule="auto"/>
        <w:jc w:val="both"/>
        <w:rPr>
          <w:sz w:val="24"/>
          <w:szCs w:val="24"/>
        </w:rPr>
      </w:pPr>
    </w:p>
    <w:p w:rsidR="00DA49AC" w:rsidRDefault="00DA49AC" w:rsidP="00C84DD1">
      <w:pPr>
        <w:spacing w:line="240" w:lineRule="auto"/>
        <w:jc w:val="both"/>
        <w:rPr>
          <w:sz w:val="24"/>
          <w:szCs w:val="24"/>
        </w:rPr>
      </w:pPr>
    </w:p>
    <w:p w:rsidR="00DA49AC" w:rsidRDefault="00DA49AC" w:rsidP="00C84DD1">
      <w:pPr>
        <w:spacing w:line="240" w:lineRule="auto"/>
        <w:jc w:val="both"/>
        <w:rPr>
          <w:sz w:val="24"/>
          <w:szCs w:val="24"/>
        </w:rPr>
      </w:pPr>
    </w:p>
    <w:p w:rsidR="00DA49AC" w:rsidRPr="009C4896" w:rsidRDefault="00DA49AC" w:rsidP="009C4896">
      <w:pPr>
        <w:spacing w:line="240" w:lineRule="auto"/>
        <w:jc w:val="both"/>
        <w:rPr>
          <w:sz w:val="24"/>
          <w:szCs w:val="24"/>
        </w:rPr>
      </w:pPr>
      <w:r w:rsidRPr="009C4896">
        <w:rPr>
          <w:i/>
          <w:sz w:val="24"/>
          <w:szCs w:val="24"/>
        </w:rPr>
        <w:t xml:space="preserve">Table </w:t>
      </w:r>
      <w:r>
        <w:rPr>
          <w:i/>
          <w:sz w:val="24"/>
          <w:szCs w:val="24"/>
        </w:rPr>
        <w:t>3</w:t>
      </w:r>
      <w:r>
        <w:rPr>
          <w:sz w:val="24"/>
          <w:szCs w:val="24"/>
        </w:rPr>
        <w:t>.</w:t>
      </w:r>
      <w:r>
        <w:rPr>
          <w:sz w:val="24"/>
          <w:szCs w:val="24"/>
        </w:rPr>
        <w:tab/>
      </w:r>
      <w:r w:rsidRPr="009C4896">
        <w:rPr>
          <w:sz w:val="24"/>
          <w:szCs w:val="24"/>
        </w:rPr>
        <w:t xml:space="preserve"> </w:t>
      </w:r>
      <w:r>
        <w:rPr>
          <w:sz w:val="24"/>
          <w:szCs w:val="24"/>
        </w:rPr>
        <w:t>Percentage of capital c</w:t>
      </w:r>
      <w:r w:rsidRPr="009C4896">
        <w:rPr>
          <w:sz w:val="24"/>
          <w:szCs w:val="24"/>
        </w:rPr>
        <w:t xml:space="preserve">ontributed by </w:t>
      </w:r>
      <w:r>
        <w:rPr>
          <w:sz w:val="24"/>
          <w:szCs w:val="24"/>
        </w:rPr>
        <w:t>each occupational g</w:t>
      </w:r>
      <w:r w:rsidRPr="009C4896">
        <w:rPr>
          <w:sz w:val="24"/>
          <w:szCs w:val="24"/>
        </w:rPr>
        <w:t xml:space="preserve">roup, by </w:t>
      </w:r>
      <w:r>
        <w:rPr>
          <w:sz w:val="24"/>
          <w:szCs w:val="24"/>
        </w:rPr>
        <w:t>d</w:t>
      </w:r>
      <w:r w:rsidRPr="009C4896">
        <w:rPr>
          <w:sz w:val="24"/>
          <w:szCs w:val="24"/>
        </w:rPr>
        <w:t>ecade</w:t>
      </w:r>
    </w:p>
    <w:tbl>
      <w:tblPr>
        <w:tblW w:w="4942" w:type="pct"/>
        <w:jc w:val="center"/>
        <w:tblBorders>
          <w:top w:val="double" w:sz="4" w:space="0" w:color="auto"/>
          <w:bottom w:val="double" w:sz="4" w:space="0" w:color="auto"/>
        </w:tblBorders>
        <w:tblLayout w:type="fixed"/>
        <w:tblLook w:val="00A0"/>
      </w:tblPr>
      <w:tblGrid>
        <w:gridCol w:w="3185"/>
        <w:gridCol w:w="1190"/>
        <w:gridCol w:w="1190"/>
        <w:gridCol w:w="1190"/>
        <w:gridCol w:w="1189"/>
        <w:gridCol w:w="1191"/>
      </w:tblGrid>
      <w:tr w:rsidR="00DA49AC" w:rsidRPr="003301F4" w:rsidTr="007A761D">
        <w:trPr>
          <w:trHeight w:val="750"/>
          <w:jc w:val="center"/>
        </w:trPr>
        <w:tc>
          <w:tcPr>
            <w:tcW w:w="1743" w:type="pct"/>
            <w:tcBorders>
              <w:top w:val="single" w:sz="4" w:space="0" w:color="auto"/>
            </w:tcBorders>
            <w:noWrap/>
            <w:vAlign w:val="bottom"/>
          </w:tcPr>
          <w:p w:rsidR="00DA49AC" w:rsidRPr="00D86156" w:rsidRDefault="00DA49AC" w:rsidP="00B61819">
            <w:pPr>
              <w:spacing w:line="240" w:lineRule="auto"/>
              <w:rPr>
                <w:color w:val="000000"/>
              </w:rPr>
            </w:pPr>
          </w:p>
        </w:tc>
        <w:tc>
          <w:tcPr>
            <w:tcW w:w="651" w:type="pct"/>
            <w:tcBorders>
              <w:top w:val="single" w:sz="4" w:space="0" w:color="auto"/>
              <w:bottom w:val="single" w:sz="4" w:space="0" w:color="auto"/>
            </w:tcBorders>
            <w:noWrap/>
            <w:vAlign w:val="center"/>
          </w:tcPr>
          <w:p w:rsidR="00DA49AC" w:rsidRPr="009C4896" w:rsidRDefault="00DA49AC" w:rsidP="00B61819">
            <w:pPr>
              <w:spacing w:line="240" w:lineRule="auto"/>
              <w:jc w:val="center"/>
              <w:rPr>
                <w:color w:val="000000"/>
              </w:rPr>
            </w:pPr>
            <w:r w:rsidRPr="009C4896">
              <w:rPr>
                <w:color w:val="000000"/>
              </w:rPr>
              <w:t>1850s and 1860s</w:t>
            </w:r>
          </w:p>
        </w:tc>
        <w:tc>
          <w:tcPr>
            <w:tcW w:w="651" w:type="pct"/>
            <w:tcBorders>
              <w:top w:val="single" w:sz="4" w:space="0" w:color="auto"/>
              <w:bottom w:val="single" w:sz="4" w:space="0" w:color="auto"/>
            </w:tcBorders>
            <w:noWrap/>
            <w:vAlign w:val="center"/>
          </w:tcPr>
          <w:p w:rsidR="00DA49AC" w:rsidRPr="009C4896" w:rsidRDefault="00DA49AC" w:rsidP="00B61819">
            <w:pPr>
              <w:spacing w:line="240" w:lineRule="auto"/>
              <w:jc w:val="center"/>
              <w:rPr>
                <w:color w:val="000000"/>
              </w:rPr>
            </w:pPr>
            <w:r w:rsidRPr="009C4896">
              <w:rPr>
                <w:color w:val="000000"/>
              </w:rPr>
              <w:t>1870s</w:t>
            </w:r>
          </w:p>
        </w:tc>
        <w:tc>
          <w:tcPr>
            <w:tcW w:w="651" w:type="pct"/>
            <w:tcBorders>
              <w:top w:val="single" w:sz="4" w:space="0" w:color="auto"/>
              <w:bottom w:val="single" w:sz="4" w:space="0" w:color="auto"/>
            </w:tcBorders>
            <w:noWrap/>
            <w:vAlign w:val="center"/>
          </w:tcPr>
          <w:p w:rsidR="00DA49AC" w:rsidRPr="009C4896" w:rsidRDefault="00DA49AC" w:rsidP="00B61819">
            <w:pPr>
              <w:spacing w:line="240" w:lineRule="auto"/>
              <w:jc w:val="center"/>
              <w:rPr>
                <w:color w:val="000000"/>
              </w:rPr>
            </w:pPr>
            <w:r w:rsidRPr="009C4896">
              <w:rPr>
                <w:color w:val="000000"/>
              </w:rPr>
              <w:t>1880s</w:t>
            </w:r>
          </w:p>
        </w:tc>
        <w:tc>
          <w:tcPr>
            <w:tcW w:w="651" w:type="pct"/>
            <w:tcBorders>
              <w:top w:val="single" w:sz="4" w:space="0" w:color="auto"/>
              <w:bottom w:val="single" w:sz="4" w:space="0" w:color="auto"/>
            </w:tcBorders>
            <w:noWrap/>
            <w:vAlign w:val="center"/>
          </w:tcPr>
          <w:p w:rsidR="00DA49AC" w:rsidRPr="009C4896" w:rsidRDefault="00DA49AC" w:rsidP="00B61819">
            <w:pPr>
              <w:spacing w:line="240" w:lineRule="auto"/>
              <w:jc w:val="center"/>
              <w:rPr>
                <w:color w:val="000000"/>
              </w:rPr>
            </w:pPr>
            <w:r w:rsidRPr="009C4896">
              <w:rPr>
                <w:color w:val="000000"/>
              </w:rPr>
              <w:t>1890s</w:t>
            </w:r>
          </w:p>
        </w:tc>
        <w:tc>
          <w:tcPr>
            <w:tcW w:w="652" w:type="pct"/>
            <w:tcBorders>
              <w:top w:val="single" w:sz="4" w:space="0" w:color="auto"/>
              <w:bottom w:val="single" w:sz="4" w:space="0" w:color="auto"/>
            </w:tcBorders>
            <w:noWrap/>
            <w:vAlign w:val="center"/>
          </w:tcPr>
          <w:p w:rsidR="00DA49AC" w:rsidRPr="009C4896" w:rsidRDefault="00DA49AC" w:rsidP="00B61819">
            <w:pPr>
              <w:spacing w:line="240" w:lineRule="auto"/>
              <w:jc w:val="center"/>
              <w:rPr>
                <w:color w:val="000000"/>
              </w:rPr>
            </w:pPr>
            <w:r w:rsidRPr="009C4896">
              <w:rPr>
                <w:color w:val="000000"/>
              </w:rPr>
              <w:t>1900s</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p>
        </w:tc>
        <w:tc>
          <w:tcPr>
            <w:tcW w:w="651" w:type="pct"/>
            <w:tcBorders>
              <w:top w:val="single" w:sz="4" w:space="0" w:color="auto"/>
            </w:tcBorders>
            <w:noWrap/>
            <w:vAlign w:val="bottom"/>
          </w:tcPr>
          <w:p w:rsidR="00DA49AC" w:rsidRPr="00D86156" w:rsidRDefault="00DA49AC" w:rsidP="00B61819">
            <w:pPr>
              <w:spacing w:line="240" w:lineRule="auto"/>
              <w:rPr>
                <w:color w:val="000000"/>
              </w:rPr>
            </w:pPr>
          </w:p>
        </w:tc>
        <w:tc>
          <w:tcPr>
            <w:tcW w:w="651" w:type="pct"/>
            <w:tcBorders>
              <w:top w:val="single" w:sz="4" w:space="0" w:color="auto"/>
            </w:tcBorders>
            <w:noWrap/>
            <w:vAlign w:val="bottom"/>
          </w:tcPr>
          <w:p w:rsidR="00DA49AC" w:rsidRPr="00D86156" w:rsidRDefault="00DA49AC" w:rsidP="00B61819">
            <w:pPr>
              <w:spacing w:line="240" w:lineRule="auto"/>
              <w:rPr>
                <w:color w:val="000000"/>
              </w:rPr>
            </w:pPr>
          </w:p>
        </w:tc>
        <w:tc>
          <w:tcPr>
            <w:tcW w:w="651" w:type="pct"/>
            <w:tcBorders>
              <w:top w:val="single" w:sz="4" w:space="0" w:color="auto"/>
            </w:tcBorders>
            <w:noWrap/>
            <w:vAlign w:val="bottom"/>
          </w:tcPr>
          <w:p w:rsidR="00DA49AC" w:rsidRPr="00D86156" w:rsidRDefault="00DA49AC" w:rsidP="00B61819">
            <w:pPr>
              <w:spacing w:line="240" w:lineRule="auto"/>
              <w:rPr>
                <w:color w:val="000000"/>
              </w:rPr>
            </w:pPr>
          </w:p>
        </w:tc>
        <w:tc>
          <w:tcPr>
            <w:tcW w:w="651" w:type="pct"/>
            <w:tcBorders>
              <w:top w:val="single" w:sz="4" w:space="0" w:color="auto"/>
            </w:tcBorders>
            <w:noWrap/>
            <w:vAlign w:val="bottom"/>
          </w:tcPr>
          <w:p w:rsidR="00DA49AC" w:rsidRPr="00D86156" w:rsidRDefault="00DA49AC" w:rsidP="00B61819">
            <w:pPr>
              <w:spacing w:line="240" w:lineRule="auto"/>
              <w:rPr>
                <w:color w:val="000000"/>
              </w:rPr>
            </w:pPr>
          </w:p>
        </w:tc>
        <w:tc>
          <w:tcPr>
            <w:tcW w:w="652" w:type="pct"/>
            <w:tcBorders>
              <w:top w:val="single" w:sz="4" w:space="0" w:color="auto"/>
            </w:tcBorders>
            <w:noWrap/>
            <w:vAlign w:val="bottom"/>
          </w:tcPr>
          <w:p w:rsidR="00DA49AC" w:rsidRPr="00D86156" w:rsidRDefault="00DA49AC" w:rsidP="00B61819">
            <w:pPr>
              <w:spacing w:line="240" w:lineRule="auto"/>
              <w:rPr>
                <w:color w:val="000000"/>
              </w:rPr>
            </w:pP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Agriculture</w:t>
            </w:r>
          </w:p>
        </w:tc>
        <w:tc>
          <w:tcPr>
            <w:tcW w:w="651" w:type="pct"/>
            <w:noWrap/>
            <w:vAlign w:val="bottom"/>
          </w:tcPr>
          <w:p w:rsidR="00DA49AC" w:rsidRPr="00D86156" w:rsidRDefault="00DA49AC" w:rsidP="00B61819">
            <w:pPr>
              <w:spacing w:line="240" w:lineRule="auto"/>
              <w:jc w:val="center"/>
              <w:rPr>
                <w:color w:val="000000"/>
              </w:rPr>
            </w:pPr>
            <w:r>
              <w:rPr>
                <w:color w:val="000000"/>
              </w:rPr>
              <w:t>0.5</w:t>
            </w:r>
          </w:p>
        </w:tc>
        <w:tc>
          <w:tcPr>
            <w:tcW w:w="651" w:type="pct"/>
            <w:noWrap/>
            <w:vAlign w:val="bottom"/>
          </w:tcPr>
          <w:p w:rsidR="00DA49AC" w:rsidRPr="00D86156" w:rsidRDefault="00DA49AC" w:rsidP="00B61819">
            <w:pPr>
              <w:spacing w:line="240" w:lineRule="auto"/>
              <w:jc w:val="center"/>
              <w:rPr>
                <w:color w:val="000000"/>
              </w:rPr>
            </w:pPr>
            <w:r>
              <w:rPr>
                <w:color w:val="000000"/>
              </w:rPr>
              <w:t>0.9</w:t>
            </w:r>
          </w:p>
        </w:tc>
        <w:tc>
          <w:tcPr>
            <w:tcW w:w="651" w:type="pct"/>
            <w:noWrap/>
            <w:vAlign w:val="bottom"/>
          </w:tcPr>
          <w:p w:rsidR="00DA49AC" w:rsidRPr="00D86156" w:rsidRDefault="00DA49AC" w:rsidP="00B61819">
            <w:pPr>
              <w:spacing w:line="240" w:lineRule="auto"/>
              <w:jc w:val="center"/>
              <w:rPr>
                <w:color w:val="000000"/>
              </w:rPr>
            </w:pPr>
            <w:r>
              <w:rPr>
                <w:color w:val="000000"/>
              </w:rPr>
              <w:t>1.6</w:t>
            </w:r>
          </w:p>
        </w:tc>
        <w:tc>
          <w:tcPr>
            <w:tcW w:w="651" w:type="pct"/>
            <w:noWrap/>
            <w:vAlign w:val="bottom"/>
          </w:tcPr>
          <w:p w:rsidR="00DA49AC" w:rsidRPr="00D86156" w:rsidRDefault="00DA49AC" w:rsidP="00B61819">
            <w:pPr>
              <w:spacing w:line="240" w:lineRule="auto"/>
              <w:jc w:val="center"/>
              <w:rPr>
                <w:color w:val="000000"/>
              </w:rPr>
            </w:pPr>
            <w:r>
              <w:rPr>
                <w:color w:val="000000"/>
              </w:rPr>
              <w:t>1.2</w:t>
            </w:r>
          </w:p>
        </w:tc>
        <w:tc>
          <w:tcPr>
            <w:tcW w:w="652" w:type="pct"/>
            <w:noWrap/>
            <w:vAlign w:val="bottom"/>
          </w:tcPr>
          <w:p w:rsidR="00DA49AC" w:rsidRPr="00D86156" w:rsidRDefault="00DA49AC" w:rsidP="00B61819">
            <w:pPr>
              <w:spacing w:line="240" w:lineRule="auto"/>
              <w:jc w:val="center"/>
              <w:rPr>
                <w:color w:val="000000"/>
              </w:rPr>
            </w:pPr>
            <w:r>
              <w:rPr>
                <w:color w:val="000000"/>
              </w:rPr>
              <w:t>1.5</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Business-Manufacturing</w:t>
            </w:r>
          </w:p>
        </w:tc>
        <w:tc>
          <w:tcPr>
            <w:tcW w:w="651" w:type="pct"/>
            <w:noWrap/>
            <w:vAlign w:val="bottom"/>
          </w:tcPr>
          <w:p w:rsidR="00DA49AC" w:rsidRPr="00D86156" w:rsidRDefault="00DA49AC" w:rsidP="00B61819">
            <w:pPr>
              <w:spacing w:line="240" w:lineRule="auto"/>
              <w:jc w:val="center"/>
              <w:rPr>
                <w:color w:val="000000"/>
              </w:rPr>
            </w:pPr>
            <w:r>
              <w:rPr>
                <w:color w:val="000000"/>
              </w:rPr>
              <w:t>9.4</w:t>
            </w:r>
          </w:p>
        </w:tc>
        <w:tc>
          <w:tcPr>
            <w:tcW w:w="651" w:type="pct"/>
            <w:noWrap/>
            <w:vAlign w:val="bottom"/>
          </w:tcPr>
          <w:p w:rsidR="00DA49AC" w:rsidRPr="00D86156" w:rsidRDefault="00DA49AC" w:rsidP="00B61819">
            <w:pPr>
              <w:spacing w:line="240" w:lineRule="auto"/>
              <w:jc w:val="center"/>
              <w:rPr>
                <w:color w:val="000000"/>
              </w:rPr>
            </w:pPr>
            <w:r>
              <w:rPr>
                <w:color w:val="000000"/>
              </w:rPr>
              <w:t>4.0</w:t>
            </w:r>
          </w:p>
        </w:tc>
        <w:tc>
          <w:tcPr>
            <w:tcW w:w="651" w:type="pct"/>
            <w:noWrap/>
            <w:vAlign w:val="bottom"/>
          </w:tcPr>
          <w:p w:rsidR="00DA49AC" w:rsidRPr="00D86156" w:rsidRDefault="00DA49AC" w:rsidP="00B61819">
            <w:pPr>
              <w:spacing w:line="240" w:lineRule="auto"/>
              <w:jc w:val="center"/>
              <w:rPr>
                <w:color w:val="000000"/>
              </w:rPr>
            </w:pPr>
            <w:r>
              <w:rPr>
                <w:color w:val="000000"/>
              </w:rPr>
              <w:t>5.9</w:t>
            </w:r>
          </w:p>
        </w:tc>
        <w:tc>
          <w:tcPr>
            <w:tcW w:w="651" w:type="pct"/>
            <w:noWrap/>
            <w:vAlign w:val="bottom"/>
          </w:tcPr>
          <w:p w:rsidR="00DA49AC" w:rsidRPr="00D86156" w:rsidRDefault="00DA49AC" w:rsidP="00B61819">
            <w:pPr>
              <w:spacing w:line="240" w:lineRule="auto"/>
              <w:jc w:val="center"/>
              <w:rPr>
                <w:color w:val="000000"/>
              </w:rPr>
            </w:pPr>
            <w:r>
              <w:rPr>
                <w:color w:val="000000"/>
              </w:rPr>
              <w:t>5.9</w:t>
            </w:r>
          </w:p>
        </w:tc>
        <w:tc>
          <w:tcPr>
            <w:tcW w:w="652" w:type="pct"/>
            <w:noWrap/>
            <w:vAlign w:val="bottom"/>
          </w:tcPr>
          <w:p w:rsidR="00DA49AC" w:rsidRPr="00D86156" w:rsidRDefault="00DA49AC" w:rsidP="00B61819">
            <w:pPr>
              <w:spacing w:line="240" w:lineRule="auto"/>
              <w:jc w:val="center"/>
              <w:rPr>
                <w:color w:val="000000"/>
              </w:rPr>
            </w:pPr>
            <w:r>
              <w:rPr>
                <w:color w:val="000000"/>
              </w:rPr>
              <w:t>4.8</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Business-Merchant</w:t>
            </w:r>
          </w:p>
        </w:tc>
        <w:tc>
          <w:tcPr>
            <w:tcW w:w="651" w:type="pct"/>
            <w:noWrap/>
            <w:vAlign w:val="bottom"/>
          </w:tcPr>
          <w:p w:rsidR="00DA49AC" w:rsidRPr="00D86156" w:rsidRDefault="00DA49AC" w:rsidP="00B61819">
            <w:pPr>
              <w:spacing w:line="240" w:lineRule="auto"/>
              <w:jc w:val="center"/>
              <w:rPr>
                <w:color w:val="000000"/>
              </w:rPr>
            </w:pPr>
            <w:r>
              <w:rPr>
                <w:color w:val="000000"/>
              </w:rPr>
              <w:t>26.5</w:t>
            </w:r>
          </w:p>
        </w:tc>
        <w:tc>
          <w:tcPr>
            <w:tcW w:w="651" w:type="pct"/>
            <w:noWrap/>
            <w:vAlign w:val="bottom"/>
          </w:tcPr>
          <w:p w:rsidR="00DA49AC" w:rsidRPr="00D86156" w:rsidRDefault="00DA49AC" w:rsidP="00B61819">
            <w:pPr>
              <w:spacing w:line="240" w:lineRule="auto"/>
              <w:jc w:val="center"/>
              <w:rPr>
                <w:color w:val="000000"/>
              </w:rPr>
            </w:pPr>
            <w:r>
              <w:rPr>
                <w:color w:val="000000"/>
              </w:rPr>
              <w:t>12.7</w:t>
            </w:r>
          </w:p>
        </w:tc>
        <w:tc>
          <w:tcPr>
            <w:tcW w:w="651" w:type="pct"/>
            <w:noWrap/>
            <w:vAlign w:val="bottom"/>
          </w:tcPr>
          <w:p w:rsidR="00DA49AC" w:rsidRPr="00D86156" w:rsidRDefault="00DA49AC" w:rsidP="00B61819">
            <w:pPr>
              <w:spacing w:line="240" w:lineRule="auto"/>
              <w:jc w:val="center"/>
              <w:rPr>
                <w:color w:val="000000"/>
              </w:rPr>
            </w:pPr>
            <w:r>
              <w:rPr>
                <w:color w:val="000000"/>
              </w:rPr>
              <w:t>10.7</w:t>
            </w:r>
          </w:p>
        </w:tc>
        <w:tc>
          <w:tcPr>
            <w:tcW w:w="651" w:type="pct"/>
            <w:noWrap/>
            <w:vAlign w:val="bottom"/>
          </w:tcPr>
          <w:p w:rsidR="00DA49AC" w:rsidRPr="00D86156" w:rsidRDefault="00DA49AC" w:rsidP="00B61819">
            <w:pPr>
              <w:spacing w:line="240" w:lineRule="auto"/>
              <w:jc w:val="center"/>
              <w:rPr>
                <w:color w:val="000000"/>
              </w:rPr>
            </w:pPr>
            <w:r>
              <w:rPr>
                <w:color w:val="000000"/>
              </w:rPr>
              <w:t>9.5</w:t>
            </w:r>
          </w:p>
        </w:tc>
        <w:tc>
          <w:tcPr>
            <w:tcW w:w="652" w:type="pct"/>
            <w:noWrap/>
            <w:vAlign w:val="bottom"/>
          </w:tcPr>
          <w:p w:rsidR="00DA49AC" w:rsidRPr="00D86156" w:rsidRDefault="00DA49AC" w:rsidP="00B61819">
            <w:pPr>
              <w:spacing w:line="240" w:lineRule="auto"/>
              <w:jc w:val="center"/>
              <w:rPr>
                <w:color w:val="000000"/>
              </w:rPr>
            </w:pPr>
            <w:r w:rsidRPr="00D86156">
              <w:rPr>
                <w:color w:val="000000"/>
              </w:rPr>
              <w:t>6.3</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Business-Retail</w:t>
            </w:r>
          </w:p>
        </w:tc>
        <w:tc>
          <w:tcPr>
            <w:tcW w:w="651" w:type="pct"/>
            <w:noWrap/>
            <w:vAlign w:val="bottom"/>
          </w:tcPr>
          <w:p w:rsidR="00DA49AC" w:rsidRPr="00D86156" w:rsidRDefault="00DA49AC" w:rsidP="00B61819">
            <w:pPr>
              <w:spacing w:line="240" w:lineRule="auto"/>
              <w:jc w:val="center"/>
              <w:rPr>
                <w:color w:val="000000"/>
              </w:rPr>
            </w:pPr>
            <w:r>
              <w:rPr>
                <w:color w:val="000000"/>
              </w:rPr>
              <w:t>2.1</w:t>
            </w:r>
          </w:p>
        </w:tc>
        <w:tc>
          <w:tcPr>
            <w:tcW w:w="651" w:type="pct"/>
            <w:noWrap/>
            <w:vAlign w:val="bottom"/>
          </w:tcPr>
          <w:p w:rsidR="00DA49AC" w:rsidRPr="00D86156" w:rsidRDefault="00DA49AC" w:rsidP="00B61819">
            <w:pPr>
              <w:spacing w:line="240" w:lineRule="auto"/>
              <w:jc w:val="center"/>
              <w:rPr>
                <w:color w:val="000000"/>
              </w:rPr>
            </w:pPr>
            <w:r>
              <w:rPr>
                <w:color w:val="000000"/>
              </w:rPr>
              <w:t>1.6</w:t>
            </w:r>
          </w:p>
        </w:tc>
        <w:tc>
          <w:tcPr>
            <w:tcW w:w="651" w:type="pct"/>
            <w:noWrap/>
            <w:vAlign w:val="bottom"/>
          </w:tcPr>
          <w:p w:rsidR="00DA49AC" w:rsidRPr="00D86156" w:rsidRDefault="00DA49AC" w:rsidP="00B61819">
            <w:pPr>
              <w:spacing w:line="240" w:lineRule="auto"/>
              <w:jc w:val="center"/>
              <w:rPr>
                <w:color w:val="000000"/>
              </w:rPr>
            </w:pPr>
            <w:r>
              <w:rPr>
                <w:color w:val="000000"/>
              </w:rPr>
              <w:t>2.1</w:t>
            </w:r>
          </w:p>
        </w:tc>
        <w:tc>
          <w:tcPr>
            <w:tcW w:w="651" w:type="pct"/>
            <w:noWrap/>
            <w:vAlign w:val="bottom"/>
          </w:tcPr>
          <w:p w:rsidR="00DA49AC" w:rsidRPr="00D86156" w:rsidRDefault="00DA49AC" w:rsidP="00B61819">
            <w:pPr>
              <w:spacing w:line="240" w:lineRule="auto"/>
              <w:jc w:val="center"/>
              <w:rPr>
                <w:color w:val="000000"/>
              </w:rPr>
            </w:pPr>
            <w:r>
              <w:rPr>
                <w:color w:val="000000"/>
              </w:rPr>
              <w:t>1.8</w:t>
            </w:r>
          </w:p>
        </w:tc>
        <w:tc>
          <w:tcPr>
            <w:tcW w:w="652" w:type="pct"/>
            <w:noWrap/>
            <w:vAlign w:val="bottom"/>
          </w:tcPr>
          <w:p w:rsidR="00DA49AC" w:rsidRPr="00D86156" w:rsidRDefault="00DA49AC" w:rsidP="00B61819">
            <w:pPr>
              <w:spacing w:line="240" w:lineRule="auto"/>
              <w:jc w:val="center"/>
              <w:rPr>
                <w:color w:val="000000"/>
              </w:rPr>
            </w:pPr>
            <w:r>
              <w:rPr>
                <w:color w:val="000000"/>
              </w:rPr>
              <w:t>2.1</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Company</w:t>
            </w:r>
          </w:p>
        </w:tc>
        <w:tc>
          <w:tcPr>
            <w:tcW w:w="651" w:type="pct"/>
            <w:noWrap/>
            <w:vAlign w:val="bottom"/>
          </w:tcPr>
          <w:p w:rsidR="00DA49AC" w:rsidRPr="00D86156" w:rsidRDefault="00DA49AC" w:rsidP="00B61819">
            <w:pPr>
              <w:spacing w:line="240" w:lineRule="auto"/>
              <w:jc w:val="center"/>
              <w:rPr>
                <w:color w:val="000000"/>
              </w:rPr>
            </w:pPr>
            <w:r>
              <w:rPr>
                <w:color w:val="000000"/>
              </w:rPr>
              <w:t>0.7</w:t>
            </w:r>
          </w:p>
        </w:tc>
        <w:tc>
          <w:tcPr>
            <w:tcW w:w="651" w:type="pct"/>
            <w:noWrap/>
            <w:vAlign w:val="bottom"/>
          </w:tcPr>
          <w:p w:rsidR="00DA49AC" w:rsidRPr="00D86156" w:rsidRDefault="00DA49AC" w:rsidP="00B61819">
            <w:pPr>
              <w:spacing w:line="240" w:lineRule="auto"/>
              <w:jc w:val="center"/>
              <w:rPr>
                <w:color w:val="000000"/>
              </w:rPr>
            </w:pPr>
            <w:r>
              <w:rPr>
                <w:color w:val="000000"/>
              </w:rPr>
              <w:t>0.1</w:t>
            </w:r>
          </w:p>
        </w:tc>
        <w:tc>
          <w:tcPr>
            <w:tcW w:w="651" w:type="pct"/>
            <w:noWrap/>
            <w:vAlign w:val="bottom"/>
          </w:tcPr>
          <w:p w:rsidR="00DA49AC" w:rsidRPr="00D86156" w:rsidRDefault="00DA49AC" w:rsidP="00B61819">
            <w:pPr>
              <w:spacing w:line="240" w:lineRule="auto"/>
              <w:jc w:val="center"/>
              <w:rPr>
                <w:color w:val="000000"/>
              </w:rPr>
            </w:pPr>
            <w:r>
              <w:rPr>
                <w:color w:val="000000"/>
              </w:rPr>
              <w:t>0.2</w:t>
            </w:r>
          </w:p>
        </w:tc>
        <w:tc>
          <w:tcPr>
            <w:tcW w:w="651" w:type="pct"/>
            <w:noWrap/>
            <w:vAlign w:val="bottom"/>
          </w:tcPr>
          <w:p w:rsidR="00DA49AC" w:rsidRPr="00D86156" w:rsidRDefault="00DA49AC" w:rsidP="00B61819">
            <w:pPr>
              <w:spacing w:line="240" w:lineRule="auto"/>
              <w:jc w:val="center"/>
              <w:rPr>
                <w:color w:val="000000"/>
              </w:rPr>
            </w:pPr>
            <w:r>
              <w:rPr>
                <w:color w:val="000000"/>
              </w:rPr>
              <w:t>0.3</w:t>
            </w:r>
          </w:p>
        </w:tc>
        <w:tc>
          <w:tcPr>
            <w:tcW w:w="652" w:type="pct"/>
            <w:noWrap/>
            <w:vAlign w:val="bottom"/>
          </w:tcPr>
          <w:p w:rsidR="00DA49AC" w:rsidRPr="00D86156" w:rsidRDefault="00DA49AC" w:rsidP="00B61819">
            <w:pPr>
              <w:spacing w:line="240" w:lineRule="auto"/>
              <w:jc w:val="center"/>
              <w:rPr>
                <w:color w:val="000000"/>
              </w:rPr>
            </w:pPr>
            <w:r>
              <w:rPr>
                <w:color w:val="000000"/>
              </w:rPr>
              <w:t>1.0</w:t>
            </w:r>
          </w:p>
        </w:tc>
      </w:tr>
      <w:tr w:rsidR="00DA49AC" w:rsidRPr="003301F4" w:rsidTr="009C4896">
        <w:trPr>
          <w:trHeight w:val="300"/>
          <w:jc w:val="center"/>
        </w:trPr>
        <w:tc>
          <w:tcPr>
            <w:tcW w:w="1743" w:type="pct"/>
            <w:noWrap/>
            <w:vAlign w:val="bottom"/>
          </w:tcPr>
          <w:p w:rsidR="00DA49AC" w:rsidRPr="00D86156" w:rsidRDefault="00DA49AC" w:rsidP="0027220E">
            <w:pPr>
              <w:spacing w:line="240" w:lineRule="auto"/>
              <w:rPr>
                <w:color w:val="000000"/>
              </w:rPr>
            </w:pPr>
            <w:r w:rsidRPr="00D86156">
              <w:rPr>
                <w:color w:val="000000"/>
              </w:rPr>
              <w:t>Inv</w:t>
            </w:r>
            <w:r>
              <w:rPr>
                <w:color w:val="000000"/>
              </w:rPr>
              <w:t>estment trust</w:t>
            </w:r>
          </w:p>
        </w:tc>
        <w:tc>
          <w:tcPr>
            <w:tcW w:w="651" w:type="pct"/>
            <w:noWrap/>
            <w:vAlign w:val="bottom"/>
          </w:tcPr>
          <w:p w:rsidR="00DA49AC" w:rsidRPr="00D86156" w:rsidRDefault="00DA49AC" w:rsidP="00B61819">
            <w:pPr>
              <w:spacing w:line="240" w:lineRule="auto"/>
              <w:jc w:val="center"/>
              <w:rPr>
                <w:color w:val="000000"/>
              </w:rPr>
            </w:pPr>
            <w:r>
              <w:rPr>
                <w:color w:val="000000"/>
              </w:rPr>
              <w:t>0.1</w:t>
            </w:r>
          </w:p>
        </w:tc>
        <w:tc>
          <w:tcPr>
            <w:tcW w:w="651" w:type="pct"/>
            <w:noWrap/>
            <w:vAlign w:val="bottom"/>
          </w:tcPr>
          <w:p w:rsidR="00DA49AC" w:rsidRPr="00D86156" w:rsidRDefault="00DA49AC" w:rsidP="00B61819">
            <w:pPr>
              <w:spacing w:line="240" w:lineRule="auto"/>
              <w:jc w:val="center"/>
              <w:rPr>
                <w:color w:val="000000"/>
              </w:rPr>
            </w:pPr>
            <w:r>
              <w:rPr>
                <w:color w:val="000000"/>
              </w:rPr>
              <w:t>0.0</w:t>
            </w:r>
          </w:p>
        </w:tc>
        <w:tc>
          <w:tcPr>
            <w:tcW w:w="651" w:type="pct"/>
            <w:noWrap/>
            <w:vAlign w:val="bottom"/>
          </w:tcPr>
          <w:p w:rsidR="00DA49AC" w:rsidRPr="00D86156" w:rsidRDefault="00DA49AC" w:rsidP="00B61819">
            <w:pPr>
              <w:spacing w:line="240" w:lineRule="auto"/>
              <w:jc w:val="center"/>
              <w:rPr>
                <w:color w:val="000000"/>
              </w:rPr>
            </w:pPr>
            <w:r>
              <w:rPr>
                <w:color w:val="000000"/>
              </w:rPr>
              <w:t>0.4</w:t>
            </w:r>
          </w:p>
        </w:tc>
        <w:tc>
          <w:tcPr>
            <w:tcW w:w="651" w:type="pct"/>
            <w:noWrap/>
            <w:vAlign w:val="bottom"/>
          </w:tcPr>
          <w:p w:rsidR="00DA49AC" w:rsidRPr="00D86156" w:rsidRDefault="00DA49AC" w:rsidP="00B61819">
            <w:pPr>
              <w:spacing w:line="240" w:lineRule="auto"/>
              <w:jc w:val="center"/>
              <w:rPr>
                <w:color w:val="000000"/>
              </w:rPr>
            </w:pPr>
            <w:r>
              <w:rPr>
                <w:color w:val="000000"/>
              </w:rPr>
              <w:t>1.0</w:t>
            </w:r>
          </w:p>
        </w:tc>
        <w:tc>
          <w:tcPr>
            <w:tcW w:w="652" w:type="pct"/>
            <w:noWrap/>
            <w:vAlign w:val="bottom"/>
          </w:tcPr>
          <w:p w:rsidR="00DA49AC" w:rsidRPr="00D86156" w:rsidRDefault="00DA49AC" w:rsidP="00B61819">
            <w:pPr>
              <w:spacing w:line="240" w:lineRule="auto"/>
              <w:jc w:val="center"/>
              <w:rPr>
                <w:color w:val="000000"/>
              </w:rPr>
            </w:pPr>
            <w:r>
              <w:rPr>
                <w:color w:val="000000"/>
              </w:rPr>
              <w:t>2.2</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Finance-Banker</w:t>
            </w:r>
          </w:p>
        </w:tc>
        <w:tc>
          <w:tcPr>
            <w:tcW w:w="651" w:type="pct"/>
            <w:noWrap/>
            <w:vAlign w:val="bottom"/>
          </w:tcPr>
          <w:p w:rsidR="00DA49AC" w:rsidRPr="00D86156" w:rsidRDefault="00DA49AC" w:rsidP="00B61819">
            <w:pPr>
              <w:spacing w:line="240" w:lineRule="auto"/>
              <w:jc w:val="center"/>
              <w:rPr>
                <w:color w:val="000000"/>
              </w:rPr>
            </w:pPr>
            <w:r>
              <w:rPr>
                <w:color w:val="000000"/>
              </w:rPr>
              <w:t>2.4</w:t>
            </w:r>
          </w:p>
        </w:tc>
        <w:tc>
          <w:tcPr>
            <w:tcW w:w="651" w:type="pct"/>
            <w:noWrap/>
            <w:vAlign w:val="bottom"/>
          </w:tcPr>
          <w:p w:rsidR="00DA49AC" w:rsidRPr="00D86156" w:rsidRDefault="00DA49AC" w:rsidP="00B61819">
            <w:pPr>
              <w:spacing w:line="240" w:lineRule="auto"/>
              <w:jc w:val="center"/>
              <w:rPr>
                <w:color w:val="000000"/>
              </w:rPr>
            </w:pPr>
            <w:r>
              <w:rPr>
                <w:color w:val="000000"/>
              </w:rPr>
              <w:t>5.2</w:t>
            </w:r>
          </w:p>
        </w:tc>
        <w:tc>
          <w:tcPr>
            <w:tcW w:w="651" w:type="pct"/>
            <w:noWrap/>
            <w:vAlign w:val="bottom"/>
          </w:tcPr>
          <w:p w:rsidR="00DA49AC" w:rsidRPr="00D86156" w:rsidRDefault="00DA49AC" w:rsidP="00B61819">
            <w:pPr>
              <w:spacing w:line="240" w:lineRule="auto"/>
              <w:jc w:val="center"/>
              <w:rPr>
                <w:color w:val="000000"/>
              </w:rPr>
            </w:pPr>
            <w:r>
              <w:rPr>
                <w:color w:val="000000"/>
              </w:rPr>
              <w:t>2.0</w:t>
            </w:r>
          </w:p>
        </w:tc>
        <w:tc>
          <w:tcPr>
            <w:tcW w:w="651" w:type="pct"/>
            <w:noWrap/>
            <w:vAlign w:val="bottom"/>
          </w:tcPr>
          <w:p w:rsidR="00DA49AC" w:rsidRPr="00D86156" w:rsidRDefault="00DA49AC" w:rsidP="00B61819">
            <w:pPr>
              <w:spacing w:line="240" w:lineRule="auto"/>
              <w:jc w:val="center"/>
              <w:rPr>
                <w:color w:val="000000"/>
              </w:rPr>
            </w:pPr>
            <w:r>
              <w:rPr>
                <w:color w:val="000000"/>
              </w:rPr>
              <w:t>0.9</w:t>
            </w:r>
          </w:p>
        </w:tc>
        <w:tc>
          <w:tcPr>
            <w:tcW w:w="652" w:type="pct"/>
            <w:noWrap/>
            <w:vAlign w:val="bottom"/>
          </w:tcPr>
          <w:p w:rsidR="00DA49AC" w:rsidRPr="00D86156" w:rsidRDefault="00DA49AC" w:rsidP="00B61819">
            <w:pPr>
              <w:spacing w:line="240" w:lineRule="auto"/>
              <w:jc w:val="center"/>
              <w:rPr>
                <w:color w:val="000000"/>
              </w:rPr>
            </w:pPr>
            <w:r>
              <w:rPr>
                <w:color w:val="000000"/>
              </w:rPr>
              <w:t>1.7</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Finance-Other Finance</w:t>
            </w:r>
          </w:p>
        </w:tc>
        <w:tc>
          <w:tcPr>
            <w:tcW w:w="651" w:type="pct"/>
            <w:noWrap/>
            <w:vAlign w:val="bottom"/>
          </w:tcPr>
          <w:p w:rsidR="00DA49AC" w:rsidRPr="00D86156" w:rsidRDefault="00DA49AC" w:rsidP="00B61819">
            <w:pPr>
              <w:spacing w:line="240" w:lineRule="auto"/>
              <w:jc w:val="center"/>
              <w:rPr>
                <w:color w:val="000000"/>
              </w:rPr>
            </w:pPr>
            <w:r>
              <w:rPr>
                <w:color w:val="000000"/>
              </w:rPr>
              <w:t>1.1</w:t>
            </w:r>
          </w:p>
        </w:tc>
        <w:tc>
          <w:tcPr>
            <w:tcW w:w="651" w:type="pct"/>
            <w:noWrap/>
            <w:vAlign w:val="bottom"/>
          </w:tcPr>
          <w:p w:rsidR="00DA49AC" w:rsidRPr="00D86156" w:rsidRDefault="00DA49AC" w:rsidP="00B61819">
            <w:pPr>
              <w:spacing w:line="240" w:lineRule="auto"/>
              <w:jc w:val="center"/>
              <w:rPr>
                <w:color w:val="000000"/>
              </w:rPr>
            </w:pPr>
            <w:r>
              <w:rPr>
                <w:color w:val="000000"/>
              </w:rPr>
              <w:t>0.5</w:t>
            </w:r>
          </w:p>
        </w:tc>
        <w:tc>
          <w:tcPr>
            <w:tcW w:w="651" w:type="pct"/>
            <w:noWrap/>
            <w:vAlign w:val="bottom"/>
          </w:tcPr>
          <w:p w:rsidR="00DA49AC" w:rsidRPr="00D86156" w:rsidRDefault="00DA49AC" w:rsidP="00B61819">
            <w:pPr>
              <w:spacing w:line="240" w:lineRule="auto"/>
              <w:jc w:val="center"/>
              <w:rPr>
                <w:color w:val="000000"/>
              </w:rPr>
            </w:pPr>
            <w:r>
              <w:rPr>
                <w:color w:val="000000"/>
              </w:rPr>
              <w:t>0.7</w:t>
            </w:r>
          </w:p>
        </w:tc>
        <w:tc>
          <w:tcPr>
            <w:tcW w:w="651" w:type="pct"/>
            <w:noWrap/>
            <w:vAlign w:val="bottom"/>
          </w:tcPr>
          <w:p w:rsidR="00DA49AC" w:rsidRPr="00D86156" w:rsidRDefault="00DA49AC" w:rsidP="00B61819">
            <w:pPr>
              <w:spacing w:line="240" w:lineRule="auto"/>
              <w:jc w:val="center"/>
              <w:rPr>
                <w:color w:val="000000"/>
              </w:rPr>
            </w:pPr>
            <w:r>
              <w:rPr>
                <w:color w:val="000000"/>
              </w:rPr>
              <w:t>0.6</w:t>
            </w:r>
          </w:p>
        </w:tc>
        <w:tc>
          <w:tcPr>
            <w:tcW w:w="652" w:type="pct"/>
            <w:noWrap/>
            <w:vAlign w:val="bottom"/>
          </w:tcPr>
          <w:p w:rsidR="00DA49AC" w:rsidRPr="00D86156" w:rsidRDefault="00DA49AC" w:rsidP="00B61819">
            <w:pPr>
              <w:spacing w:line="240" w:lineRule="auto"/>
              <w:jc w:val="center"/>
              <w:rPr>
                <w:color w:val="000000"/>
              </w:rPr>
            </w:pPr>
            <w:r>
              <w:rPr>
                <w:color w:val="000000"/>
              </w:rPr>
              <w:t>0.6</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Finance-Stockbroker</w:t>
            </w:r>
          </w:p>
        </w:tc>
        <w:tc>
          <w:tcPr>
            <w:tcW w:w="651" w:type="pct"/>
            <w:noWrap/>
            <w:vAlign w:val="bottom"/>
          </w:tcPr>
          <w:p w:rsidR="00DA49AC" w:rsidRPr="00D86156" w:rsidRDefault="00DA49AC" w:rsidP="00B61819">
            <w:pPr>
              <w:spacing w:line="240" w:lineRule="auto"/>
              <w:jc w:val="center"/>
              <w:rPr>
                <w:color w:val="000000"/>
              </w:rPr>
            </w:pPr>
            <w:r>
              <w:rPr>
                <w:color w:val="000000"/>
              </w:rPr>
              <w:t>3.3</w:t>
            </w:r>
          </w:p>
        </w:tc>
        <w:tc>
          <w:tcPr>
            <w:tcW w:w="651" w:type="pct"/>
            <w:noWrap/>
            <w:vAlign w:val="bottom"/>
          </w:tcPr>
          <w:p w:rsidR="00DA49AC" w:rsidRPr="00D86156" w:rsidRDefault="00DA49AC" w:rsidP="00B61819">
            <w:pPr>
              <w:spacing w:line="240" w:lineRule="auto"/>
              <w:jc w:val="center"/>
              <w:rPr>
                <w:color w:val="000000"/>
              </w:rPr>
            </w:pPr>
            <w:r>
              <w:rPr>
                <w:color w:val="000000"/>
              </w:rPr>
              <w:t>2.0</w:t>
            </w:r>
          </w:p>
        </w:tc>
        <w:tc>
          <w:tcPr>
            <w:tcW w:w="651" w:type="pct"/>
            <w:noWrap/>
            <w:vAlign w:val="bottom"/>
          </w:tcPr>
          <w:p w:rsidR="00DA49AC" w:rsidRPr="00D86156" w:rsidRDefault="00DA49AC" w:rsidP="00B61819">
            <w:pPr>
              <w:spacing w:line="240" w:lineRule="auto"/>
              <w:jc w:val="center"/>
              <w:rPr>
                <w:color w:val="000000"/>
              </w:rPr>
            </w:pPr>
            <w:r>
              <w:rPr>
                <w:color w:val="000000"/>
              </w:rPr>
              <w:t>1.5</w:t>
            </w:r>
          </w:p>
        </w:tc>
        <w:tc>
          <w:tcPr>
            <w:tcW w:w="651" w:type="pct"/>
            <w:noWrap/>
            <w:vAlign w:val="bottom"/>
          </w:tcPr>
          <w:p w:rsidR="00DA49AC" w:rsidRPr="00D86156" w:rsidRDefault="00DA49AC" w:rsidP="00B61819">
            <w:pPr>
              <w:spacing w:line="240" w:lineRule="auto"/>
              <w:jc w:val="center"/>
              <w:rPr>
                <w:color w:val="000000"/>
              </w:rPr>
            </w:pPr>
            <w:r>
              <w:rPr>
                <w:color w:val="000000"/>
              </w:rPr>
              <w:t>0.6</w:t>
            </w:r>
          </w:p>
        </w:tc>
        <w:tc>
          <w:tcPr>
            <w:tcW w:w="652" w:type="pct"/>
            <w:noWrap/>
            <w:vAlign w:val="bottom"/>
          </w:tcPr>
          <w:p w:rsidR="00DA49AC" w:rsidRPr="00D86156" w:rsidRDefault="00DA49AC" w:rsidP="00B61819">
            <w:pPr>
              <w:spacing w:line="240" w:lineRule="auto"/>
              <w:jc w:val="center"/>
              <w:rPr>
                <w:color w:val="000000"/>
              </w:rPr>
            </w:pPr>
            <w:r>
              <w:rPr>
                <w:color w:val="000000"/>
              </w:rPr>
              <w:t>0.7</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Pr>
                <w:color w:val="000000"/>
              </w:rPr>
              <w:t>Middle-</w:t>
            </w:r>
            <w:r w:rsidRPr="00D86156">
              <w:rPr>
                <w:color w:val="000000"/>
              </w:rPr>
              <w:t>Legal Profession</w:t>
            </w:r>
          </w:p>
        </w:tc>
        <w:tc>
          <w:tcPr>
            <w:tcW w:w="651" w:type="pct"/>
            <w:noWrap/>
            <w:vAlign w:val="bottom"/>
          </w:tcPr>
          <w:p w:rsidR="00DA49AC" w:rsidRPr="00D86156" w:rsidRDefault="00DA49AC" w:rsidP="00B61819">
            <w:pPr>
              <w:spacing w:line="240" w:lineRule="auto"/>
              <w:jc w:val="center"/>
              <w:rPr>
                <w:color w:val="000000"/>
              </w:rPr>
            </w:pPr>
            <w:r>
              <w:rPr>
                <w:color w:val="000000"/>
              </w:rPr>
              <w:t>3.9</w:t>
            </w:r>
          </w:p>
        </w:tc>
        <w:tc>
          <w:tcPr>
            <w:tcW w:w="651" w:type="pct"/>
            <w:noWrap/>
            <w:vAlign w:val="bottom"/>
          </w:tcPr>
          <w:p w:rsidR="00DA49AC" w:rsidRPr="00D86156" w:rsidRDefault="00DA49AC" w:rsidP="00B61819">
            <w:pPr>
              <w:spacing w:line="240" w:lineRule="auto"/>
              <w:jc w:val="center"/>
              <w:rPr>
                <w:color w:val="000000"/>
              </w:rPr>
            </w:pPr>
            <w:r>
              <w:rPr>
                <w:color w:val="000000"/>
              </w:rPr>
              <w:t>2.4</w:t>
            </w:r>
          </w:p>
        </w:tc>
        <w:tc>
          <w:tcPr>
            <w:tcW w:w="651" w:type="pct"/>
            <w:noWrap/>
            <w:vAlign w:val="bottom"/>
          </w:tcPr>
          <w:p w:rsidR="00DA49AC" w:rsidRPr="00D86156" w:rsidRDefault="00DA49AC" w:rsidP="00B61819">
            <w:pPr>
              <w:spacing w:line="240" w:lineRule="auto"/>
              <w:jc w:val="center"/>
              <w:rPr>
                <w:color w:val="000000"/>
              </w:rPr>
            </w:pPr>
            <w:r>
              <w:rPr>
                <w:color w:val="000000"/>
              </w:rPr>
              <w:t>2.9</w:t>
            </w:r>
          </w:p>
        </w:tc>
        <w:tc>
          <w:tcPr>
            <w:tcW w:w="651" w:type="pct"/>
            <w:noWrap/>
            <w:vAlign w:val="bottom"/>
          </w:tcPr>
          <w:p w:rsidR="00DA49AC" w:rsidRPr="00D86156" w:rsidRDefault="00DA49AC" w:rsidP="00B61819">
            <w:pPr>
              <w:spacing w:line="240" w:lineRule="auto"/>
              <w:jc w:val="center"/>
              <w:rPr>
                <w:color w:val="000000"/>
              </w:rPr>
            </w:pPr>
            <w:r>
              <w:rPr>
                <w:color w:val="000000"/>
              </w:rPr>
              <w:t>4.2</w:t>
            </w:r>
          </w:p>
        </w:tc>
        <w:tc>
          <w:tcPr>
            <w:tcW w:w="652" w:type="pct"/>
            <w:noWrap/>
            <w:vAlign w:val="bottom"/>
          </w:tcPr>
          <w:p w:rsidR="00DA49AC" w:rsidRPr="00D86156" w:rsidRDefault="00DA49AC" w:rsidP="00B61819">
            <w:pPr>
              <w:spacing w:line="240" w:lineRule="auto"/>
              <w:jc w:val="center"/>
              <w:rPr>
                <w:color w:val="000000"/>
              </w:rPr>
            </w:pPr>
            <w:r w:rsidRPr="00D86156">
              <w:rPr>
                <w:color w:val="000000"/>
              </w:rPr>
              <w:t>2.2</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Middle-Clergy</w:t>
            </w:r>
          </w:p>
        </w:tc>
        <w:tc>
          <w:tcPr>
            <w:tcW w:w="651" w:type="pct"/>
            <w:noWrap/>
            <w:vAlign w:val="bottom"/>
          </w:tcPr>
          <w:p w:rsidR="00DA49AC" w:rsidRPr="00D86156" w:rsidRDefault="00DA49AC" w:rsidP="00B61819">
            <w:pPr>
              <w:spacing w:line="240" w:lineRule="auto"/>
              <w:jc w:val="center"/>
              <w:rPr>
                <w:color w:val="000000"/>
              </w:rPr>
            </w:pPr>
            <w:r>
              <w:rPr>
                <w:color w:val="000000"/>
              </w:rPr>
              <w:t>1.1</w:t>
            </w:r>
          </w:p>
        </w:tc>
        <w:tc>
          <w:tcPr>
            <w:tcW w:w="651" w:type="pct"/>
            <w:noWrap/>
            <w:vAlign w:val="bottom"/>
          </w:tcPr>
          <w:p w:rsidR="00DA49AC" w:rsidRPr="00D86156" w:rsidRDefault="00DA49AC" w:rsidP="00B61819">
            <w:pPr>
              <w:spacing w:line="240" w:lineRule="auto"/>
              <w:jc w:val="center"/>
              <w:rPr>
                <w:color w:val="000000"/>
              </w:rPr>
            </w:pPr>
            <w:r>
              <w:rPr>
                <w:color w:val="000000"/>
              </w:rPr>
              <w:t>1.8</w:t>
            </w:r>
          </w:p>
        </w:tc>
        <w:tc>
          <w:tcPr>
            <w:tcW w:w="651" w:type="pct"/>
            <w:noWrap/>
            <w:vAlign w:val="bottom"/>
          </w:tcPr>
          <w:p w:rsidR="00DA49AC" w:rsidRPr="00D86156" w:rsidRDefault="00DA49AC" w:rsidP="00B61819">
            <w:pPr>
              <w:spacing w:line="240" w:lineRule="auto"/>
              <w:jc w:val="center"/>
              <w:rPr>
                <w:color w:val="000000"/>
              </w:rPr>
            </w:pPr>
            <w:r>
              <w:rPr>
                <w:color w:val="000000"/>
              </w:rPr>
              <w:t>1.8</w:t>
            </w:r>
          </w:p>
        </w:tc>
        <w:tc>
          <w:tcPr>
            <w:tcW w:w="651" w:type="pct"/>
            <w:noWrap/>
            <w:vAlign w:val="bottom"/>
          </w:tcPr>
          <w:p w:rsidR="00DA49AC" w:rsidRPr="00D86156" w:rsidRDefault="00DA49AC" w:rsidP="00B61819">
            <w:pPr>
              <w:spacing w:line="240" w:lineRule="auto"/>
              <w:jc w:val="center"/>
              <w:rPr>
                <w:color w:val="000000"/>
              </w:rPr>
            </w:pPr>
            <w:r>
              <w:rPr>
                <w:color w:val="000000"/>
              </w:rPr>
              <w:t>1.7</w:t>
            </w:r>
          </w:p>
        </w:tc>
        <w:tc>
          <w:tcPr>
            <w:tcW w:w="652" w:type="pct"/>
            <w:noWrap/>
            <w:vAlign w:val="bottom"/>
          </w:tcPr>
          <w:p w:rsidR="00DA49AC" w:rsidRPr="00D86156" w:rsidRDefault="00DA49AC" w:rsidP="00B61819">
            <w:pPr>
              <w:spacing w:line="240" w:lineRule="auto"/>
              <w:jc w:val="center"/>
              <w:rPr>
                <w:color w:val="000000"/>
              </w:rPr>
            </w:pPr>
            <w:r>
              <w:rPr>
                <w:color w:val="000000"/>
              </w:rPr>
              <w:t>1.6</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Middle-Professional</w:t>
            </w:r>
          </w:p>
        </w:tc>
        <w:tc>
          <w:tcPr>
            <w:tcW w:w="651" w:type="pct"/>
            <w:noWrap/>
            <w:vAlign w:val="bottom"/>
          </w:tcPr>
          <w:p w:rsidR="00DA49AC" w:rsidRPr="00D86156" w:rsidRDefault="00DA49AC" w:rsidP="00B61819">
            <w:pPr>
              <w:spacing w:line="240" w:lineRule="auto"/>
              <w:jc w:val="center"/>
              <w:rPr>
                <w:color w:val="000000"/>
              </w:rPr>
            </w:pPr>
            <w:r>
              <w:rPr>
                <w:color w:val="000000"/>
              </w:rPr>
              <w:t>3.6</w:t>
            </w:r>
          </w:p>
        </w:tc>
        <w:tc>
          <w:tcPr>
            <w:tcW w:w="651" w:type="pct"/>
            <w:noWrap/>
            <w:vAlign w:val="bottom"/>
          </w:tcPr>
          <w:p w:rsidR="00DA49AC" w:rsidRPr="00D86156" w:rsidRDefault="00DA49AC" w:rsidP="00B61819">
            <w:pPr>
              <w:spacing w:line="240" w:lineRule="auto"/>
              <w:jc w:val="center"/>
              <w:rPr>
                <w:color w:val="000000"/>
              </w:rPr>
            </w:pPr>
            <w:r>
              <w:rPr>
                <w:color w:val="000000"/>
              </w:rPr>
              <w:t>3.4</w:t>
            </w:r>
          </w:p>
        </w:tc>
        <w:tc>
          <w:tcPr>
            <w:tcW w:w="651" w:type="pct"/>
            <w:noWrap/>
            <w:vAlign w:val="bottom"/>
          </w:tcPr>
          <w:p w:rsidR="00DA49AC" w:rsidRPr="00D86156" w:rsidRDefault="00DA49AC" w:rsidP="00B61819">
            <w:pPr>
              <w:spacing w:line="240" w:lineRule="auto"/>
              <w:jc w:val="center"/>
              <w:rPr>
                <w:color w:val="000000"/>
              </w:rPr>
            </w:pPr>
            <w:r>
              <w:rPr>
                <w:color w:val="000000"/>
              </w:rPr>
              <w:t>4.7</w:t>
            </w:r>
          </w:p>
        </w:tc>
        <w:tc>
          <w:tcPr>
            <w:tcW w:w="651" w:type="pct"/>
            <w:noWrap/>
            <w:vAlign w:val="bottom"/>
          </w:tcPr>
          <w:p w:rsidR="00DA49AC" w:rsidRPr="00D86156" w:rsidRDefault="00DA49AC" w:rsidP="00B61819">
            <w:pPr>
              <w:spacing w:line="240" w:lineRule="auto"/>
              <w:jc w:val="center"/>
              <w:rPr>
                <w:color w:val="000000"/>
              </w:rPr>
            </w:pPr>
            <w:r>
              <w:rPr>
                <w:color w:val="000000"/>
              </w:rPr>
              <w:t>4.2</w:t>
            </w:r>
          </w:p>
        </w:tc>
        <w:tc>
          <w:tcPr>
            <w:tcW w:w="652" w:type="pct"/>
            <w:noWrap/>
            <w:vAlign w:val="bottom"/>
          </w:tcPr>
          <w:p w:rsidR="00DA49AC" w:rsidRPr="00D86156" w:rsidRDefault="00DA49AC" w:rsidP="00B61819">
            <w:pPr>
              <w:spacing w:line="240" w:lineRule="auto"/>
              <w:jc w:val="center"/>
              <w:rPr>
                <w:color w:val="000000"/>
              </w:rPr>
            </w:pPr>
            <w:r>
              <w:rPr>
                <w:color w:val="000000"/>
              </w:rPr>
              <w:t>4.4</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Middle-White Collar</w:t>
            </w:r>
          </w:p>
        </w:tc>
        <w:tc>
          <w:tcPr>
            <w:tcW w:w="651" w:type="pct"/>
            <w:noWrap/>
            <w:vAlign w:val="bottom"/>
          </w:tcPr>
          <w:p w:rsidR="00DA49AC" w:rsidRPr="00D86156" w:rsidRDefault="00DA49AC" w:rsidP="00B61819">
            <w:pPr>
              <w:spacing w:line="240" w:lineRule="auto"/>
              <w:jc w:val="center"/>
              <w:rPr>
                <w:color w:val="000000"/>
              </w:rPr>
            </w:pPr>
            <w:r>
              <w:rPr>
                <w:color w:val="000000"/>
              </w:rPr>
              <w:t>2.9</w:t>
            </w:r>
          </w:p>
        </w:tc>
        <w:tc>
          <w:tcPr>
            <w:tcW w:w="651" w:type="pct"/>
            <w:noWrap/>
            <w:vAlign w:val="bottom"/>
          </w:tcPr>
          <w:p w:rsidR="00DA49AC" w:rsidRPr="00D86156" w:rsidRDefault="00DA49AC" w:rsidP="00B61819">
            <w:pPr>
              <w:spacing w:line="240" w:lineRule="auto"/>
              <w:jc w:val="center"/>
              <w:rPr>
                <w:color w:val="000000"/>
              </w:rPr>
            </w:pPr>
            <w:r>
              <w:rPr>
                <w:color w:val="000000"/>
              </w:rPr>
              <w:t>2.0</w:t>
            </w:r>
          </w:p>
        </w:tc>
        <w:tc>
          <w:tcPr>
            <w:tcW w:w="651" w:type="pct"/>
            <w:noWrap/>
            <w:vAlign w:val="bottom"/>
          </w:tcPr>
          <w:p w:rsidR="00DA49AC" w:rsidRPr="00D86156" w:rsidRDefault="00DA49AC" w:rsidP="00B61819">
            <w:pPr>
              <w:spacing w:line="240" w:lineRule="auto"/>
              <w:jc w:val="center"/>
              <w:rPr>
                <w:color w:val="000000"/>
              </w:rPr>
            </w:pPr>
            <w:r>
              <w:rPr>
                <w:color w:val="000000"/>
              </w:rPr>
              <w:t>2.1</w:t>
            </w:r>
          </w:p>
        </w:tc>
        <w:tc>
          <w:tcPr>
            <w:tcW w:w="651" w:type="pct"/>
            <w:noWrap/>
            <w:vAlign w:val="bottom"/>
          </w:tcPr>
          <w:p w:rsidR="00DA49AC" w:rsidRPr="00D86156" w:rsidRDefault="00DA49AC" w:rsidP="00B61819">
            <w:pPr>
              <w:spacing w:line="240" w:lineRule="auto"/>
              <w:jc w:val="center"/>
              <w:rPr>
                <w:color w:val="000000"/>
              </w:rPr>
            </w:pPr>
            <w:r>
              <w:rPr>
                <w:color w:val="000000"/>
              </w:rPr>
              <w:t>1.6</w:t>
            </w:r>
          </w:p>
        </w:tc>
        <w:tc>
          <w:tcPr>
            <w:tcW w:w="652" w:type="pct"/>
            <w:noWrap/>
            <w:vAlign w:val="bottom"/>
          </w:tcPr>
          <w:p w:rsidR="00DA49AC" w:rsidRPr="00D86156" w:rsidRDefault="00DA49AC" w:rsidP="00B61819">
            <w:pPr>
              <w:spacing w:line="240" w:lineRule="auto"/>
              <w:jc w:val="center"/>
              <w:rPr>
                <w:color w:val="000000"/>
              </w:rPr>
            </w:pPr>
            <w:r>
              <w:rPr>
                <w:color w:val="000000"/>
              </w:rPr>
              <w:t>1.7</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Upper-ArmyNavy</w:t>
            </w:r>
          </w:p>
        </w:tc>
        <w:tc>
          <w:tcPr>
            <w:tcW w:w="651" w:type="pct"/>
            <w:noWrap/>
            <w:vAlign w:val="bottom"/>
          </w:tcPr>
          <w:p w:rsidR="00DA49AC" w:rsidRPr="00D86156" w:rsidRDefault="00DA49AC" w:rsidP="00B61819">
            <w:pPr>
              <w:spacing w:line="240" w:lineRule="auto"/>
              <w:jc w:val="center"/>
              <w:rPr>
                <w:color w:val="000000"/>
              </w:rPr>
            </w:pPr>
            <w:r>
              <w:rPr>
                <w:color w:val="000000"/>
              </w:rPr>
              <w:t>2.0</w:t>
            </w:r>
          </w:p>
        </w:tc>
        <w:tc>
          <w:tcPr>
            <w:tcW w:w="651" w:type="pct"/>
            <w:noWrap/>
            <w:vAlign w:val="bottom"/>
          </w:tcPr>
          <w:p w:rsidR="00DA49AC" w:rsidRPr="00D86156" w:rsidRDefault="00DA49AC" w:rsidP="00B61819">
            <w:pPr>
              <w:spacing w:line="240" w:lineRule="auto"/>
              <w:jc w:val="center"/>
              <w:rPr>
                <w:color w:val="000000"/>
              </w:rPr>
            </w:pPr>
            <w:r>
              <w:rPr>
                <w:color w:val="000000"/>
              </w:rPr>
              <w:t>2.6</w:t>
            </w:r>
          </w:p>
        </w:tc>
        <w:tc>
          <w:tcPr>
            <w:tcW w:w="651" w:type="pct"/>
            <w:noWrap/>
            <w:vAlign w:val="bottom"/>
          </w:tcPr>
          <w:p w:rsidR="00DA49AC" w:rsidRPr="00D86156" w:rsidRDefault="00DA49AC" w:rsidP="00B61819">
            <w:pPr>
              <w:spacing w:line="240" w:lineRule="auto"/>
              <w:jc w:val="center"/>
              <w:rPr>
                <w:color w:val="000000"/>
              </w:rPr>
            </w:pPr>
            <w:r>
              <w:rPr>
                <w:color w:val="000000"/>
              </w:rPr>
              <w:t>2.3</w:t>
            </w:r>
          </w:p>
        </w:tc>
        <w:tc>
          <w:tcPr>
            <w:tcW w:w="651" w:type="pct"/>
            <w:noWrap/>
            <w:vAlign w:val="bottom"/>
          </w:tcPr>
          <w:p w:rsidR="00DA49AC" w:rsidRPr="00D86156" w:rsidRDefault="00DA49AC" w:rsidP="00B61819">
            <w:pPr>
              <w:spacing w:line="240" w:lineRule="auto"/>
              <w:jc w:val="center"/>
              <w:rPr>
                <w:color w:val="000000"/>
              </w:rPr>
            </w:pPr>
            <w:r>
              <w:rPr>
                <w:color w:val="000000"/>
              </w:rPr>
              <w:t>2.1</w:t>
            </w:r>
          </w:p>
        </w:tc>
        <w:tc>
          <w:tcPr>
            <w:tcW w:w="652" w:type="pct"/>
            <w:noWrap/>
            <w:vAlign w:val="bottom"/>
          </w:tcPr>
          <w:p w:rsidR="00DA49AC" w:rsidRPr="00D86156" w:rsidRDefault="00DA49AC" w:rsidP="00B61819">
            <w:pPr>
              <w:spacing w:line="240" w:lineRule="auto"/>
              <w:jc w:val="center"/>
              <w:rPr>
                <w:color w:val="000000"/>
              </w:rPr>
            </w:pPr>
            <w:r>
              <w:rPr>
                <w:color w:val="000000"/>
              </w:rPr>
              <w:t>2.8</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Upper-Esquire</w:t>
            </w:r>
          </w:p>
        </w:tc>
        <w:tc>
          <w:tcPr>
            <w:tcW w:w="651" w:type="pct"/>
            <w:noWrap/>
            <w:vAlign w:val="bottom"/>
          </w:tcPr>
          <w:p w:rsidR="00DA49AC" w:rsidRPr="00D86156" w:rsidRDefault="00DA49AC" w:rsidP="00B61819">
            <w:pPr>
              <w:spacing w:line="240" w:lineRule="auto"/>
              <w:jc w:val="center"/>
              <w:rPr>
                <w:color w:val="000000"/>
              </w:rPr>
            </w:pPr>
            <w:r w:rsidRPr="00D86156">
              <w:rPr>
                <w:color w:val="000000"/>
              </w:rPr>
              <w:t>13.1</w:t>
            </w:r>
          </w:p>
        </w:tc>
        <w:tc>
          <w:tcPr>
            <w:tcW w:w="651" w:type="pct"/>
            <w:noWrap/>
            <w:vAlign w:val="bottom"/>
          </w:tcPr>
          <w:p w:rsidR="00DA49AC" w:rsidRPr="00D86156" w:rsidRDefault="00DA49AC" w:rsidP="00B61819">
            <w:pPr>
              <w:spacing w:line="240" w:lineRule="auto"/>
              <w:jc w:val="center"/>
              <w:rPr>
                <w:color w:val="000000"/>
              </w:rPr>
            </w:pPr>
            <w:r>
              <w:rPr>
                <w:color w:val="000000"/>
              </w:rPr>
              <w:t>22.9</w:t>
            </w:r>
          </w:p>
        </w:tc>
        <w:tc>
          <w:tcPr>
            <w:tcW w:w="651" w:type="pct"/>
            <w:noWrap/>
            <w:vAlign w:val="bottom"/>
          </w:tcPr>
          <w:p w:rsidR="00DA49AC" w:rsidRPr="00D86156" w:rsidRDefault="00DA49AC" w:rsidP="00B61819">
            <w:pPr>
              <w:spacing w:line="240" w:lineRule="auto"/>
              <w:jc w:val="center"/>
              <w:rPr>
                <w:color w:val="000000"/>
              </w:rPr>
            </w:pPr>
            <w:r>
              <w:rPr>
                <w:color w:val="000000"/>
              </w:rPr>
              <w:t>18.6</w:t>
            </w:r>
          </w:p>
        </w:tc>
        <w:tc>
          <w:tcPr>
            <w:tcW w:w="651" w:type="pct"/>
            <w:noWrap/>
            <w:vAlign w:val="bottom"/>
          </w:tcPr>
          <w:p w:rsidR="00DA49AC" w:rsidRPr="00D86156" w:rsidRDefault="00DA49AC" w:rsidP="00B61819">
            <w:pPr>
              <w:spacing w:line="240" w:lineRule="auto"/>
              <w:jc w:val="center"/>
              <w:rPr>
                <w:color w:val="000000"/>
              </w:rPr>
            </w:pPr>
            <w:r>
              <w:rPr>
                <w:color w:val="000000"/>
              </w:rPr>
              <w:t>11.8</w:t>
            </w:r>
          </w:p>
        </w:tc>
        <w:tc>
          <w:tcPr>
            <w:tcW w:w="652" w:type="pct"/>
            <w:noWrap/>
            <w:vAlign w:val="bottom"/>
          </w:tcPr>
          <w:p w:rsidR="00DA49AC" w:rsidRPr="00D86156" w:rsidRDefault="00DA49AC" w:rsidP="00B61819">
            <w:pPr>
              <w:spacing w:line="240" w:lineRule="auto"/>
              <w:jc w:val="center"/>
              <w:rPr>
                <w:color w:val="000000"/>
              </w:rPr>
            </w:pPr>
            <w:r>
              <w:rPr>
                <w:color w:val="000000"/>
              </w:rPr>
              <w:t>9.9</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Upper-Gentleman</w:t>
            </w:r>
          </w:p>
        </w:tc>
        <w:tc>
          <w:tcPr>
            <w:tcW w:w="651" w:type="pct"/>
            <w:noWrap/>
            <w:vAlign w:val="bottom"/>
          </w:tcPr>
          <w:p w:rsidR="00DA49AC" w:rsidRPr="00D86156" w:rsidRDefault="00DA49AC" w:rsidP="00B61819">
            <w:pPr>
              <w:spacing w:line="240" w:lineRule="auto"/>
              <w:jc w:val="center"/>
              <w:rPr>
                <w:color w:val="000000"/>
              </w:rPr>
            </w:pPr>
            <w:r>
              <w:rPr>
                <w:color w:val="000000"/>
              </w:rPr>
              <w:t>21.7</w:t>
            </w:r>
          </w:p>
        </w:tc>
        <w:tc>
          <w:tcPr>
            <w:tcW w:w="651" w:type="pct"/>
            <w:noWrap/>
            <w:vAlign w:val="bottom"/>
          </w:tcPr>
          <w:p w:rsidR="00DA49AC" w:rsidRPr="00D86156" w:rsidRDefault="00DA49AC" w:rsidP="00B61819">
            <w:pPr>
              <w:spacing w:line="240" w:lineRule="auto"/>
              <w:jc w:val="center"/>
              <w:rPr>
                <w:color w:val="000000"/>
              </w:rPr>
            </w:pPr>
            <w:r>
              <w:rPr>
                <w:color w:val="000000"/>
              </w:rPr>
              <w:t>27.3</w:t>
            </w:r>
          </w:p>
        </w:tc>
        <w:tc>
          <w:tcPr>
            <w:tcW w:w="651" w:type="pct"/>
            <w:noWrap/>
            <w:vAlign w:val="bottom"/>
          </w:tcPr>
          <w:p w:rsidR="00DA49AC" w:rsidRPr="00D86156" w:rsidRDefault="00DA49AC" w:rsidP="00B61819">
            <w:pPr>
              <w:spacing w:line="240" w:lineRule="auto"/>
              <w:jc w:val="center"/>
              <w:rPr>
                <w:color w:val="000000"/>
              </w:rPr>
            </w:pPr>
            <w:r>
              <w:rPr>
                <w:color w:val="000000"/>
              </w:rPr>
              <w:t>28.4</w:t>
            </w:r>
          </w:p>
        </w:tc>
        <w:tc>
          <w:tcPr>
            <w:tcW w:w="651" w:type="pct"/>
            <w:noWrap/>
            <w:vAlign w:val="bottom"/>
          </w:tcPr>
          <w:p w:rsidR="00DA49AC" w:rsidRPr="00D86156" w:rsidRDefault="00DA49AC" w:rsidP="00B61819">
            <w:pPr>
              <w:spacing w:line="240" w:lineRule="auto"/>
              <w:jc w:val="center"/>
              <w:rPr>
                <w:color w:val="000000"/>
              </w:rPr>
            </w:pPr>
            <w:r>
              <w:rPr>
                <w:color w:val="000000"/>
              </w:rPr>
              <w:t>29.9</w:t>
            </w:r>
          </w:p>
        </w:tc>
        <w:tc>
          <w:tcPr>
            <w:tcW w:w="652" w:type="pct"/>
            <w:noWrap/>
            <w:vAlign w:val="bottom"/>
          </w:tcPr>
          <w:p w:rsidR="00DA49AC" w:rsidRPr="00D86156" w:rsidRDefault="00DA49AC" w:rsidP="00B61819">
            <w:pPr>
              <w:spacing w:line="240" w:lineRule="auto"/>
              <w:jc w:val="center"/>
              <w:rPr>
                <w:color w:val="000000"/>
              </w:rPr>
            </w:pPr>
            <w:r>
              <w:rPr>
                <w:color w:val="000000"/>
              </w:rPr>
              <w:t>30.1</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Upper-Nobility</w:t>
            </w:r>
          </w:p>
        </w:tc>
        <w:tc>
          <w:tcPr>
            <w:tcW w:w="651" w:type="pct"/>
            <w:noWrap/>
            <w:vAlign w:val="bottom"/>
          </w:tcPr>
          <w:p w:rsidR="00DA49AC" w:rsidRPr="00D86156" w:rsidRDefault="00DA49AC" w:rsidP="00B61819">
            <w:pPr>
              <w:spacing w:line="240" w:lineRule="auto"/>
              <w:jc w:val="center"/>
              <w:rPr>
                <w:color w:val="000000"/>
              </w:rPr>
            </w:pPr>
            <w:r>
              <w:rPr>
                <w:color w:val="000000"/>
              </w:rPr>
              <w:t>0.5</w:t>
            </w:r>
          </w:p>
        </w:tc>
        <w:tc>
          <w:tcPr>
            <w:tcW w:w="651" w:type="pct"/>
            <w:noWrap/>
            <w:vAlign w:val="bottom"/>
          </w:tcPr>
          <w:p w:rsidR="00DA49AC" w:rsidRPr="00D86156" w:rsidRDefault="00DA49AC" w:rsidP="00B61819">
            <w:pPr>
              <w:spacing w:line="240" w:lineRule="auto"/>
              <w:jc w:val="center"/>
              <w:rPr>
                <w:color w:val="000000"/>
              </w:rPr>
            </w:pPr>
            <w:r>
              <w:rPr>
                <w:color w:val="000000"/>
              </w:rPr>
              <w:t>1.0</w:t>
            </w:r>
          </w:p>
        </w:tc>
        <w:tc>
          <w:tcPr>
            <w:tcW w:w="651" w:type="pct"/>
            <w:noWrap/>
            <w:vAlign w:val="bottom"/>
          </w:tcPr>
          <w:p w:rsidR="00DA49AC" w:rsidRPr="00D86156" w:rsidRDefault="00DA49AC" w:rsidP="00B61819">
            <w:pPr>
              <w:spacing w:line="240" w:lineRule="auto"/>
              <w:jc w:val="center"/>
              <w:rPr>
                <w:color w:val="000000"/>
              </w:rPr>
            </w:pPr>
            <w:r>
              <w:rPr>
                <w:color w:val="000000"/>
              </w:rPr>
              <w:t>0.9</w:t>
            </w:r>
          </w:p>
        </w:tc>
        <w:tc>
          <w:tcPr>
            <w:tcW w:w="651" w:type="pct"/>
            <w:noWrap/>
            <w:vAlign w:val="bottom"/>
          </w:tcPr>
          <w:p w:rsidR="00DA49AC" w:rsidRPr="00D86156" w:rsidRDefault="00DA49AC" w:rsidP="00B61819">
            <w:pPr>
              <w:spacing w:line="240" w:lineRule="auto"/>
              <w:jc w:val="center"/>
              <w:rPr>
                <w:color w:val="000000"/>
              </w:rPr>
            </w:pPr>
            <w:r>
              <w:rPr>
                <w:color w:val="000000"/>
              </w:rPr>
              <w:t>1.7</w:t>
            </w:r>
          </w:p>
        </w:tc>
        <w:tc>
          <w:tcPr>
            <w:tcW w:w="652" w:type="pct"/>
            <w:noWrap/>
            <w:vAlign w:val="bottom"/>
          </w:tcPr>
          <w:p w:rsidR="00DA49AC" w:rsidRPr="00D86156" w:rsidRDefault="00DA49AC" w:rsidP="00B61819">
            <w:pPr>
              <w:spacing w:line="240" w:lineRule="auto"/>
              <w:jc w:val="center"/>
              <w:rPr>
                <w:color w:val="000000"/>
              </w:rPr>
            </w:pPr>
            <w:r>
              <w:rPr>
                <w:color w:val="000000"/>
              </w:rPr>
              <w:t>4.1</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Women-Married</w:t>
            </w:r>
          </w:p>
        </w:tc>
        <w:tc>
          <w:tcPr>
            <w:tcW w:w="651" w:type="pct"/>
            <w:noWrap/>
            <w:vAlign w:val="bottom"/>
          </w:tcPr>
          <w:p w:rsidR="00DA49AC" w:rsidRPr="00D86156" w:rsidRDefault="00DA49AC" w:rsidP="00B61819">
            <w:pPr>
              <w:spacing w:line="240" w:lineRule="auto"/>
              <w:jc w:val="center"/>
              <w:rPr>
                <w:color w:val="000000"/>
              </w:rPr>
            </w:pPr>
            <w:r>
              <w:rPr>
                <w:color w:val="000000"/>
              </w:rPr>
              <w:t>0.0</w:t>
            </w:r>
          </w:p>
        </w:tc>
        <w:tc>
          <w:tcPr>
            <w:tcW w:w="651" w:type="pct"/>
            <w:noWrap/>
            <w:vAlign w:val="bottom"/>
          </w:tcPr>
          <w:p w:rsidR="00DA49AC" w:rsidRPr="00D86156" w:rsidRDefault="00DA49AC" w:rsidP="00B61819">
            <w:pPr>
              <w:spacing w:line="240" w:lineRule="auto"/>
              <w:jc w:val="center"/>
              <w:rPr>
                <w:color w:val="000000"/>
              </w:rPr>
            </w:pPr>
            <w:r>
              <w:rPr>
                <w:color w:val="000000"/>
              </w:rPr>
              <w:t>0.2</w:t>
            </w:r>
          </w:p>
        </w:tc>
        <w:tc>
          <w:tcPr>
            <w:tcW w:w="651" w:type="pct"/>
            <w:noWrap/>
            <w:vAlign w:val="bottom"/>
          </w:tcPr>
          <w:p w:rsidR="00DA49AC" w:rsidRPr="00D86156" w:rsidRDefault="00DA49AC" w:rsidP="00B61819">
            <w:pPr>
              <w:spacing w:line="240" w:lineRule="auto"/>
              <w:jc w:val="center"/>
              <w:rPr>
                <w:color w:val="000000"/>
              </w:rPr>
            </w:pPr>
            <w:r>
              <w:rPr>
                <w:color w:val="000000"/>
              </w:rPr>
              <w:t>1.1</w:t>
            </w:r>
          </w:p>
        </w:tc>
        <w:tc>
          <w:tcPr>
            <w:tcW w:w="651" w:type="pct"/>
            <w:noWrap/>
            <w:vAlign w:val="bottom"/>
          </w:tcPr>
          <w:p w:rsidR="00DA49AC" w:rsidRPr="00D86156" w:rsidRDefault="00DA49AC" w:rsidP="00B61819">
            <w:pPr>
              <w:spacing w:line="240" w:lineRule="auto"/>
              <w:jc w:val="center"/>
              <w:rPr>
                <w:color w:val="000000"/>
              </w:rPr>
            </w:pPr>
            <w:r>
              <w:rPr>
                <w:color w:val="000000"/>
              </w:rPr>
              <w:t>2.3</w:t>
            </w:r>
          </w:p>
        </w:tc>
        <w:tc>
          <w:tcPr>
            <w:tcW w:w="652" w:type="pct"/>
            <w:noWrap/>
            <w:vAlign w:val="bottom"/>
          </w:tcPr>
          <w:p w:rsidR="00DA49AC" w:rsidRPr="00D86156" w:rsidRDefault="00DA49AC" w:rsidP="00B61819">
            <w:pPr>
              <w:spacing w:line="240" w:lineRule="auto"/>
              <w:jc w:val="center"/>
              <w:rPr>
                <w:color w:val="000000"/>
              </w:rPr>
            </w:pPr>
            <w:r>
              <w:rPr>
                <w:color w:val="000000"/>
              </w:rPr>
              <w:t>4.1</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Women-Spinster</w:t>
            </w:r>
          </w:p>
        </w:tc>
        <w:tc>
          <w:tcPr>
            <w:tcW w:w="651" w:type="pct"/>
            <w:noWrap/>
            <w:vAlign w:val="bottom"/>
          </w:tcPr>
          <w:p w:rsidR="00DA49AC" w:rsidRPr="00D86156" w:rsidRDefault="00DA49AC" w:rsidP="00B61819">
            <w:pPr>
              <w:spacing w:line="240" w:lineRule="auto"/>
              <w:jc w:val="center"/>
              <w:rPr>
                <w:color w:val="000000"/>
              </w:rPr>
            </w:pPr>
            <w:r>
              <w:rPr>
                <w:color w:val="000000"/>
              </w:rPr>
              <w:t>1.8</w:t>
            </w:r>
          </w:p>
        </w:tc>
        <w:tc>
          <w:tcPr>
            <w:tcW w:w="651" w:type="pct"/>
            <w:noWrap/>
            <w:vAlign w:val="bottom"/>
          </w:tcPr>
          <w:p w:rsidR="00DA49AC" w:rsidRPr="00D86156" w:rsidRDefault="00DA49AC" w:rsidP="00B61819">
            <w:pPr>
              <w:spacing w:line="240" w:lineRule="auto"/>
              <w:jc w:val="center"/>
              <w:rPr>
                <w:color w:val="000000"/>
              </w:rPr>
            </w:pPr>
            <w:r>
              <w:rPr>
                <w:color w:val="000000"/>
              </w:rPr>
              <w:t>4.1</w:t>
            </w:r>
          </w:p>
        </w:tc>
        <w:tc>
          <w:tcPr>
            <w:tcW w:w="651" w:type="pct"/>
            <w:noWrap/>
            <w:vAlign w:val="bottom"/>
          </w:tcPr>
          <w:p w:rsidR="00DA49AC" w:rsidRPr="00D86156" w:rsidRDefault="00DA49AC" w:rsidP="00B61819">
            <w:pPr>
              <w:spacing w:line="240" w:lineRule="auto"/>
              <w:jc w:val="center"/>
              <w:rPr>
                <w:color w:val="000000"/>
              </w:rPr>
            </w:pPr>
            <w:r>
              <w:rPr>
                <w:color w:val="000000"/>
              </w:rPr>
              <w:t>4.4</w:t>
            </w:r>
          </w:p>
        </w:tc>
        <w:tc>
          <w:tcPr>
            <w:tcW w:w="651" w:type="pct"/>
            <w:noWrap/>
            <w:vAlign w:val="bottom"/>
          </w:tcPr>
          <w:p w:rsidR="00DA49AC" w:rsidRPr="00D86156" w:rsidRDefault="00DA49AC" w:rsidP="00B61819">
            <w:pPr>
              <w:spacing w:line="240" w:lineRule="auto"/>
              <w:jc w:val="center"/>
              <w:rPr>
                <w:color w:val="000000"/>
              </w:rPr>
            </w:pPr>
            <w:r>
              <w:rPr>
                <w:color w:val="000000"/>
              </w:rPr>
              <w:t>5.8</w:t>
            </w:r>
          </w:p>
        </w:tc>
        <w:tc>
          <w:tcPr>
            <w:tcW w:w="652" w:type="pct"/>
            <w:noWrap/>
            <w:vAlign w:val="bottom"/>
          </w:tcPr>
          <w:p w:rsidR="00DA49AC" w:rsidRPr="00D86156" w:rsidRDefault="00DA49AC" w:rsidP="00B61819">
            <w:pPr>
              <w:spacing w:line="240" w:lineRule="auto"/>
              <w:jc w:val="center"/>
              <w:rPr>
                <w:color w:val="000000"/>
              </w:rPr>
            </w:pPr>
            <w:r>
              <w:rPr>
                <w:color w:val="000000"/>
              </w:rPr>
              <w:t>10.2</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Women-Widow</w:t>
            </w:r>
          </w:p>
        </w:tc>
        <w:tc>
          <w:tcPr>
            <w:tcW w:w="651" w:type="pct"/>
            <w:noWrap/>
            <w:vAlign w:val="bottom"/>
          </w:tcPr>
          <w:p w:rsidR="00DA49AC" w:rsidRPr="00D86156" w:rsidRDefault="00DA49AC" w:rsidP="00B61819">
            <w:pPr>
              <w:spacing w:line="240" w:lineRule="auto"/>
              <w:jc w:val="center"/>
              <w:rPr>
                <w:color w:val="000000"/>
              </w:rPr>
            </w:pPr>
            <w:r>
              <w:rPr>
                <w:color w:val="000000"/>
              </w:rPr>
              <w:t>1.1</w:t>
            </w:r>
          </w:p>
        </w:tc>
        <w:tc>
          <w:tcPr>
            <w:tcW w:w="651" w:type="pct"/>
            <w:noWrap/>
            <w:vAlign w:val="bottom"/>
          </w:tcPr>
          <w:p w:rsidR="00DA49AC" w:rsidRPr="00D86156" w:rsidRDefault="00DA49AC" w:rsidP="00B61819">
            <w:pPr>
              <w:spacing w:line="240" w:lineRule="auto"/>
              <w:jc w:val="center"/>
              <w:rPr>
                <w:color w:val="000000"/>
              </w:rPr>
            </w:pPr>
            <w:r>
              <w:rPr>
                <w:color w:val="000000"/>
              </w:rPr>
              <w:t>3.1</w:t>
            </w:r>
          </w:p>
        </w:tc>
        <w:tc>
          <w:tcPr>
            <w:tcW w:w="651" w:type="pct"/>
            <w:noWrap/>
            <w:vAlign w:val="bottom"/>
          </w:tcPr>
          <w:p w:rsidR="00DA49AC" w:rsidRPr="00D86156" w:rsidRDefault="00DA49AC" w:rsidP="00B61819">
            <w:pPr>
              <w:spacing w:line="240" w:lineRule="auto"/>
              <w:jc w:val="center"/>
              <w:rPr>
                <w:color w:val="000000"/>
              </w:rPr>
            </w:pPr>
            <w:r>
              <w:rPr>
                <w:color w:val="000000"/>
              </w:rPr>
              <w:t>4.3</w:t>
            </w:r>
          </w:p>
        </w:tc>
        <w:tc>
          <w:tcPr>
            <w:tcW w:w="651" w:type="pct"/>
            <w:noWrap/>
            <w:vAlign w:val="bottom"/>
          </w:tcPr>
          <w:p w:rsidR="00DA49AC" w:rsidRPr="00D86156" w:rsidRDefault="00DA49AC" w:rsidP="00B61819">
            <w:pPr>
              <w:spacing w:line="240" w:lineRule="auto"/>
              <w:jc w:val="center"/>
              <w:rPr>
                <w:color w:val="000000"/>
              </w:rPr>
            </w:pPr>
            <w:r>
              <w:rPr>
                <w:color w:val="000000"/>
              </w:rPr>
              <w:t>5.1</w:t>
            </w:r>
          </w:p>
        </w:tc>
        <w:tc>
          <w:tcPr>
            <w:tcW w:w="652" w:type="pct"/>
            <w:noWrap/>
            <w:vAlign w:val="bottom"/>
          </w:tcPr>
          <w:p w:rsidR="00DA49AC" w:rsidRPr="00D86156" w:rsidRDefault="00DA49AC" w:rsidP="00B61819">
            <w:pPr>
              <w:spacing w:line="240" w:lineRule="auto"/>
              <w:jc w:val="center"/>
              <w:rPr>
                <w:color w:val="000000"/>
              </w:rPr>
            </w:pPr>
            <w:r>
              <w:rPr>
                <w:color w:val="000000"/>
              </w:rPr>
              <w:t>5.4</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Working-Skilled</w:t>
            </w:r>
          </w:p>
        </w:tc>
        <w:tc>
          <w:tcPr>
            <w:tcW w:w="651" w:type="pct"/>
            <w:noWrap/>
            <w:vAlign w:val="bottom"/>
          </w:tcPr>
          <w:p w:rsidR="00DA49AC" w:rsidRPr="00D86156" w:rsidRDefault="00DA49AC" w:rsidP="00B61819">
            <w:pPr>
              <w:spacing w:line="240" w:lineRule="auto"/>
              <w:jc w:val="center"/>
              <w:rPr>
                <w:color w:val="000000"/>
              </w:rPr>
            </w:pPr>
            <w:r>
              <w:rPr>
                <w:color w:val="000000"/>
              </w:rPr>
              <w:t>0.5</w:t>
            </w:r>
          </w:p>
        </w:tc>
        <w:tc>
          <w:tcPr>
            <w:tcW w:w="651" w:type="pct"/>
            <w:noWrap/>
            <w:vAlign w:val="bottom"/>
          </w:tcPr>
          <w:p w:rsidR="00DA49AC" w:rsidRPr="00D86156" w:rsidRDefault="00DA49AC" w:rsidP="00B61819">
            <w:pPr>
              <w:spacing w:line="240" w:lineRule="auto"/>
              <w:jc w:val="center"/>
              <w:rPr>
                <w:color w:val="000000"/>
              </w:rPr>
            </w:pPr>
            <w:r>
              <w:rPr>
                <w:color w:val="000000"/>
              </w:rPr>
              <w:t>0.3</w:t>
            </w:r>
          </w:p>
        </w:tc>
        <w:tc>
          <w:tcPr>
            <w:tcW w:w="651" w:type="pct"/>
            <w:noWrap/>
            <w:vAlign w:val="bottom"/>
          </w:tcPr>
          <w:p w:rsidR="00DA49AC" w:rsidRPr="00D86156" w:rsidRDefault="00DA49AC" w:rsidP="00B61819">
            <w:pPr>
              <w:spacing w:line="240" w:lineRule="auto"/>
              <w:jc w:val="center"/>
              <w:rPr>
                <w:color w:val="000000"/>
              </w:rPr>
            </w:pPr>
            <w:r>
              <w:rPr>
                <w:color w:val="000000"/>
              </w:rPr>
              <w:t>0.4</w:t>
            </w:r>
          </w:p>
        </w:tc>
        <w:tc>
          <w:tcPr>
            <w:tcW w:w="651" w:type="pct"/>
            <w:noWrap/>
            <w:vAlign w:val="bottom"/>
          </w:tcPr>
          <w:p w:rsidR="00DA49AC" w:rsidRPr="00D86156" w:rsidRDefault="00DA49AC" w:rsidP="00B61819">
            <w:pPr>
              <w:spacing w:line="240" w:lineRule="auto"/>
              <w:jc w:val="center"/>
              <w:rPr>
                <w:color w:val="000000"/>
              </w:rPr>
            </w:pPr>
            <w:r>
              <w:rPr>
                <w:color w:val="000000"/>
              </w:rPr>
              <w:t>0.5</w:t>
            </w:r>
          </w:p>
        </w:tc>
        <w:tc>
          <w:tcPr>
            <w:tcW w:w="652" w:type="pct"/>
            <w:noWrap/>
            <w:vAlign w:val="bottom"/>
          </w:tcPr>
          <w:p w:rsidR="00DA49AC" w:rsidRPr="00D86156" w:rsidRDefault="00DA49AC" w:rsidP="00B61819">
            <w:pPr>
              <w:spacing w:line="240" w:lineRule="auto"/>
              <w:jc w:val="center"/>
              <w:rPr>
                <w:color w:val="000000"/>
              </w:rPr>
            </w:pPr>
            <w:r>
              <w:rPr>
                <w:color w:val="000000"/>
              </w:rPr>
              <w:t>0.4</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Working-Unskilled</w:t>
            </w:r>
          </w:p>
        </w:tc>
        <w:tc>
          <w:tcPr>
            <w:tcW w:w="651" w:type="pct"/>
            <w:noWrap/>
            <w:vAlign w:val="bottom"/>
          </w:tcPr>
          <w:p w:rsidR="00DA49AC" w:rsidRPr="00D86156" w:rsidRDefault="00DA49AC" w:rsidP="00B61819">
            <w:pPr>
              <w:spacing w:line="240" w:lineRule="auto"/>
              <w:jc w:val="center"/>
              <w:rPr>
                <w:color w:val="000000"/>
              </w:rPr>
            </w:pPr>
            <w:r>
              <w:rPr>
                <w:color w:val="000000"/>
              </w:rPr>
              <w:t>0.0</w:t>
            </w:r>
          </w:p>
        </w:tc>
        <w:tc>
          <w:tcPr>
            <w:tcW w:w="651" w:type="pct"/>
            <w:noWrap/>
            <w:vAlign w:val="bottom"/>
          </w:tcPr>
          <w:p w:rsidR="00DA49AC" w:rsidRPr="00D86156" w:rsidRDefault="00DA49AC" w:rsidP="00B61819">
            <w:pPr>
              <w:spacing w:line="240" w:lineRule="auto"/>
              <w:jc w:val="center"/>
              <w:rPr>
                <w:color w:val="000000"/>
              </w:rPr>
            </w:pPr>
            <w:r>
              <w:rPr>
                <w:color w:val="000000"/>
              </w:rPr>
              <w:t>0.0</w:t>
            </w:r>
          </w:p>
        </w:tc>
        <w:tc>
          <w:tcPr>
            <w:tcW w:w="651" w:type="pct"/>
            <w:noWrap/>
            <w:vAlign w:val="bottom"/>
          </w:tcPr>
          <w:p w:rsidR="00DA49AC" w:rsidRPr="00D86156" w:rsidRDefault="00DA49AC" w:rsidP="00B61819">
            <w:pPr>
              <w:spacing w:line="240" w:lineRule="auto"/>
              <w:jc w:val="center"/>
              <w:rPr>
                <w:color w:val="000000"/>
              </w:rPr>
            </w:pPr>
            <w:r>
              <w:rPr>
                <w:color w:val="000000"/>
              </w:rPr>
              <w:t>0.1</w:t>
            </w:r>
          </w:p>
        </w:tc>
        <w:tc>
          <w:tcPr>
            <w:tcW w:w="651" w:type="pct"/>
            <w:noWrap/>
            <w:vAlign w:val="bottom"/>
          </w:tcPr>
          <w:p w:rsidR="00DA49AC" w:rsidRPr="00D86156" w:rsidRDefault="00DA49AC" w:rsidP="00B61819">
            <w:pPr>
              <w:spacing w:line="240" w:lineRule="auto"/>
              <w:jc w:val="center"/>
              <w:rPr>
                <w:color w:val="000000"/>
              </w:rPr>
            </w:pPr>
            <w:r>
              <w:rPr>
                <w:color w:val="000000"/>
              </w:rPr>
              <w:t>0.0</w:t>
            </w:r>
          </w:p>
        </w:tc>
        <w:tc>
          <w:tcPr>
            <w:tcW w:w="652" w:type="pct"/>
            <w:noWrap/>
            <w:vAlign w:val="bottom"/>
          </w:tcPr>
          <w:p w:rsidR="00DA49AC" w:rsidRPr="00D86156" w:rsidRDefault="00DA49AC" w:rsidP="00B61819">
            <w:pPr>
              <w:spacing w:line="240" w:lineRule="auto"/>
              <w:jc w:val="center"/>
              <w:rPr>
                <w:color w:val="000000"/>
              </w:rPr>
            </w:pPr>
            <w:r>
              <w:rPr>
                <w:color w:val="000000"/>
              </w:rPr>
              <w:t>0.1</w:t>
            </w:r>
          </w:p>
        </w:tc>
      </w:tr>
      <w:tr w:rsidR="00DA49AC" w:rsidRPr="003301F4" w:rsidTr="00B61819">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Politician</w:t>
            </w:r>
          </w:p>
        </w:tc>
        <w:tc>
          <w:tcPr>
            <w:tcW w:w="651" w:type="pct"/>
            <w:noWrap/>
            <w:vAlign w:val="bottom"/>
          </w:tcPr>
          <w:p w:rsidR="00DA49AC" w:rsidRPr="00D86156" w:rsidRDefault="00DA49AC" w:rsidP="00B61819">
            <w:pPr>
              <w:spacing w:line="240" w:lineRule="auto"/>
              <w:jc w:val="center"/>
              <w:rPr>
                <w:color w:val="000000"/>
              </w:rPr>
            </w:pPr>
            <w:r>
              <w:rPr>
                <w:color w:val="000000"/>
              </w:rPr>
              <w:t>0.3</w:t>
            </w:r>
          </w:p>
        </w:tc>
        <w:tc>
          <w:tcPr>
            <w:tcW w:w="651" w:type="pct"/>
            <w:noWrap/>
            <w:vAlign w:val="bottom"/>
          </w:tcPr>
          <w:p w:rsidR="00DA49AC" w:rsidRPr="00D86156" w:rsidRDefault="00DA49AC" w:rsidP="00B61819">
            <w:pPr>
              <w:spacing w:line="240" w:lineRule="auto"/>
              <w:jc w:val="center"/>
              <w:rPr>
                <w:color w:val="000000"/>
              </w:rPr>
            </w:pPr>
            <w:r>
              <w:rPr>
                <w:color w:val="000000"/>
              </w:rPr>
              <w:t>0.5</w:t>
            </w:r>
          </w:p>
        </w:tc>
        <w:tc>
          <w:tcPr>
            <w:tcW w:w="651" w:type="pct"/>
            <w:noWrap/>
            <w:vAlign w:val="bottom"/>
          </w:tcPr>
          <w:p w:rsidR="00DA49AC" w:rsidRPr="00D86156" w:rsidRDefault="00DA49AC" w:rsidP="00B61819">
            <w:pPr>
              <w:spacing w:line="240" w:lineRule="auto"/>
              <w:jc w:val="center"/>
              <w:rPr>
                <w:color w:val="000000"/>
              </w:rPr>
            </w:pPr>
            <w:r>
              <w:rPr>
                <w:color w:val="000000"/>
              </w:rPr>
              <w:t>0.8</w:t>
            </w:r>
          </w:p>
        </w:tc>
        <w:tc>
          <w:tcPr>
            <w:tcW w:w="651" w:type="pct"/>
            <w:noWrap/>
            <w:vAlign w:val="bottom"/>
          </w:tcPr>
          <w:p w:rsidR="00DA49AC" w:rsidRPr="00D86156" w:rsidRDefault="00DA49AC" w:rsidP="00B61819">
            <w:pPr>
              <w:spacing w:line="240" w:lineRule="auto"/>
              <w:jc w:val="center"/>
              <w:rPr>
                <w:color w:val="000000"/>
              </w:rPr>
            </w:pPr>
            <w:r>
              <w:rPr>
                <w:color w:val="000000"/>
              </w:rPr>
              <w:t>0.4</w:t>
            </w:r>
          </w:p>
        </w:tc>
        <w:tc>
          <w:tcPr>
            <w:tcW w:w="652" w:type="pct"/>
            <w:noWrap/>
            <w:vAlign w:val="bottom"/>
          </w:tcPr>
          <w:p w:rsidR="00DA49AC" w:rsidRPr="00D86156" w:rsidRDefault="00DA49AC" w:rsidP="00B61819">
            <w:pPr>
              <w:spacing w:line="240" w:lineRule="auto"/>
              <w:jc w:val="center"/>
              <w:rPr>
                <w:color w:val="000000"/>
              </w:rPr>
            </w:pPr>
            <w:r>
              <w:rPr>
                <w:color w:val="000000"/>
              </w:rPr>
              <w:t>0.7</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Pr>
                <w:color w:val="000000"/>
              </w:rPr>
              <w:t xml:space="preserve">Executor </w:t>
            </w:r>
            <w:r w:rsidRPr="00D86156">
              <w:rPr>
                <w:color w:val="000000"/>
              </w:rPr>
              <w:t>/</w:t>
            </w:r>
            <w:r>
              <w:rPr>
                <w:color w:val="000000"/>
              </w:rPr>
              <w:t xml:space="preserve"> </w:t>
            </w:r>
            <w:r w:rsidRPr="00D86156">
              <w:rPr>
                <w:color w:val="000000"/>
              </w:rPr>
              <w:t>Trust</w:t>
            </w:r>
          </w:p>
        </w:tc>
        <w:tc>
          <w:tcPr>
            <w:tcW w:w="651" w:type="pct"/>
            <w:noWrap/>
            <w:vAlign w:val="bottom"/>
          </w:tcPr>
          <w:p w:rsidR="00DA49AC" w:rsidRPr="00D86156" w:rsidRDefault="00DA49AC" w:rsidP="00B61819">
            <w:pPr>
              <w:spacing w:line="240" w:lineRule="auto"/>
              <w:jc w:val="center"/>
              <w:rPr>
                <w:color w:val="000000"/>
              </w:rPr>
            </w:pPr>
            <w:r>
              <w:rPr>
                <w:color w:val="000000"/>
              </w:rPr>
              <w:t>0.2</w:t>
            </w:r>
          </w:p>
        </w:tc>
        <w:tc>
          <w:tcPr>
            <w:tcW w:w="651" w:type="pct"/>
            <w:noWrap/>
            <w:vAlign w:val="bottom"/>
          </w:tcPr>
          <w:p w:rsidR="00DA49AC" w:rsidRPr="00D86156" w:rsidRDefault="00DA49AC" w:rsidP="00B61819">
            <w:pPr>
              <w:spacing w:line="240" w:lineRule="auto"/>
              <w:jc w:val="center"/>
              <w:rPr>
                <w:color w:val="000000"/>
              </w:rPr>
            </w:pPr>
            <w:r>
              <w:rPr>
                <w:color w:val="000000"/>
              </w:rPr>
              <w:t>0.8</w:t>
            </w:r>
          </w:p>
        </w:tc>
        <w:tc>
          <w:tcPr>
            <w:tcW w:w="651" w:type="pct"/>
            <w:noWrap/>
            <w:vAlign w:val="bottom"/>
          </w:tcPr>
          <w:p w:rsidR="00DA49AC" w:rsidRPr="00D86156" w:rsidRDefault="00DA49AC" w:rsidP="00B61819">
            <w:pPr>
              <w:spacing w:line="240" w:lineRule="auto"/>
              <w:jc w:val="center"/>
              <w:rPr>
                <w:color w:val="000000"/>
              </w:rPr>
            </w:pPr>
            <w:r>
              <w:rPr>
                <w:color w:val="000000"/>
              </w:rPr>
              <w:t>0.8</w:t>
            </w:r>
          </w:p>
        </w:tc>
        <w:tc>
          <w:tcPr>
            <w:tcW w:w="651" w:type="pct"/>
            <w:noWrap/>
            <w:vAlign w:val="bottom"/>
          </w:tcPr>
          <w:p w:rsidR="00DA49AC" w:rsidRPr="00D86156" w:rsidRDefault="00DA49AC" w:rsidP="00B61819">
            <w:pPr>
              <w:spacing w:line="240" w:lineRule="auto"/>
              <w:jc w:val="center"/>
              <w:rPr>
                <w:color w:val="000000"/>
              </w:rPr>
            </w:pPr>
            <w:r>
              <w:rPr>
                <w:color w:val="000000"/>
              </w:rPr>
              <w:t>4.7</w:t>
            </w:r>
          </w:p>
        </w:tc>
        <w:tc>
          <w:tcPr>
            <w:tcW w:w="652" w:type="pct"/>
            <w:noWrap/>
            <w:vAlign w:val="bottom"/>
          </w:tcPr>
          <w:p w:rsidR="00DA49AC" w:rsidRPr="00D86156" w:rsidRDefault="00DA49AC" w:rsidP="00B61819">
            <w:pPr>
              <w:spacing w:line="240" w:lineRule="auto"/>
              <w:jc w:val="center"/>
              <w:rPr>
                <w:color w:val="000000"/>
              </w:rPr>
            </w:pPr>
            <w:r>
              <w:rPr>
                <w:color w:val="000000"/>
              </w:rPr>
              <w:t>0.4</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Unknown</w:t>
            </w:r>
            <w:r>
              <w:rPr>
                <w:color w:val="000000"/>
              </w:rPr>
              <w:t xml:space="preserve"> (males)</w:t>
            </w:r>
          </w:p>
        </w:tc>
        <w:tc>
          <w:tcPr>
            <w:tcW w:w="651" w:type="pct"/>
            <w:noWrap/>
            <w:vAlign w:val="bottom"/>
          </w:tcPr>
          <w:p w:rsidR="00DA49AC" w:rsidRPr="00D86156" w:rsidRDefault="00DA49AC" w:rsidP="00B61819">
            <w:pPr>
              <w:spacing w:line="240" w:lineRule="auto"/>
              <w:jc w:val="center"/>
              <w:rPr>
                <w:color w:val="000000"/>
              </w:rPr>
            </w:pPr>
            <w:r>
              <w:rPr>
                <w:color w:val="000000"/>
              </w:rPr>
              <w:t>1.1</w:t>
            </w:r>
          </w:p>
        </w:tc>
        <w:tc>
          <w:tcPr>
            <w:tcW w:w="651" w:type="pct"/>
            <w:noWrap/>
            <w:vAlign w:val="bottom"/>
          </w:tcPr>
          <w:p w:rsidR="00DA49AC" w:rsidRPr="00D86156" w:rsidRDefault="00DA49AC" w:rsidP="00B61819">
            <w:pPr>
              <w:spacing w:line="240" w:lineRule="auto"/>
              <w:jc w:val="center"/>
              <w:rPr>
                <w:color w:val="000000"/>
              </w:rPr>
            </w:pPr>
            <w:r>
              <w:rPr>
                <w:color w:val="000000"/>
              </w:rPr>
              <w:t>0.7</w:t>
            </w:r>
          </w:p>
        </w:tc>
        <w:tc>
          <w:tcPr>
            <w:tcW w:w="651" w:type="pct"/>
            <w:noWrap/>
            <w:vAlign w:val="bottom"/>
          </w:tcPr>
          <w:p w:rsidR="00DA49AC" w:rsidRPr="00D86156" w:rsidRDefault="00DA49AC" w:rsidP="00B61819">
            <w:pPr>
              <w:spacing w:line="240" w:lineRule="auto"/>
              <w:jc w:val="center"/>
              <w:rPr>
                <w:color w:val="000000"/>
              </w:rPr>
            </w:pPr>
            <w:r>
              <w:rPr>
                <w:color w:val="000000"/>
              </w:rPr>
              <w:t>1.3</w:t>
            </w:r>
          </w:p>
        </w:tc>
        <w:tc>
          <w:tcPr>
            <w:tcW w:w="651" w:type="pct"/>
            <w:noWrap/>
            <w:vAlign w:val="bottom"/>
          </w:tcPr>
          <w:p w:rsidR="00DA49AC" w:rsidRPr="00D86156" w:rsidRDefault="00DA49AC" w:rsidP="00B61819">
            <w:pPr>
              <w:spacing w:line="240" w:lineRule="auto"/>
              <w:jc w:val="center"/>
              <w:rPr>
                <w:color w:val="000000"/>
              </w:rPr>
            </w:pPr>
            <w:r>
              <w:rPr>
                <w:color w:val="000000"/>
              </w:rPr>
              <w:t>2.0</w:t>
            </w:r>
          </w:p>
        </w:tc>
        <w:tc>
          <w:tcPr>
            <w:tcW w:w="652" w:type="pct"/>
            <w:noWrap/>
            <w:vAlign w:val="bottom"/>
          </w:tcPr>
          <w:p w:rsidR="00DA49AC" w:rsidRPr="00D86156" w:rsidRDefault="00DA49AC" w:rsidP="00B61819">
            <w:pPr>
              <w:spacing w:line="240" w:lineRule="auto"/>
              <w:jc w:val="center"/>
              <w:rPr>
                <w:color w:val="000000"/>
              </w:rPr>
            </w:pPr>
            <w:r>
              <w:rPr>
                <w:color w:val="000000"/>
              </w:rPr>
              <w:t>1.1</w:t>
            </w: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p>
        </w:tc>
        <w:tc>
          <w:tcPr>
            <w:tcW w:w="651" w:type="pct"/>
            <w:noWrap/>
            <w:vAlign w:val="bottom"/>
          </w:tcPr>
          <w:p w:rsidR="00DA49AC" w:rsidRPr="00D86156" w:rsidRDefault="00DA49AC" w:rsidP="00B61819">
            <w:pPr>
              <w:spacing w:line="240" w:lineRule="auto"/>
              <w:jc w:val="center"/>
              <w:rPr>
                <w:color w:val="000000"/>
              </w:rPr>
            </w:pPr>
          </w:p>
        </w:tc>
        <w:tc>
          <w:tcPr>
            <w:tcW w:w="651" w:type="pct"/>
            <w:noWrap/>
            <w:vAlign w:val="bottom"/>
          </w:tcPr>
          <w:p w:rsidR="00DA49AC" w:rsidRPr="00D86156" w:rsidRDefault="00DA49AC" w:rsidP="00B61819">
            <w:pPr>
              <w:spacing w:line="240" w:lineRule="auto"/>
              <w:jc w:val="center"/>
              <w:rPr>
                <w:color w:val="000000"/>
              </w:rPr>
            </w:pPr>
          </w:p>
        </w:tc>
        <w:tc>
          <w:tcPr>
            <w:tcW w:w="651" w:type="pct"/>
            <w:noWrap/>
            <w:vAlign w:val="bottom"/>
          </w:tcPr>
          <w:p w:rsidR="00DA49AC" w:rsidRPr="00D86156" w:rsidRDefault="00DA49AC" w:rsidP="00B61819">
            <w:pPr>
              <w:spacing w:line="240" w:lineRule="auto"/>
              <w:jc w:val="center"/>
              <w:rPr>
                <w:color w:val="000000"/>
              </w:rPr>
            </w:pPr>
          </w:p>
        </w:tc>
        <w:tc>
          <w:tcPr>
            <w:tcW w:w="651" w:type="pct"/>
            <w:noWrap/>
            <w:vAlign w:val="bottom"/>
          </w:tcPr>
          <w:p w:rsidR="00DA49AC" w:rsidRPr="00D86156" w:rsidRDefault="00DA49AC" w:rsidP="00B61819">
            <w:pPr>
              <w:spacing w:line="240" w:lineRule="auto"/>
              <w:jc w:val="center"/>
              <w:rPr>
                <w:color w:val="000000"/>
              </w:rPr>
            </w:pPr>
          </w:p>
        </w:tc>
        <w:tc>
          <w:tcPr>
            <w:tcW w:w="652" w:type="pct"/>
            <w:noWrap/>
            <w:vAlign w:val="bottom"/>
          </w:tcPr>
          <w:p w:rsidR="00DA49AC" w:rsidRPr="00D86156" w:rsidRDefault="00DA49AC" w:rsidP="00B61819">
            <w:pPr>
              <w:spacing w:line="240" w:lineRule="auto"/>
              <w:jc w:val="center"/>
              <w:rPr>
                <w:color w:val="000000"/>
              </w:rPr>
            </w:pPr>
          </w:p>
        </w:tc>
      </w:tr>
      <w:tr w:rsidR="00DA49AC" w:rsidRPr="003301F4" w:rsidTr="009C4896">
        <w:trPr>
          <w:trHeight w:val="300"/>
          <w:jc w:val="center"/>
        </w:trPr>
        <w:tc>
          <w:tcPr>
            <w:tcW w:w="1743" w:type="pct"/>
            <w:noWrap/>
            <w:vAlign w:val="bottom"/>
          </w:tcPr>
          <w:p w:rsidR="00DA49AC" w:rsidRPr="00D86156" w:rsidRDefault="00DA49AC" w:rsidP="00B61819">
            <w:pPr>
              <w:spacing w:line="240" w:lineRule="auto"/>
              <w:rPr>
                <w:color w:val="000000"/>
              </w:rPr>
            </w:pPr>
            <w:r w:rsidRPr="00D86156">
              <w:rPr>
                <w:color w:val="000000"/>
              </w:rPr>
              <w:t>Total</w:t>
            </w:r>
          </w:p>
        </w:tc>
        <w:tc>
          <w:tcPr>
            <w:tcW w:w="651" w:type="pct"/>
            <w:noWrap/>
            <w:vAlign w:val="bottom"/>
          </w:tcPr>
          <w:p w:rsidR="00DA49AC" w:rsidRPr="00D86156" w:rsidRDefault="00DA49AC" w:rsidP="00B61819">
            <w:pPr>
              <w:spacing w:line="240" w:lineRule="auto"/>
              <w:jc w:val="center"/>
              <w:rPr>
                <w:color w:val="000000"/>
              </w:rPr>
            </w:pPr>
            <w:r>
              <w:rPr>
                <w:color w:val="000000"/>
              </w:rPr>
              <w:t>100.0</w:t>
            </w:r>
          </w:p>
        </w:tc>
        <w:tc>
          <w:tcPr>
            <w:tcW w:w="651" w:type="pct"/>
            <w:noWrap/>
            <w:vAlign w:val="bottom"/>
          </w:tcPr>
          <w:p w:rsidR="00DA49AC" w:rsidRPr="00D86156" w:rsidRDefault="00DA49AC" w:rsidP="00B61819">
            <w:pPr>
              <w:spacing w:line="240" w:lineRule="auto"/>
              <w:jc w:val="center"/>
              <w:rPr>
                <w:color w:val="000000"/>
              </w:rPr>
            </w:pPr>
            <w:r>
              <w:rPr>
                <w:color w:val="000000"/>
              </w:rPr>
              <w:t>100.0</w:t>
            </w:r>
          </w:p>
        </w:tc>
        <w:tc>
          <w:tcPr>
            <w:tcW w:w="651" w:type="pct"/>
            <w:noWrap/>
            <w:vAlign w:val="bottom"/>
          </w:tcPr>
          <w:p w:rsidR="00DA49AC" w:rsidRPr="00D86156" w:rsidRDefault="00DA49AC" w:rsidP="00B61819">
            <w:pPr>
              <w:spacing w:line="240" w:lineRule="auto"/>
              <w:jc w:val="center"/>
              <w:rPr>
                <w:color w:val="000000"/>
              </w:rPr>
            </w:pPr>
            <w:r>
              <w:rPr>
                <w:color w:val="000000"/>
              </w:rPr>
              <w:t>100.0</w:t>
            </w:r>
          </w:p>
        </w:tc>
        <w:tc>
          <w:tcPr>
            <w:tcW w:w="651" w:type="pct"/>
            <w:noWrap/>
            <w:vAlign w:val="bottom"/>
          </w:tcPr>
          <w:p w:rsidR="00DA49AC" w:rsidRPr="00D86156" w:rsidRDefault="00DA49AC" w:rsidP="00B61819">
            <w:pPr>
              <w:spacing w:line="240" w:lineRule="auto"/>
              <w:jc w:val="center"/>
              <w:rPr>
                <w:color w:val="000000"/>
              </w:rPr>
            </w:pPr>
            <w:r>
              <w:rPr>
                <w:color w:val="000000"/>
              </w:rPr>
              <w:t>100.0</w:t>
            </w:r>
          </w:p>
        </w:tc>
        <w:tc>
          <w:tcPr>
            <w:tcW w:w="652" w:type="pct"/>
            <w:noWrap/>
            <w:vAlign w:val="bottom"/>
          </w:tcPr>
          <w:p w:rsidR="00DA49AC" w:rsidRPr="00D86156" w:rsidRDefault="00DA49AC" w:rsidP="00B61819">
            <w:pPr>
              <w:spacing w:line="240" w:lineRule="auto"/>
              <w:jc w:val="center"/>
              <w:rPr>
                <w:color w:val="000000"/>
              </w:rPr>
            </w:pPr>
            <w:r>
              <w:rPr>
                <w:color w:val="000000"/>
              </w:rPr>
              <w:t>100.0</w:t>
            </w:r>
          </w:p>
        </w:tc>
      </w:tr>
      <w:tr w:rsidR="00DA49AC" w:rsidRPr="003301F4" w:rsidTr="007A761D">
        <w:trPr>
          <w:trHeight w:val="300"/>
          <w:jc w:val="center"/>
        </w:trPr>
        <w:tc>
          <w:tcPr>
            <w:tcW w:w="1743" w:type="pct"/>
            <w:tcBorders>
              <w:bottom w:val="nil"/>
            </w:tcBorders>
            <w:noWrap/>
            <w:vAlign w:val="bottom"/>
          </w:tcPr>
          <w:p w:rsidR="00DA49AC" w:rsidRPr="00D86156" w:rsidRDefault="00DA49AC" w:rsidP="00B61819">
            <w:pPr>
              <w:spacing w:line="240" w:lineRule="auto"/>
              <w:rPr>
                <w:color w:val="000000"/>
              </w:rPr>
            </w:pPr>
          </w:p>
        </w:tc>
        <w:tc>
          <w:tcPr>
            <w:tcW w:w="651" w:type="pct"/>
            <w:tcBorders>
              <w:bottom w:val="nil"/>
            </w:tcBorders>
            <w:noWrap/>
            <w:vAlign w:val="bottom"/>
          </w:tcPr>
          <w:p w:rsidR="00DA49AC" w:rsidRPr="00D86156" w:rsidRDefault="00DA49AC" w:rsidP="00B61819">
            <w:pPr>
              <w:spacing w:line="240" w:lineRule="auto"/>
              <w:jc w:val="center"/>
              <w:rPr>
                <w:color w:val="000000"/>
              </w:rPr>
            </w:pPr>
          </w:p>
        </w:tc>
        <w:tc>
          <w:tcPr>
            <w:tcW w:w="651" w:type="pct"/>
            <w:tcBorders>
              <w:bottom w:val="nil"/>
            </w:tcBorders>
            <w:noWrap/>
            <w:vAlign w:val="bottom"/>
          </w:tcPr>
          <w:p w:rsidR="00DA49AC" w:rsidRPr="00D86156" w:rsidRDefault="00DA49AC" w:rsidP="00B61819">
            <w:pPr>
              <w:spacing w:line="240" w:lineRule="auto"/>
              <w:jc w:val="center"/>
              <w:rPr>
                <w:color w:val="000000"/>
              </w:rPr>
            </w:pPr>
          </w:p>
        </w:tc>
        <w:tc>
          <w:tcPr>
            <w:tcW w:w="651" w:type="pct"/>
            <w:tcBorders>
              <w:bottom w:val="nil"/>
            </w:tcBorders>
            <w:noWrap/>
            <w:vAlign w:val="bottom"/>
          </w:tcPr>
          <w:p w:rsidR="00DA49AC" w:rsidRPr="00D86156" w:rsidRDefault="00DA49AC" w:rsidP="00B61819">
            <w:pPr>
              <w:spacing w:line="240" w:lineRule="auto"/>
              <w:jc w:val="center"/>
              <w:rPr>
                <w:color w:val="000000"/>
              </w:rPr>
            </w:pPr>
          </w:p>
        </w:tc>
        <w:tc>
          <w:tcPr>
            <w:tcW w:w="651" w:type="pct"/>
            <w:tcBorders>
              <w:bottom w:val="nil"/>
            </w:tcBorders>
            <w:noWrap/>
            <w:vAlign w:val="bottom"/>
          </w:tcPr>
          <w:p w:rsidR="00DA49AC" w:rsidRPr="00D86156" w:rsidRDefault="00DA49AC" w:rsidP="00B61819">
            <w:pPr>
              <w:spacing w:line="240" w:lineRule="auto"/>
              <w:jc w:val="center"/>
              <w:rPr>
                <w:color w:val="000000"/>
              </w:rPr>
            </w:pPr>
          </w:p>
        </w:tc>
        <w:tc>
          <w:tcPr>
            <w:tcW w:w="652" w:type="pct"/>
            <w:tcBorders>
              <w:bottom w:val="nil"/>
            </w:tcBorders>
            <w:noWrap/>
            <w:vAlign w:val="bottom"/>
          </w:tcPr>
          <w:p w:rsidR="00DA49AC" w:rsidRPr="00D86156" w:rsidRDefault="00DA49AC" w:rsidP="00B61819">
            <w:pPr>
              <w:spacing w:line="240" w:lineRule="auto"/>
              <w:jc w:val="center"/>
              <w:rPr>
                <w:color w:val="000000"/>
              </w:rPr>
            </w:pPr>
          </w:p>
        </w:tc>
      </w:tr>
      <w:tr w:rsidR="00DA49AC" w:rsidRPr="003301F4" w:rsidTr="007A761D">
        <w:trPr>
          <w:trHeight w:val="300"/>
          <w:jc w:val="center"/>
        </w:trPr>
        <w:tc>
          <w:tcPr>
            <w:tcW w:w="1743" w:type="pct"/>
            <w:tcBorders>
              <w:bottom w:val="nil"/>
            </w:tcBorders>
            <w:noWrap/>
            <w:vAlign w:val="bottom"/>
          </w:tcPr>
          <w:p w:rsidR="00DA49AC" w:rsidRPr="00D86156" w:rsidRDefault="00DA49AC" w:rsidP="0027220E">
            <w:pPr>
              <w:spacing w:line="240" w:lineRule="auto"/>
              <w:rPr>
                <w:color w:val="000000"/>
              </w:rPr>
            </w:pPr>
            <w:r>
              <w:rPr>
                <w:color w:val="000000"/>
              </w:rPr>
              <w:t>No. of company-years</w:t>
            </w:r>
          </w:p>
        </w:tc>
        <w:tc>
          <w:tcPr>
            <w:tcW w:w="651" w:type="pct"/>
            <w:tcBorders>
              <w:bottom w:val="nil"/>
            </w:tcBorders>
            <w:noWrap/>
            <w:vAlign w:val="bottom"/>
          </w:tcPr>
          <w:p w:rsidR="00DA49AC" w:rsidRPr="00D86156" w:rsidRDefault="00DA49AC" w:rsidP="00B61819">
            <w:pPr>
              <w:spacing w:line="240" w:lineRule="auto"/>
              <w:jc w:val="center"/>
              <w:rPr>
                <w:color w:val="000000"/>
              </w:rPr>
            </w:pPr>
            <w:r>
              <w:rPr>
                <w:color w:val="000000"/>
              </w:rPr>
              <w:t>99</w:t>
            </w:r>
          </w:p>
        </w:tc>
        <w:tc>
          <w:tcPr>
            <w:tcW w:w="651" w:type="pct"/>
            <w:tcBorders>
              <w:bottom w:val="nil"/>
            </w:tcBorders>
            <w:noWrap/>
            <w:vAlign w:val="bottom"/>
          </w:tcPr>
          <w:p w:rsidR="00DA49AC" w:rsidRPr="00D86156" w:rsidRDefault="00DA49AC" w:rsidP="00B61819">
            <w:pPr>
              <w:spacing w:line="240" w:lineRule="auto"/>
              <w:jc w:val="center"/>
              <w:rPr>
                <w:color w:val="000000"/>
              </w:rPr>
            </w:pPr>
            <w:r>
              <w:rPr>
                <w:color w:val="000000"/>
              </w:rPr>
              <w:t>63</w:t>
            </w:r>
          </w:p>
        </w:tc>
        <w:tc>
          <w:tcPr>
            <w:tcW w:w="651" w:type="pct"/>
            <w:tcBorders>
              <w:bottom w:val="nil"/>
            </w:tcBorders>
            <w:noWrap/>
            <w:vAlign w:val="bottom"/>
          </w:tcPr>
          <w:p w:rsidR="00DA49AC" w:rsidRPr="00D86156" w:rsidRDefault="00DA49AC" w:rsidP="00B61819">
            <w:pPr>
              <w:spacing w:line="240" w:lineRule="auto"/>
              <w:jc w:val="center"/>
              <w:rPr>
                <w:color w:val="000000"/>
              </w:rPr>
            </w:pPr>
            <w:r>
              <w:rPr>
                <w:color w:val="000000"/>
              </w:rPr>
              <w:t>126</w:t>
            </w:r>
          </w:p>
        </w:tc>
        <w:tc>
          <w:tcPr>
            <w:tcW w:w="651" w:type="pct"/>
            <w:tcBorders>
              <w:bottom w:val="nil"/>
            </w:tcBorders>
            <w:noWrap/>
            <w:vAlign w:val="bottom"/>
          </w:tcPr>
          <w:p w:rsidR="00DA49AC" w:rsidRPr="00D86156" w:rsidRDefault="00DA49AC" w:rsidP="00B61819">
            <w:pPr>
              <w:spacing w:line="240" w:lineRule="auto"/>
              <w:jc w:val="center"/>
              <w:rPr>
                <w:color w:val="000000"/>
              </w:rPr>
            </w:pPr>
            <w:r>
              <w:rPr>
                <w:color w:val="000000"/>
              </w:rPr>
              <w:t>106</w:t>
            </w:r>
          </w:p>
        </w:tc>
        <w:tc>
          <w:tcPr>
            <w:tcW w:w="652" w:type="pct"/>
            <w:tcBorders>
              <w:bottom w:val="nil"/>
            </w:tcBorders>
            <w:noWrap/>
            <w:vAlign w:val="bottom"/>
          </w:tcPr>
          <w:p w:rsidR="00DA49AC" w:rsidRPr="00D86156" w:rsidRDefault="00DA49AC" w:rsidP="00B61819">
            <w:pPr>
              <w:spacing w:line="240" w:lineRule="auto"/>
              <w:jc w:val="center"/>
              <w:rPr>
                <w:color w:val="000000"/>
              </w:rPr>
            </w:pPr>
            <w:r>
              <w:rPr>
                <w:color w:val="000000"/>
              </w:rPr>
              <w:t>49</w:t>
            </w:r>
          </w:p>
        </w:tc>
      </w:tr>
      <w:tr w:rsidR="00DA49AC" w:rsidRPr="003301F4" w:rsidTr="007A761D">
        <w:trPr>
          <w:trHeight w:val="300"/>
          <w:jc w:val="center"/>
        </w:trPr>
        <w:tc>
          <w:tcPr>
            <w:tcW w:w="1743" w:type="pct"/>
            <w:tcBorders>
              <w:bottom w:val="nil"/>
            </w:tcBorders>
            <w:noWrap/>
            <w:vAlign w:val="bottom"/>
          </w:tcPr>
          <w:p w:rsidR="00DA49AC" w:rsidRPr="00D86156" w:rsidRDefault="00DA49AC" w:rsidP="00DC0C75">
            <w:pPr>
              <w:spacing w:line="240" w:lineRule="auto"/>
              <w:rPr>
                <w:color w:val="000000"/>
              </w:rPr>
            </w:pPr>
            <w:r>
              <w:rPr>
                <w:color w:val="000000"/>
              </w:rPr>
              <w:t>No. of securities</w:t>
            </w:r>
          </w:p>
        </w:tc>
        <w:tc>
          <w:tcPr>
            <w:tcW w:w="651" w:type="pct"/>
            <w:tcBorders>
              <w:bottom w:val="nil"/>
            </w:tcBorders>
            <w:noWrap/>
            <w:vAlign w:val="bottom"/>
          </w:tcPr>
          <w:p w:rsidR="00DA49AC" w:rsidRPr="00D86156" w:rsidRDefault="00DA49AC" w:rsidP="00B61819">
            <w:pPr>
              <w:spacing w:line="240" w:lineRule="auto"/>
              <w:jc w:val="center"/>
              <w:rPr>
                <w:color w:val="000000"/>
              </w:rPr>
            </w:pPr>
            <w:r>
              <w:rPr>
                <w:color w:val="000000"/>
              </w:rPr>
              <w:t>102</w:t>
            </w:r>
          </w:p>
        </w:tc>
        <w:tc>
          <w:tcPr>
            <w:tcW w:w="651" w:type="pct"/>
            <w:tcBorders>
              <w:bottom w:val="nil"/>
            </w:tcBorders>
            <w:noWrap/>
            <w:vAlign w:val="bottom"/>
          </w:tcPr>
          <w:p w:rsidR="00DA49AC" w:rsidRPr="00D86156" w:rsidRDefault="00DA49AC" w:rsidP="00B61819">
            <w:pPr>
              <w:spacing w:line="240" w:lineRule="auto"/>
              <w:jc w:val="center"/>
              <w:rPr>
                <w:color w:val="000000"/>
              </w:rPr>
            </w:pPr>
            <w:r>
              <w:rPr>
                <w:color w:val="000000"/>
              </w:rPr>
              <w:t>66</w:t>
            </w:r>
          </w:p>
        </w:tc>
        <w:tc>
          <w:tcPr>
            <w:tcW w:w="651" w:type="pct"/>
            <w:tcBorders>
              <w:bottom w:val="nil"/>
            </w:tcBorders>
            <w:noWrap/>
            <w:vAlign w:val="bottom"/>
          </w:tcPr>
          <w:p w:rsidR="00DA49AC" w:rsidRPr="00D86156" w:rsidRDefault="00DA49AC" w:rsidP="00B61819">
            <w:pPr>
              <w:spacing w:line="240" w:lineRule="auto"/>
              <w:jc w:val="center"/>
              <w:rPr>
                <w:color w:val="000000"/>
              </w:rPr>
            </w:pPr>
            <w:r>
              <w:rPr>
                <w:color w:val="000000"/>
              </w:rPr>
              <w:t>140</w:t>
            </w:r>
          </w:p>
        </w:tc>
        <w:tc>
          <w:tcPr>
            <w:tcW w:w="651" w:type="pct"/>
            <w:tcBorders>
              <w:bottom w:val="nil"/>
            </w:tcBorders>
            <w:noWrap/>
            <w:vAlign w:val="bottom"/>
          </w:tcPr>
          <w:p w:rsidR="00DA49AC" w:rsidRPr="00D86156" w:rsidRDefault="00DA49AC" w:rsidP="00B61819">
            <w:pPr>
              <w:spacing w:line="240" w:lineRule="auto"/>
              <w:jc w:val="center"/>
              <w:rPr>
                <w:color w:val="000000"/>
              </w:rPr>
            </w:pPr>
            <w:r>
              <w:rPr>
                <w:color w:val="000000"/>
              </w:rPr>
              <w:t>138</w:t>
            </w:r>
          </w:p>
        </w:tc>
        <w:tc>
          <w:tcPr>
            <w:tcW w:w="652" w:type="pct"/>
            <w:tcBorders>
              <w:bottom w:val="nil"/>
            </w:tcBorders>
            <w:noWrap/>
            <w:vAlign w:val="bottom"/>
          </w:tcPr>
          <w:p w:rsidR="00DA49AC" w:rsidRPr="00D86156" w:rsidRDefault="00DA49AC" w:rsidP="00B61819">
            <w:pPr>
              <w:spacing w:line="240" w:lineRule="auto"/>
              <w:jc w:val="center"/>
              <w:rPr>
                <w:color w:val="000000"/>
              </w:rPr>
            </w:pPr>
            <w:r>
              <w:rPr>
                <w:color w:val="000000"/>
              </w:rPr>
              <w:t>66</w:t>
            </w:r>
          </w:p>
        </w:tc>
      </w:tr>
      <w:tr w:rsidR="00DA49AC" w:rsidRPr="003301F4" w:rsidTr="007A761D">
        <w:trPr>
          <w:trHeight w:val="300"/>
          <w:jc w:val="center"/>
        </w:trPr>
        <w:tc>
          <w:tcPr>
            <w:tcW w:w="1743" w:type="pct"/>
            <w:tcBorders>
              <w:top w:val="nil"/>
              <w:bottom w:val="single" w:sz="4" w:space="0" w:color="auto"/>
            </w:tcBorders>
            <w:noWrap/>
            <w:vAlign w:val="bottom"/>
          </w:tcPr>
          <w:p w:rsidR="00DA49AC" w:rsidRPr="00D86156" w:rsidRDefault="00DA49AC" w:rsidP="00B61819">
            <w:pPr>
              <w:spacing w:line="240" w:lineRule="auto"/>
              <w:rPr>
                <w:color w:val="000000"/>
              </w:rPr>
            </w:pPr>
          </w:p>
        </w:tc>
        <w:tc>
          <w:tcPr>
            <w:tcW w:w="651" w:type="pct"/>
            <w:tcBorders>
              <w:top w:val="nil"/>
              <w:bottom w:val="single" w:sz="4" w:space="0" w:color="auto"/>
            </w:tcBorders>
            <w:noWrap/>
            <w:vAlign w:val="bottom"/>
          </w:tcPr>
          <w:p w:rsidR="00DA49AC" w:rsidRPr="00D86156" w:rsidRDefault="00DA49AC" w:rsidP="00B61819">
            <w:pPr>
              <w:spacing w:line="240" w:lineRule="auto"/>
              <w:rPr>
                <w:color w:val="000000"/>
              </w:rPr>
            </w:pPr>
          </w:p>
        </w:tc>
        <w:tc>
          <w:tcPr>
            <w:tcW w:w="651" w:type="pct"/>
            <w:tcBorders>
              <w:top w:val="nil"/>
              <w:bottom w:val="single" w:sz="4" w:space="0" w:color="auto"/>
            </w:tcBorders>
            <w:noWrap/>
            <w:vAlign w:val="bottom"/>
          </w:tcPr>
          <w:p w:rsidR="00DA49AC" w:rsidRPr="00D86156" w:rsidRDefault="00DA49AC" w:rsidP="00B61819">
            <w:pPr>
              <w:spacing w:line="240" w:lineRule="auto"/>
              <w:rPr>
                <w:color w:val="000000"/>
              </w:rPr>
            </w:pPr>
          </w:p>
        </w:tc>
        <w:tc>
          <w:tcPr>
            <w:tcW w:w="651" w:type="pct"/>
            <w:tcBorders>
              <w:top w:val="nil"/>
              <w:bottom w:val="single" w:sz="4" w:space="0" w:color="auto"/>
            </w:tcBorders>
            <w:noWrap/>
            <w:vAlign w:val="bottom"/>
          </w:tcPr>
          <w:p w:rsidR="00DA49AC" w:rsidRPr="00D86156" w:rsidRDefault="00DA49AC" w:rsidP="00B61819">
            <w:pPr>
              <w:spacing w:line="240" w:lineRule="auto"/>
              <w:rPr>
                <w:color w:val="000000"/>
              </w:rPr>
            </w:pPr>
          </w:p>
        </w:tc>
        <w:tc>
          <w:tcPr>
            <w:tcW w:w="651" w:type="pct"/>
            <w:tcBorders>
              <w:top w:val="nil"/>
              <w:bottom w:val="single" w:sz="4" w:space="0" w:color="auto"/>
            </w:tcBorders>
            <w:noWrap/>
            <w:vAlign w:val="bottom"/>
          </w:tcPr>
          <w:p w:rsidR="00DA49AC" w:rsidRPr="00D86156" w:rsidRDefault="00DA49AC" w:rsidP="00B61819">
            <w:pPr>
              <w:spacing w:line="240" w:lineRule="auto"/>
              <w:rPr>
                <w:color w:val="000000"/>
              </w:rPr>
            </w:pPr>
          </w:p>
        </w:tc>
        <w:tc>
          <w:tcPr>
            <w:tcW w:w="652" w:type="pct"/>
            <w:tcBorders>
              <w:top w:val="nil"/>
              <w:bottom w:val="single" w:sz="4" w:space="0" w:color="auto"/>
            </w:tcBorders>
            <w:noWrap/>
            <w:vAlign w:val="bottom"/>
          </w:tcPr>
          <w:p w:rsidR="00DA49AC" w:rsidRPr="00D86156" w:rsidRDefault="00DA49AC" w:rsidP="00B61819">
            <w:pPr>
              <w:spacing w:line="240" w:lineRule="auto"/>
              <w:rPr>
                <w:color w:val="000000"/>
              </w:rPr>
            </w:pPr>
          </w:p>
        </w:tc>
      </w:tr>
    </w:tbl>
    <w:p w:rsidR="00DA49AC" w:rsidRDefault="00DA49AC" w:rsidP="007A761D">
      <w:pPr>
        <w:spacing w:line="240" w:lineRule="auto"/>
      </w:pPr>
      <w:r w:rsidRPr="006D587B">
        <w:rPr>
          <w:i/>
        </w:rPr>
        <w:t>Sources</w:t>
      </w:r>
      <w:r>
        <w:t>: See text</w:t>
      </w:r>
    </w:p>
    <w:p w:rsidR="00DA49AC" w:rsidRDefault="00DA49AC" w:rsidP="007A761D">
      <w:pPr>
        <w:spacing w:line="240" w:lineRule="auto"/>
        <w:jc w:val="both"/>
      </w:pPr>
      <w:r w:rsidRPr="006D587B">
        <w:rPr>
          <w:i/>
        </w:rPr>
        <w:t>Notes</w:t>
      </w:r>
      <w:r>
        <w:t xml:space="preserve">: See text for definitions of occupations.  The number of securities differs from the number of company-years because some companies issued both ordinary and preference shares. There are a few married women who appear to own shares in the 1870s, which was before the passage of the Married Women’s Property Act of 1882 (45 &amp; 46 Vict. c.75). It is likely that these women had recently become widows or had just been married. </w:t>
      </w:r>
    </w:p>
    <w:p w:rsidR="00DA49AC" w:rsidRDefault="00DA49AC" w:rsidP="007A761D">
      <w:pPr>
        <w:spacing w:line="240" w:lineRule="auto"/>
        <w:jc w:val="both"/>
      </w:pPr>
    </w:p>
    <w:p w:rsidR="00DA49AC" w:rsidRDefault="00DA49AC" w:rsidP="007A761D">
      <w:pPr>
        <w:spacing w:line="240" w:lineRule="auto"/>
        <w:jc w:val="both"/>
      </w:pPr>
    </w:p>
    <w:p w:rsidR="00DA49AC" w:rsidRDefault="00DA49AC" w:rsidP="007A761D">
      <w:pPr>
        <w:spacing w:line="240" w:lineRule="auto"/>
        <w:jc w:val="both"/>
      </w:pPr>
    </w:p>
    <w:p w:rsidR="00DA49AC" w:rsidRDefault="00DA49AC" w:rsidP="007A761D">
      <w:pPr>
        <w:spacing w:line="240" w:lineRule="auto"/>
        <w:jc w:val="both"/>
      </w:pPr>
    </w:p>
    <w:p w:rsidR="00DA49AC" w:rsidRDefault="00DA49AC">
      <w:pPr>
        <w:spacing w:line="276" w:lineRule="auto"/>
      </w:pPr>
      <w:r>
        <w:br w:type="page"/>
      </w:r>
    </w:p>
    <w:p w:rsidR="00DA49AC" w:rsidRPr="003D7890" w:rsidRDefault="00DA49AC" w:rsidP="007A761D">
      <w:pPr>
        <w:spacing w:line="240" w:lineRule="auto"/>
        <w:jc w:val="both"/>
        <w:rPr>
          <w:sz w:val="24"/>
          <w:szCs w:val="24"/>
        </w:rPr>
      </w:pPr>
      <w:r w:rsidRPr="00C13182">
        <w:rPr>
          <w:i/>
          <w:sz w:val="24"/>
          <w:szCs w:val="24"/>
        </w:rPr>
        <w:t xml:space="preserve">Table </w:t>
      </w:r>
      <w:r>
        <w:rPr>
          <w:i/>
          <w:sz w:val="24"/>
          <w:szCs w:val="24"/>
        </w:rPr>
        <w:t>4</w:t>
      </w:r>
      <w:r>
        <w:rPr>
          <w:sz w:val="24"/>
          <w:szCs w:val="24"/>
        </w:rPr>
        <w:t>.</w:t>
      </w:r>
      <w:r>
        <w:rPr>
          <w:sz w:val="24"/>
          <w:szCs w:val="24"/>
        </w:rPr>
        <w:tab/>
        <w:t>Change in shareholder constituencies</w:t>
      </w:r>
    </w:p>
    <w:tbl>
      <w:tblPr>
        <w:tblW w:w="4966" w:type="pct"/>
        <w:tblBorders>
          <w:top w:val="double" w:sz="4" w:space="0" w:color="auto"/>
          <w:bottom w:val="double" w:sz="4" w:space="0" w:color="auto"/>
        </w:tblBorders>
        <w:tblLayout w:type="fixed"/>
        <w:tblLook w:val="00A0"/>
      </w:tblPr>
      <w:tblGrid>
        <w:gridCol w:w="3035"/>
        <w:gridCol w:w="1228"/>
        <w:gridCol w:w="1228"/>
        <w:gridCol w:w="1230"/>
        <w:gridCol w:w="1228"/>
        <w:gridCol w:w="1230"/>
      </w:tblGrid>
      <w:tr w:rsidR="00DA49AC" w:rsidRPr="003301F4" w:rsidTr="00EC0F76">
        <w:trPr>
          <w:trHeight w:val="300"/>
        </w:trPr>
        <w:tc>
          <w:tcPr>
            <w:tcW w:w="1653" w:type="pct"/>
            <w:tcBorders>
              <w:top w:val="single" w:sz="4" w:space="0" w:color="auto"/>
            </w:tcBorders>
            <w:noWrap/>
            <w:vAlign w:val="bottom"/>
          </w:tcPr>
          <w:p w:rsidR="00DA49AC" w:rsidRPr="004C62CD" w:rsidRDefault="00DA49AC" w:rsidP="00C005CA">
            <w:pPr>
              <w:spacing w:line="240" w:lineRule="auto"/>
              <w:rPr>
                <w:color w:val="000000"/>
              </w:rPr>
            </w:pPr>
          </w:p>
        </w:tc>
        <w:tc>
          <w:tcPr>
            <w:tcW w:w="669" w:type="pct"/>
            <w:tcBorders>
              <w:top w:val="single" w:sz="4" w:space="0" w:color="auto"/>
              <w:bottom w:val="single" w:sz="4" w:space="0" w:color="auto"/>
            </w:tcBorders>
            <w:noWrap/>
          </w:tcPr>
          <w:p w:rsidR="00DA49AC" w:rsidRPr="003D7890" w:rsidRDefault="00DA49AC" w:rsidP="00EC0F76">
            <w:pPr>
              <w:spacing w:line="240" w:lineRule="auto"/>
              <w:jc w:val="center"/>
              <w:rPr>
                <w:color w:val="000000"/>
              </w:rPr>
            </w:pPr>
            <w:r w:rsidRPr="003D7890">
              <w:rPr>
                <w:color w:val="000000"/>
              </w:rPr>
              <w:t>Mean</w:t>
            </w:r>
          </w:p>
        </w:tc>
        <w:tc>
          <w:tcPr>
            <w:tcW w:w="669" w:type="pct"/>
            <w:tcBorders>
              <w:top w:val="single" w:sz="4" w:space="0" w:color="auto"/>
              <w:bottom w:val="single" w:sz="4" w:space="0" w:color="auto"/>
            </w:tcBorders>
            <w:noWrap/>
          </w:tcPr>
          <w:p w:rsidR="00DA49AC" w:rsidRPr="003D7890" w:rsidRDefault="00DA49AC" w:rsidP="00EC0F76">
            <w:pPr>
              <w:spacing w:line="240" w:lineRule="auto"/>
              <w:jc w:val="center"/>
              <w:rPr>
                <w:color w:val="000000"/>
              </w:rPr>
            </w:pPr>
            <w:r w:rsidRPr="003D7890">
              <w:rPr>
                <w:color w:val="000000"/>
              </w:rPr>
              <w:t>St</w:t>
            </w:r>
            <w:r>
              <w:rPr>
                <w:color w:val="000000"/>
              </w:rPr>
              <w:t>andard deviation</w:t>
            </w:r>
          </w:p>
        </w:tc>
        <w:tc>
          <w:tcPr>
            <w:tcW w:w="670" w:type="pct"/>
            <w:tcBorders>
              <w:top w:val="single" w:sz="4" w:space="0" w:color="auto"/>
              <w:bottom w:val="single" w:sz="4" w:space="0" w:color="auto"/>
            </w:tcBorders>
            <w:noWrap/>
          </w:tcPr>
          <w:p w:rsidR="00DA49AC" w:rsidRPr="003D7890" w:rsidRDefault="00DA49AC" w:rsidP="00EC0F76">
            <w:pPr>
              <w:spacing w:line="240" w:lineRule="auto"/>
              <w:jc w:val="center"/>
              <w:rPr>
                <w:color w:val="000000"/>
              </w:rPr>
            </w:pPr>
            <w:r w:rsidRPr="003D7890">
              <w:rPr>
                <w:color w:val="000000"/>
              </w:rPr>
              <w:t>1st percentile</w:t>
            </w:r>
          </w:p>
        </w:tc>
        <w:tc>
          <w:tcPr>
            <w:tcW w:w="669" w:type="pct"/>
            <w:tcBorders>
              <w:top w:val="single" w:sz="4" w:space="0" w:color="auto"/>
              <w:bottom w:val="single" w:sz="4" w:space="0" w:color="auto"/>
            </w:tcBorders>
            <w:noWrap/>
          </w:tcPr>
          <w:p w:rsidR="00DA49AC" w:rsidRPr="003D7890" w:rsidRDefault="00DA49AC" w:rsidP="00EC0F76">
            <w:pPr>
              <w:spacing w:line="240" w:lineRule="auto"/>
              <w:jc w:val="center"/>
              <w:rPr>
                <w:color w:val="000000"/>
              </w:rPr>
            </w:pPr>
            <w:r w:rsidRPr="003D7890">
              <w:rPr>
                <w:color w:val="000000"/>
              </w:rPr>
              <w:t>Median</w:t>
            </w:r>
          </w:p>
        </w:tc>
        <w:tc>
          <w:tcPr>
            <w:tcW w:w="670" w:type="pct"/>
            <w:tcBorders>
              <w:top w:val="single" w:sz="4" w:space="0" w:color="auto"/>
              <w:bottom w:val="single" w:sz="4" w:space="0" w:color="auto"/>
            </w:tcBorders>
            <w:noWrap/>
          </w:tcPr>
          <w:p w:rsidR="00DA49AC" w:rsidRPr="003D7890" w:rsidRDefault="00DA49AC" w:rsidP="00EC0F76">
            <w:pPr>
              <w:spacing w:line="240" w:lineRule="auto"/>
              <w:jc w:val="center"/>
              <w:rPr>
                <w:color w:val="000000"/>
              </w:rPr>
            </w:pPr>
            <w:r w:rsidRPr="003D7890">
              <w:rPr>
                <w:color w:val="000000"/>
              </w:rPr>
              <w:t>99th percentile</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p>
        </w:tc>
        <w:tc>
          <w:tcPr>
            <w:tcW w:w="669" w:type="pct"/>
            <w:tcBorders>
              <w:top w:val="single" w:sz="4" w:space="0" w:color="auto"/>
            </w:tcBorders>
            <w:noWrap/>
            <w:vAlign w:val="bottom"/>
          </w:tcPr>
          <w:p w:rsidR="00DA49AC" w:rsidRPr="004C62CD" w:rsidRDefault="00DA49AC" w:rsidP="00C005CA">
            <w:pPr>
              <w:spacing w:line="240" w:lineRule="auto"/>
              <w:jc w:val="center"/>
              <w:rPr>
                <w:color w:val="000000"/>
              </w:rPr>
            </w:pPr>
          </w:p>
        </w:tc>
        <w:tc>
          <w:tcPr>
            <w:tcW w:w="669" w:type="pct"/>
            <w:tcBorders>
              <w:top w:val="single" w:sz="4" w:space="0" w:color="auto"/>
            </w:tcBorders>
            <w:noWrap/>
            <w:vAlign w:val="bottom"/>
          </w:tcPr>
          <w:p w:rsidR="00DA49AC" w:rsidRPr="004C62CD" w:rsidRDefault="00DA49AC" w:rsidP="00C005CA">
            <w:pPr>
              <w:spacing w:line="240" w:lineRule="auto"/>
              <w:jc w:val="center"/>
              <w:rPr>
                <w:color w:val="000000"/>
              </w:rPr>
            </w:pPr>
          </w:p>
        </w:tc>
        <w:tc>
          <w:tcPr>
            <w:tcW w:w="670" w:type="pct"/>
            <w:tcBorders>
              <w:top w:val="single" w:sz="4" w:space="0" w:color="auto"/>
            </w:tcBorders>
            <w:noWrap/>
            <w:vAlign w:val="bottom"/>
          </w:tcPr>
          <w:p w:rsidR="00DA49AC" w:rsidRPr="004C62CD" w:rsidRDefault="00DA49AC" w:rsidP="00C005CA">
            <w:pPr>
              <w:spacing w:line="240" w:lineRule="auto"/>
              <w:jc w:val="center"/>
              <w:rPr>
                <w:color w:val="000000"/>
              </w:rPr>
            </w:pPr>
          </w:p>
        </w:tc>
        <w:tc>
          <w:tcPr>
            <w:tcW w:w="669" w:type="pct"/>
            <w:tcBorders>
              <w:top w:val="single" w:sz="4" w:space="0" w:color="auto"/>
            </w:tcBorders>
            <w:noWrap/>
            <w:vAlign w:val="bottom"/>
          </w:tcPr>
          <w:p w:rsidR="00DA49AC" w:rsidRPr="004C62CD" w:rsidRDefault="00DA49AC" w:rsidP="00C005CA">
            <w:pPr>
              <w:spacing w:line="240" w:lineRule="auto"/>
              <w:jc w:val="center"/>
              <w:rPr>
                <w:color w:val="000000"/>
              </w:rPr>
            </w:pPr>
          </w:p>
        </w:tc>
        <w:tc>
          <w:tcPr>
            <w:tcW w:w="670" w:type="pct"/>
            <w:tcBorders>
              <w:top w:val="single" w:sz="4" w:space="0" w:color="auto"/>
            </w:tcBorders>
            <w:noWrap/>
            <w:vAlign w:val="bottom"/>
          </w:tcPr>
          <w:p w:rsidR="00DA49AC" w:rsidRPr="004C62CD" w:rsidRDefault="00DA49AC" w:rsidP="00C005CA">
            <w:pPr>
              <w:spacing w:line="240" w:lineRule="auto"/>
              <w:jc w:val="center"/>
              <w:rPr>
                <w:color w:val="000000"/>
              </w:rPr>
            </w:pPr>
          </w:p>
        </w:tc>
      </w:tr>
      <w:tr w:rsidR="00DA49AC" w:rsidRPr="003301F4" w:rsidTr="00EC0F76">
        <w:trPr>
          <w:trHeight w:val="300"/>
        </w:trPr>
        <w:tc>
          <w:tcPr>
            <w:tcW w:w="1653" w:type="pct"/>
            <w:noWrap/>
            <w:vAlign w:val="bottom"/>
          </w:tcPr>
          <w:p w:rsidR="00DA49AC" w:rsidRPr="002B3C26" w:rsidRDefault="00DA49AC" w:rsidP="00C005CA">
            <w:pPr>
              <w:spacing w:line="240" w:lineRule="auto"/>
              <w:rPr>
                <w:i/>
                <w:color w:val="000000"/>
              </w:rPr>
            </w:pPr>
            <w:r w:rsidRPr="002B3C26">
              <w:rPr>
                <w:i/>
                <w:color w:val="000000"/>
              </w:rPr>
              <w:t>Change in capital provided (%)</w:t>
            </w:r>
          </w:p>
        </w:tc>
        <w:tc>
          <w:tcPr>
            <w:tcW w:w="669" w:type="pct"/>
            <w:noWrap/>
            <w:vAlign w:val="bottom"/>
          </w:tcPr>
          <w:p w:rsidR="00DA49AC" w:rsidRPr="002B3C26" w:rsidRDefault="00DA49AC" w:rsidP="00C005CA">
            <w:pPr>
              <w:spacing w:line="240" w:lineRule="auto"/>
              <w:jc w:val="center"/>
              <w:rPr>
                <w:i/>
                <w:color w:val="000000"/>
              </w:rPr>
            </w:pPr>
          </w:p>
        </w:tc>
        <w:tc>
          <w:tcPr>
            <w:tcW w:w="669" w:type="pct"/>
            <w:noWrap/>
            <w:vAlign w:val="bottom"/>
          </w:tcPr>
          <w:p w:rsidR="00DA49AC" w:rsidRPr="002B3C26" w:rsidRDefault="00DA49AC" w:rsidP="00C005CA">
            <w:pPr>
              <w:spacing w:line="240" w:lineRule="auto"/>
              <w:jc w:val="center"/>
              <w:rPr>
                <w:i/>
                <w:color w:val="000000"/>
              </w:rPr>
            </w:pPr>
          </w:p>
        </w:tc>
        <w:tc>
          <w:tcPr>
            <w:tcW w:w="670" w:type="pct"/>
            <w:noWrap/>
            <w:vAlign w:val="bottom"/>
          </w:tcPr>
          <w:p w:rsidR="00DA49AC" w:rsidRPr="002B3C26" w:rsidRDefault="00DA49AC" w:rsidP="00C005CA">
            <w:pPr>
              <w:spacing w:line="240" w:lineRule="auto"/>
              <w:jc w:val="center"/>
              <w:rPr>
                <w:i/>
                <w:color w:val="000000"/>
              </w:rPr>
            </w:pPr>
          </w:p>
        </w:tc>
        <w:tc>
          <w:tcPr>
            <w:tcW w:w="669" w:type="pct"/>
            <w:noWrap/>
            <w:vAlign w:val="bottom"/>
          </w:tcPr>
          <w:p w:rsidR="00DA49AC" w:rsidRPr="002B3C26" w:rsidRDefault="00DA49AC" w:rsidP="00C005CA">
            <w:pPr>
              <w:spacing w:line="240" w:lineRule="auto"/>
              <w:jc w:val="center"/>
              <w:rPr>
                <w:i/>
                <w:color w:val="000000"/>
              </w:rPr>
            </w:pPr>
          </w:p>
        </w:tc>
        <w:tc>
          <w:tcPr>
            <w:tcW w:w="670" w:type="pct"/>
            <w:noWrap/>
            <w:vAlign w:val="bottom"/>
          </w:tcPr>
          <w:p w:rsidR="00DA49AC" w:rsidRPr="002B3C26" w:rsidRDefault="00DA49AC" w:rsidP="00C005CA">
            <w:pPr>
              <w:spacing w:line="240" w:lineRule="auto"/>
              <w:jc w:val="center"/>
              <w:rPr>
                <w:i/>
                <w:color w:val="000000"/>
              </w:rPr>
            </w:pP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Business</w:t>
            </w:r>
            <w:r>
              <w:rPr>
                <w:color w:val="000000"/>
              </w:rPr>
              <w:t>men</w:t>
            </w:r>
          </w:p>
        </w:tc>
        <w:tc>
          <w:tcPr>
            <w:tcW w:w="669" w:type="pct"/>
            <w:noWrap/>
            <w:vAlign w:val="bottom"/>
          </w:tcPr>
          <w:p w:rsidR="00DA49AC" w:rsidRPr="004C62CD" w:rsidRDefault="00DA49AC" w:rsidP="00C005CA">
            <w:pPr>
              <w:spacing w:line="240" w:lineRule="auto"/>
              <w:jc w:val="center"/>
              <w:rPr>
                <w:color w:val="000000"/>
              </w:rPr>
            </w:pPr>
            <w:r>
              <w:rPr>
                <w:color w:val="000000"/>
              </w:rPr>
              <w:t>-6.8</w:t>
            </w:r>
          </w:p>
        </w:tc>
        <w:tc>
          <w:tcPr>
            <w:tcW w:w="669" w:type="pct"/>
            <w:noWrap/>
            <w:vAlign w:val="bottom"/>
          </w:tcPr>
          <w:p w:rsidR="00DA49AC" w:rsidRPr="004C62CD" w:rsidRDefault="00DA49AC" w:rsidP="00C005CA">
            <w:pPr>
              <w:spacing w:line="240" w:lineRule="auto"/>
              <w:jc w:val="center"/>
              <w:rPr>
                <w:color w:val="000000"/>
              </w:rPr>
            </w:pPr>
            <w:r>
              <w:rPr>
                <w:color w:val="000000"/>
              </w:rPr>
              <w:t>15.7</w:t>
            </w:r>
          </w:p>
        </w:tc>
        <w:tc>
          <w:tcPr>
            <w:tcW w:w="670" w:type="pct"/>
            <w:noWrap/>
            <w:vAlign w:val="bottom"/>
          </w:tcPr>
          <w:p w:rsidR="00DA49AC" w:rsidRPr="004C62CD" w:rsidRDefault="00DA49AC" w:rsidP="00C005CA">
            <w:pPr>
              <w:spacing w:line="240" w:lineRule="auto"/>
              <w:jc w:val="center"/>
              <w:rPr>
                <w:color w:val="000000"/>
              </w:rPr>
            </w:pPr>
            <w:r>
              <w:rPr>
                <w:color w:val="000000"/>
              </w:rPr>
              <w:t>-53.6</w:t>
            </w:r>
          </w:p>
        </w:tc>
        <w:tc>
          <w:tcPr>
            <w:tcW w:w="669" w:type="pct"/>
            <w:noWrap/>
            <w:vAlign w:val="bottom"/>
          </w:tcPr>
          <w:p w:rsidR="00DA49AC" w:rsidRPr="004C62CD" w:rsidRDefault="00DA49AC" w:rsidP="00C005CA">
            <w:pPr>
              <w:spacing w:line="240" w:lineRule="auto"/>
              <w:jc w:val="center"/>
              <w:rPr>
                <w:color w:val="000000"/>
              </w:rPr>
            </w:pPr>
            <w:r>
              <w:rPr>
                <w:color w:val="000000"/>
              </w:rPr>
              <w:t>-5.1</w:t>
            </w:r>
          </w:p>
        </w:tc>
        <w:tc>
          <w:tcPr>
            <w:tcW w:w="670" w:type="pct"/>
            <w:noWrap/>
            <w:vAlign w:val="bottom"/>
          </w:tcPr>
          <w:p w:rsidR="00DA49AC" w:rsidRPr="004C62CD" w:rsidRDefault="00DA49AC" w:rsidP="00C005CA">
            <w:pPr>
              <w:spacing w:line="240" w:lineRule="auto"/>
              <w:jc w:val="center"/>
              <w:rPr>
                <w:color w:val="000000"/>
              </w:rPr>
            </w:pPr>
            <w:r>
              <w:rPr>
                <w:color w:val="000000"/>
              </w:rPr>
              <w:t>74.5</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Pr>
                <w:color w:val="000000"/>
              </w:rPr>
              <w:t>Institutional investors</w:t>
            </w:r>
          </w:p>
        </w:tc>
        <w:tc>
          <w:tcPr>
            <w:tcW w:w="669" w:type="pct"/>
            <w:noWrap/>
            <w:vAlign w:val="bottom"/>
          </w:tcPr>
          <w:p w:rsidR="00DA49AC" w:rsidRPr="004C62CD" w:rsidRDefault="00DA49AC" w:rsidP="00C005CA">
            <w:pPr>
              <w:spacing w:line="240" w:lineRule="auto"/>
              <w:jc w:val="center"/>
              <w:rPr>
                <w:color w:val="000000"/>
              </w:rPr>
            </w:pPr>
            <w:r>
              <w:rPr>
                <w:color w:val="000000"/>
              </w:rPr>
              <w:t>0.3</w:t>
            </w:r>
          </w:p>
        </w:tc>
        <w:tc>
          <w:tcPr>
            <w:tcW w:w="669" w:type="pct"/>
            <w:noWrap/>
            <w:vAlign w:val="bottom"/>
          </w:tcPr>
          <w:p w:rsidR="00DA49AC" w:rsidRPr="004C62CD" w:rsidRDefault="00DA49AC" w:rsidP="00C005CA">
            <w:pPr>
              <w:spacing w:line="240" w:lineRule="auto"/>
              <w:jc w:val="center"/>
              <w:rPr>
                <w:color w:val="000000"/>
              </w:rPr>
            </w:pPr>
            <w:r>
              <w:rPr>
                <w:color w:val="000000"/>
              </w:rPr>
              <w:t>3.1</w:t>
            </w:r>
          </w:p>
        </w:tc>
        <w:tc>
          <w:tcPr>
            <w:tcW w:w="670" w:type="pct"/>
            <w:noWrap/>
            <w:vAlign w:val="bottom"/>
          </w:tcPr>
          <w:p w:rsidR="00DA49AC" w:rsidRPr="004C62CD" w:rsidRDefault="00DA49AC" w:rsidP="00C005CA">
            <w:pPr>
              <w:spacing w:line="240" w:lineRule="auto"/>
              <w:jc w:val="center"/>
              <w:rPr>
                <w:color w:val="000000"/>
              </w:rPr>
            </w:pPr>
            <w:r>
              <w:rPr>
                <w:color w:val="000000"/>
              </w:rPr>
              <w:t>-9.8</w:t>
            </w:r>
          </w:p>
        </w:tc>
        <w:tc>
          <w:tcPr>
            <w:tcW w:w="669" w:type="pct"/>
            <w:noWrap/>
            <w:vAlign w:val="bottom"/>
          </w:tcPr>
          <w:p w:rsidR="00DA49AC" w:rsidRPr="004C62CD" w:rsidRDefault="00DA49AC" w:rsidP="00C005CA">
            <w:pPr>
              <w:spacing w:line="240" w:lineRule="auto"/>
              <w:jc w:val="center"/>
              <w:rPr>
                <w:color w:val="000000"/>
              </w:rPr>
            </w:pPr>
            <w:r>
              <w:rPr>
                <w:color w:val="000000"/>
              </w:rPr>
              <w:t>0.0</w:t>
            </w:r>
          </w:p>
        </w:tc>
        <w:tc>
          <w:tcPr>
            <w:tcW w:w="670" w:type="pct"/>
            <w:noWrap/>
            <w:vAlign w:val="bottom"/>
          </w:tcPr>
          <w:p w:rsidR="00DA49AC" w:rsidRPr="004C62CD" w:rsidRDefault="00DA49AC" w:rsidP="00C005CA">
            <w:pPr>
              <w:spacing w:line="240" w:lineRule="auto"/>
              <w:jc w:val="center"/>
              <w:rPr>
                <w:color w:val="000000"/>
              </w:rPr>
            </w:pPr>
            <w:r>
              <w:rPr>
                <w:color w:val="000000"/>
              </w:rPr>
              <w:t>29.8</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Finance</w:t>
            </w:r>
          </w:p>
        </w:tc>
        <w:tc>
          <w:tcPr>
            <w:tcW w:w="669" w:type="pct"/>
            <w:noWrap/>
            <w:vAlign w:val="bottom"/>
          </w:tcPr>
          <w:p w:rsidR="00DA49AC" w:rsidRPr="004C62CD" w:rsidRDefault="00DA49AC" w:rsidP="00C005CA">
            <w:pPr>
              <w:spacing w:line="240" w:lineRule="auto"/>
              <w:jc w:val="center"/>
              <w:rPr>
                <w:color w:val="000000"/>
              </w:rPr>
            </w:pPr>
            <w:r>
              <w:rPr>
                <w:color w:val="000000"/>
              </w:rPr>
              <w:t>-1.2</w:t>
            </w:r>
          </w:p>
        </w:tc>
        <w:tc>
          <w:tcPr>
            <w:tcW w:w="669" w:type="pct"/>
            <w:noWrap/>
            <w:vAlign w:val="bottom"/>
          </w:tcPr>
          <w:p w:rsidR="00DA49AC" w:rsidRPr="004C62CD" w:rsidRDefault="00DA49AC" w:rsidP="00C005CA">
            <w:pPr>
              <w:spacing w:line="240" w:lineRule="auto"/>
              <w:jc w:val="center"/>
              <w:rPr>
                <w:color w:val="000000"/>
              </w:rPr>
            </w:pPr>
            <w:r>
              <w:rPr>
                <w:color w:val="000000"/>
              </w:rPr>
              <w:t>6.8</w:t>
            </w:r>
          </w:p>
        </w:tc>
        <w:tc>
          <w:tcPr>
            <w:tcW w:w="670" w:type="pct"/>
            <w:noWrap/>
            <w:vAlign w:val="bottom"/>
          </w:tcPr>
          <w:p w:rsidR="00DA49AC" w:rsidRPr="004C62CD" w:rsidRDefault="00DA49AC" w:rsidP="00C005CA">
            <w:pPr>
              <w:spacing w:line="240" w:lineRule="auto"/>
              <w:jc w:val="center"/>
              <w:rPr>
                <w:color w:val="000000"/>
              </w:rPr>
            </w:pPr>
            <w:r>
              <w:rPr>
                <w:color w:val="000000"/>
              </w:rPr>
              <w:t>-29.5</w:t>
            </w:r>
          </w:p>
        </w:tc>
        <w:tc>
          <w:tcPr>
            <w:tcW w:w="669" w:type="pct"/>
            <w:noWrap/>
            <w:vAlign w:val="bottom"/>
          </w:tcPr>
          <w:p w:rsidR="00DA49AC" w:rsidRPr="004C62CD" w:rsidRDefault="00DA49AC" w:rsidP="00C005CA">
            <w:pPr>
              <w:spacing w:line="240" w:lineRule="auto"/>
              <w:jc w:val="center"/>
              <w:rPr>
                <w:color w:val="000000"/>
              </w:rPr>
            </w:pPr>
            <w:r>
              <w:rPr>
                <w:color w:val="000000"/>
              </w:rPr>
              <w:t>-0.2</w:t>
            </w:r>
          </w:p>
        </w:tc>
        <w:tc>
          <w:tcPr>
            <w:tcW w:w="670" w:type="pct"/>
            <w:noWrap/>
            <w:vAlign w:val="bottom"/>
          </w:tcPr>
          <w:p w:rsidR="00DA49AC" w:rsidRPr="004C62CD" w:rsidRDefault="00DA49AC" w:rsidP="00C005CA">
            <w:pPr>
              <w:spacing w:line="240" w:lineRule="auto"/>
              <w:jc w:val="center"/>
              <w:rPr>
                <w:color w:val="000000"/>
              </w:rPr>
            </w:pPr>
            <w:r>
              <w:rPr>
                <w:color w:val="000000"/>
              </w:rPr>
              <w:t>41.4</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Middle</w:t>
            </w:r>
            <w:r>
              <w:rPr>
                <w:color w:val="000000"/>
              </w:rPr>
              <w:t xml:space="preserve"> class</w:t>
            </w:r>
          </w:p>
        </w:tc>
        <w:tc>
          <w:tcPr>
            <w:tcW w:w="669" w:type="pct"/>
            <w:noWrap/>
            <w:vAlign w:val="bottom"/>
          </w:tcPr>
          <w:p w:rsidR="00DA49AC" w:rsidRPr="004C62CD" w:rsidRDefault="00DA49AC" w:rsidP="00C005CA">
            <w:pPr>
              <w:spacing w:line="240" w:lineRule="auto"/>
              <w:jc w:val="center"/>
              <w:rPr>
                <w:color w:val="000000"/>
              </w:rPr>
            </w:pPr>
            <w:r>
              <w:rPr>
                <w:color w:val="000000"/>
              </w:rPr>
              <w:t>-0.9</w:t>
            </w:r>
          </w:p>
        </w:tc>
        <w:tc>
          <w:tcPr>
            <w:tcW w:w="669" w:type="pct"/>
            <w:noWrap/>
            <w:vAlign w:val="bottom"/>
          </w:tcPr>
          <w:p w:rsidR="00DA49AC" w:rsidRPr="004C62CD" w:rsidRDefault="00DA49AC" w:rsidP="00C005CA">
            <w:pPr>
              <w:spacing w:line="240" w:lineRule="auto"/>
              <w:jc w:val="center"/>
              <w:rPr>
                <w:color w:val="000000"/>
              </w:rPr>
            </w:pPr>
            <w:r>
              <w:rPr>
                <w:color w:val="000000"/>
              </w:rPr>
              <w:t>7.7</w:t>
            </w:r>
          </w:p>
        </w:tc>
        <w:tc>
          <w:tcPr>
            <w:tcW w:w="670" w:type="pct"/>
            <w:noWrap/>
            <w:vAlign w:val="bottom"/>
          </w:tcPr>
          <w:p w:rsidR="00DA49AC" w:rsidRPr="004C62CD" w:rsidRDefault="00DA49AC" w:rsidP="00C005CA">
            <w:pPr>
              <w:spacing w:line="240" w:lineRule="auto"/>
              <w:jc w:val="center"/>
              <w:rPr>
                <w:color w:val="000000"/>
              </w:rPr>
            </w:pPr>
            <w:r>
              <w:rPr>
                <w:color w:val="000000"/>
              </w:rPr>
              <w:t>-26.0</w:t>
            </w:r>
          </w:p>
        </w:tc>
        <w:tc>
          <w:tcPr>
            <w:tcW w:w="669" w:type="pct"/>
            <w:noWrap/>
            <w:vAlign w:val="bottom"/>
          </w:tcPr>
          <w:p w:rsidR="00DA49AC" w:rsidRPr="004C62CD" w:rsidRDefault="00DA49AC" w:rsidP="00C005CA">
            <w:pPr>
              <w:spacing w:line="240" w:lineRule="auto"/>
              <w:jc w:val="center"/>
              <w:rPr>
                <w:color w:val="000000"/>
              </w:rPr>
            </w:pPr>
            <w:r>
              <w:rPr>
                <w:color w:val="000000"/>
              </w:rPr>
              <w:t>-0.3</w:t>
            </w:r>
          </w:p>
        </w:tc>
        <w:tc>
          <w:tcPr>
            <w:tcW w:w="670" w:type="pct"/>
            <w:noWrap/>
            <w:vAlign w:val="bottom"/>
          </w:tcPr>
          <w:p w:rsidR="00DA49AC" w:rsidRPr="004C62CD" w:rsidRDefault="00DA49AC" w:rsidP="00C005CA">
            <w:pPr>
              <w:spacing w:line="240" w:lineRule="auto"/>
              <w:jc w:val="center"/>
              <w:rPr>
                <w:color w:val="000000"/>
              </w:rPr>
            </w:pPr>
            <w:r>
              <w:rPr>
                <w:color w:val="000000"/>
              </w:rPr>
              <w:t>26.9</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Upper</w:t>
            </w:r>
            <w:r>
              <w:rPr>
                <w:color w:val="000000"/>
              </w:rPr>
              <w:t xml:space="preserve"> class</w:t>
            </w:r>
          </w:p>
        </w:tc>
        <w:tc>
          <w:tcPr>
            <w:tcW w:w="669" w:type="pct"/>
            <w:noWrap/>
            <w:vAlign w:val="bottom"/>
          </w:tcPr>
          <w:p w:rsidR="00DA49AC" w:rsidRPr="004C62CD" w:rsidRDefault="00DA49AC" w:rsidP="00C005CA">
            <w:pPr>
              <w:spacing w:line="240" w:lineRule="auto"/>
              <w:jc w:val="center"/>
              <w:rPr>
                <w:color w:val="000000"/>
              </w:rPr>
            </w:pPr>
            <w:r>
              <w:rPr>
                <w:color w:val="000000"/>
              </w:rPr>
              <w:t>2.2</w:t>
            </w:r>
          </w:p>
        </w:tc>
        <w:tc>
          <w:tcPr>
            <w:tcW w:w="669" w:type="pct"/>
            <w:noWrap/>
            <w:vAlign w:val="bottom"/>
          </w:tcPr>
          <w:p w:rsidR="00DA49AC" w:rsidRPr="004C62CD" w:rsidRDefault="00DA49AC" w:rsidP="00C005CA">
            <w:pPr>
              <w:spacing w:line="240" w:lineRule="auto"/>
              <w:jc w:val="center"/>
              <w:rPr>
                <w:color w:val="000000"/>
              </w:rPr>
            </w:pPr>
            <w:r>
              <w:rPr>
                <w:color w:val="000000"/>
              </w:rPr>
              <w:t>18.0</w:t>
            </w:r>
          </w:p>
        </w:tc>
        <w:tc>
          <w:tcPr>
            <w:tcW w:w="670" w:type="pct"/>
            <w:noWrap/>
            <w:vAlign w:val="bottom"/>
          </w:tcPr>
          <w:p w:rsidR="00DA49AC" w:rsidRPr="004C62CD" w:rsidRDefault="00DA49AC" w:rsidP="00C005CA">
            <w:pPr>
              <w:spacing w:line="240" w:lineRule="auto"/>
              <w:jc w:val="center"/>
              <w:rPr>
                <w:color w:val="000000"/>
              </w:rPr>
            </w:pPr>
            <w:r>
              <w:rPr>
                <w:color w:val="000000"/>
              </w:rPr>
              <w:t>-73.7</w:t>
            </w:r>
          </w:p>
        </w:tc>
        <w:tc>
          <w:tcPr>
            <w:tcW w:w="669" w:type="pct"/>
            <w:noWrap/>
            <w:vAlign w:val="bottom"/>
          </w:tcPr>
          <w:p w:rsidR="00DA49AC" w:rsidRPr="004C62CD" w:rsidRDefault="00DA49AC" w:rsidP="00C005CA">
            <w:pPr>
              <w:spacing w:line="240" w:lineRule="auto"/>
              <w:jc w:val="center"/>
              <w:rPr>
                <w:color w:val="000000"/>
              </w:rPr>
            </w:pPr>
            <w:r>
              <w:rPr>
                <w:color w:val="000000"/>
              </w:rPr>
              <w:t>3.4</w:t>
            </w:r>
          </w:p>
        </w:tc>
        <w:tc>
          <w:tcPr>
            <w:tcW w:w="670" w:type="pct"/>
            <w:noWrap/>
            <w:vAlign w:val="bottom"/>
          </w:tcPr>
          <w:p w:rsidR="00DA49AC" w:rsidRPr="004C62CD" w:rsidRDefault="00DA49AC" w:rsidP="00C005CA">
            <w:pPr>
              <w:spacing w:line="240" w:lineRule="auto"/>
              <w:jc w:val="center"/>
              <w:rPr>
                <w:color w:val="000000"/>
              </w:rPr>
            </w:pPr>
            <w:r>
              <w:rPr>
                <w:color w:val="000000"/>
              </w:rPr>
              <w:t>47.7</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Women</w:t>
            </w:r>
          </w:p>
        </w:tc>
        <w:tc>
          <w:tcPr>
            <w:tcW w:w="669" w:type="pct"/>
            <w:noWrap/>
            <w:vAlign w:val="bottom"/>
          </w:tcPr>
          <w:p w:rsidR="00DA49AC" w:rsidRPr="004C62CD" w:rsidRDefault="00DA49AC" w:rsidP="00C005CA">
            <w:pPr>
              <w:spacing w:line="240" w:lineRule="auto"/>
              <w:jc w:val="center"/>
              <w:rPr>
                <w:color w:val="000000"/>
              </w:rPr>
            </w:pPr>
            <w:r>
              <w:rPr>
                <w:color w:val="000000"/>
              </w:rPr>
              <w:t>7.1</w:t>
            </w:r>
          </w:p>
        </w:tc>
        <w:tc>
          <w:tcPr>
            <w:tcW w:w="669" w:type="pct"/>
            <w:noWrap/>
            <w:vAlign w:val="bottom"/>
          </w:tcPr>
          <w:p w:rsidR="00DA49AC" w:rsidRPr="004C62CD" w:rsidRDefault="00DA49AC" w:rsidP="00C005CA">
            <w:pPr>
              <w:spacing w:line="240" w:lineRule="auto"/>
              <w:jc w:val="center"/>
              <w:rPr>
                <w:color w:val="000000"/>
              </w:rPr>
            </w:pPr>
            <w:r>
              <w:rPr>
                <w:color w:val="000000"/>
              </w:rPr>
              <w:t>7.7</w:t>
            </w:r>
          </w:p>
        </w:tc>
        <w:tc>
          <w:tcPr>
            <w:tcW w:w="670" w:type="pct"/>
            <w:noWrap/>
            <w:vAlign w:val="bottom"/>
          </w:tcPr>
          <w:p w:rsidR="00DA49AC" w:rsidRPr="004C62CD" w:rsidRDefault="00DA49AC" w:rsidP="00C005CA">
            <w:pPr>
              <w:spacing w:line="240" w:lineRule="auto"/>
              <w:jc w:val="center"/>
              <w:rPr>
                <w:color w:val="000000"/>
              </w:rPr>
            </w:pPr>
            <w:r>
              <w:rPr>
                <w:color w:val="000000"/>
              </w:rPr>
              <w:t>-6.8</w:t>
            </w:r>
          </w:p>
        </w:tc>
        <w:tc>
          <w:tcPr>
            <w:tcW w:w="669" w:type="pct"/>
            <w:noWrap/>
            <w:vAlign w:val="bottom"/>
          </w:tcPr>
          <w:p w:rsidR="00DA49AC" w:rsidRPr="004C62CD" w:rsidRDefault="00DA49AC" w:rsidP="00C005CA">
            <w:pPr>
              <w:spacing w:line="240" w:lineRule="auto"/>
              <w:jc w:val="center"/>
              <w:rPr>
                <w:color w:val="000000"/>
              </w:rPr>
            </w:pPr>
            <w:r>
              <w:rPr>
                <w:color w:val="000000"/>
              </w:rPr>
              <w:t>5.0</w:t>
            </w:r>
          </w:p>
        </w:tc>
        <w:tc>
          <w:tcPr>
            <w:tcW w:w="670" w:type="pct"/>
            <w:noWrap/>
            <w:vAlign w:val="bottom"/>
          </w:tcPr>
          <w:p w:rsidR="00DA49AC" w:rsidRPr="004C62CD" w:rsidRDefault="00DA49AC" w:rsidP="00C005CA">
            <w:pPr>
              <w:spacing w:line="240" w:lineRule="auto"/>
              <w:jc w:val="center"/>
              <w:rPr>
                <w:color w:val="000000"/>
              </w:rPr>
            </w:pPr>
            <w:r>
              <w:rPr>
                <w:color w:val="000000"/>
              </w:rPr>
              <w:t>43.2</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Working</w:t>
            </w:r>
            <w:r>
              <w:rPr>
                <w:color w:val="000000"/>
              </w:rPr>
              <w:t xml:space="preserve"> class</w:t>
            </w:r>
          </w:p>
        </w:tc>
        <w:tc>
          <w:tcPr>
            <w:tcW w:w="669" w:type="pct"/>
            <w:noWrap/>
            <w:vAlign w:val="bottom"/>
          </w:tcPr>
          <w:p w:rsidR="00DA49AC" w:rsidRPr="004C62CD" w:rsidRDefault="00DA49AC" w:rsidP="00C005CA">
            <w:pPr>
              <w:spacing w:line="240" w:lineRule="auto"/>
              <w:jc w:val="center"/>
              <w:rPr>
                <w:color w:val="000000"/>
              </w:rPr>
            </w:pPr>
            <w:r>
              <w:rPr>
                <w:color w:val="000000"/>
              </w:rPr>
              <w:t>-0.1</w:t>
            </w:r>
          </w:p>
        </w:tc>
        <w:tc>
          <w:tcPr>
            <w:tcW w:w="669" w:type="pct"/>
            <w:noWrap/>
            <w:vAlign w:val="bottom"/>
          </w:tcPr>
          <w:p w:rsidR="00DA49AC" w:rsidRPr="004C62CD" w:rsidRDefault="00DA49AC" w:rsidP="00C005CA">
            <w:pPr>
              <w:spacing w:line="240" w:lineRule="auto"/>
              <w:jc w:val="center"/>
              <w:rPr>
                <w:color w:val="000000"/>
              </w:rPr>
            </w:pPr>
            <w:r>
              <w:rPr>
                <w:color w:val="000000"/>
              </w:rPr>
              <w:t>1.5</w:t>
            </w:r>
          </w:p>
        </w:tc>
        <w:tc>
          <w:tcPr>
            <w:tcW w:w="670" w:type="pct"/>
            <w:noWrap/>
            <w:vAlign w:val="bottom"/>
          </w:tcPr>
          <w:p w:rsidR="00DA49AC" w:rsidRPr="004C62CD" w:rsidRDefault="00DA49AC" w:rsidP="00C005CA">
            <w:pPr>
              <w:spacing w:line="240" w:lineRule="auto"/>
              <w:jc w:val="center"/>
              <w:rPr>
                <w:color w:val="000000"/>
              </w:rPr>
            </w:pPr>
            <w:r>
              <w:rPr>
                <w:color w:val="000000"/>
              </w:rPr>
              <w:t>-8.3</w:t>
            </w:r>
          </w:p>
        </w:tc>
        <w:tc>
          <w:tcPr>
            <w:tcW w:w="669" w:type="pct"/>
            <w:noWrap/>
            <w:vAlign w:val="bottom"/>
          </w:tcPr>
          <w:p w:rsidR="00DA49AC" w:rsidRPr="004C62CD" w:rsidRDefault="00DA49AC" w:rsidP="00C005CA">
            <w:pPr>
              <w:spacing w:line="240" w:lineRule="auto"/>
              <w:jc w:val="center"/>
              <w:rPr>
                <w:color w:val="000000"/>
              </w:rPr>
            </w:pPr>
            <w:r>
              <w:rPr>
                <w:color w:val="000000"/>
              </w:rPr>
              <w:t>0.0</w:t>
            </w:r>
          </w:p>
        </w:tc>
        <w:tc>
          <w:tcPr>
            <w:tcW w:w="670" w:type="pct"/>
            <w:noWrap/>
            <w:vAlign w:val="bottom"/>
          </w:tcPr>
          <w:p w:rsidR="00DA49AC" w:rsidRPr="004C62CD" w:rsidRDefault="00DA49AC" w:rsidP="00C005CA">
            <w:pPr>
              <w:spacing w:line="240" w:lineRule="auto"/>
              <w:jc w:val="center"/>
              <w:rPr>
                <w:color w:val="000000"/>
              </w:rPr>
            </w:pPr>
            <w:r>
              <w:rPr>
                <w:color w:val="000000"/>
              </w:rPr>
              <w:t>4.6</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p>
        </w:tc>
        <w:tc>
          <w:tcPr>
            <w:tcW w:w="669" w:type="pct"/>
            <w:noWrap/>
            <w:vAlign w:val="bottom"/>
          </w:tcPr>
          <w:p w:rsidR="00DA49AC" w:rsidRPr="004C62CD" w:rsidRDefault="00DA49AC" w:rsidP="00C005CA">
            <w:pPr>
              <w:spacing w:line="240" w:lineRule="auto"/>
              <w:jc w:val="center"/>
              <w:rPr>
                <w:color w:val="000000"/>
              </w:rPr>
            </w:pPr>
          </w:p>
        </w:tc>
        <w:tc>
          <w:tcPr>
            <w:tcW w:w="669" w:type="pct"/>
            <w:noWrap/>
            <w:vAlign w:val="bottom"/>
          </w:tcPr>
          <w:p w:rsidR="00DA49AC" w:rsidRPr="004C62CD" w:rsidRDefault="00DA49AC" w:rsidP="00C005CA">
            <w:pPr>
              <w:spacing w:line="240" w:lineRule="auto"/>
              <w:jc w:val="center"/>
              <w:rPr>
                <w:color w:val="000000"/>
              </w:rPr>
            </w:pPr>
          </w:p>
        </w:tc>
        <w:tc>
          <w:tcPr>
            <w:tcW w:w="670" w:type="pct"/>
            <w:noWrap/>
            <w:vAlign w:val="bottom"/>
          </w:tcPr>
          <w:p w:rsidR="00DA49AC" w:rsidRPr="004C62CD" w:rsidRDefault="00DA49AC" w:rsidP="00C005CA">
            <w:pPr>
              <w:spacing w:line="240" w:lineRule="auto"/>
              <w:jc w:val="center"/>
              <w:rPr>
                <w:color w:val="000000"/>
              </w:rPr>
            </w:pPr>
          </w:p>
        </w:tc>
        <w:tc>
          <w:tcPr>
            <w:tcW w:w="669" w:type="pct"/>
            <w:noWrap/>
            <w:vAlign w:val="bottom"/>
          </w:tcPr>
          <w:p w:rsidR="00DA49AC" w:rsidRPr="004C62CD" w:rsidRDefault="00DA49AC" w:rsidP="00C005CA">
            <w:pPr>
              <w:spacing w:line="240" w:lineRule="auto"/>
              <w:jc w:val="center"/>
              <w:rPr>
                <w:color w:val="000000"/>
              </w:rPr>
            </w:pPr>
          </w:p>
        </w:tc>
        <w:tc>
          <w:tcPr>
            <w:tcW w:w="670" w:type="pct"/>
            <w:noWrap/>
            <w:vAlign w:val="bottom"/>
          </w:tcPr>
          <w:p w:rsidR="00DA49AC" w:rsidRPr="004C62CD" w:rsidRDefault="00DA49AC" w:rsidP="00C005CA">
            <w:pPr>
              <w:spacing w:line="240" w:lineRule="auto"/>
              <w:jc w:val="center"/>
              <w:rPr>
                <w:color w:val="000000"/>
              </w:rPr>
            </w:pPr>
          </w:p>
        </w:tc>
      </w:tr>
      <w:tr w:rsidR="00DA49AC" w:rsidRPr="003301F4" w:rsidTr="00EC0F76">
        <w:trPr>
          <w:trHeight w:val="300"/>
        </w:trPr>
        <w:tc>
          <w:tcPr>
            <w:tcW w:w="2322" w:type="pct"/>
            <w:gridSpan w:val="2"/>
            <w:noWrap/>
            <w:vAlign w:val="bottom"/>
          </w:tcPr>
          <w:p w:rsidR="00DA49AC" w:rsidRPr="002B3C26" w:rsidRDefault="00DA49AC" w:rsidP="00EC0F76">
            <w:pPr>
              <w:spacing w:line="240" w:lineRule="auto"/>
              <w:rPr>
                <w:i/>
                <w:color w:val="000000"/>
              </w:rPr>
            </w:pPr>
            <w:r w:rsidRPr="002B3C26">
              <w:rPr>
                <w:i/>
                <w:color w:val="000000"/>
              </w:rPr>
              <w:t>Change in number of shareholders (%)</w:t>
            </w:r>
          </w:p>
        </w:tc>
        <w:tc>
          <w:tcPr>
            <w:tcW w:w="669" w:type="pct"/>
            <w:noWrap/>
            <w:vAlign w:val="bottom"/>
          </w:tcPr>
          <w:p w:rsidR="00DA49AC" w:rsidRPr="002B3C26" w:rsidRDefault="00DA49AC" w:rsidP="00C005CA">
            <w:pPr>
              <w:spacing w:line="240" w:lineRule="auto"/>
              <w:jc w:val="center"/>
              <w:rPr>
                <w:i/>
                <w:color w:val="000000"/>
              </w:rPr>
            </w:pPr>
          </w:p>
        </w:tc>
        <w:tc>
          <w:tcPr>
            <w:tcW w:w="670" w:type="pct"/>
            <w:noWrap/>
            <w:vAlign w:val="bottom"/>
          </w:tcPr>
          <w:p w:rsidR="00DA49AC" w:rsidRPr="002B3C26" w:rsidRDefault="00DA49AC" w:rsidP="00C005CA">
            <w:pPr>
              <w:spacing w:line="240" w:lineRule="auto"/>
              <w:jc w:val="center"/>
              <w:rPr>
                <w:i/>
                <w:color w:val="000000"/>
              </w:rPr>
            </w:pPr>
          </w:p>
        </w:tc>
        <w:tc>
          <w:tcPr>
            <w:tcW w:w="669" w:type="pct"/>
            <w:noWrap/>
            <w:vAlign w:val="bottom"/>
          </w:tcPr>
          <w:p w:rsidR="00DA49AC" w:rsidRPr="002B3C26" w:rsidRDefault="00DA49AC" w:rsidP="00C005CA">
            <w:pPr>
              <w:spacing w:line="240" w:lineRule="auto"/>
              <w:jc w:val="center"/>
              <w:rPr>
                <w:i/>
                <w:color w:val="000000"/>
              </w:rPr>
            </w:pPr>
          </w:p>
        </w:tc>
        <w:tc>
          <w:tcPr>
            <w:tcW w:w="670" w:type="pct"/>
            <w:noWrap/>
            <w:vAlign w:val="bottom"/>
          </w:tcPr>
          <w:p w:rsidR="00DA49AC" w:rsidRPr="002B3C26" w:rsidRDefault="00DA49AC" w:rsidP="00C005CA">
            <w:pPr>
              <w:spacing w:line="240" w:lineRule="auto"/>
              <w:jc w:val="center"/>
              <w:rPr>
                <w:i/>
                <w:color w:val="000000"/>
              </w:rPr>
            </w:pP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Business</w:t>
            </w:r>
            <w:r>
              <w:rPr>
                <w:color w:val="000000"/>
              </w:rPr>
              <w:t>men</w:t>
            </w:r>
          </w:p>
        </w:tc>
        <w:tc>
          <w:tcPr>
            <w:tcW w:w="669" w:type="pct"/>
            <w:noWrap/>
            <w:vAlign w:val="bottom"/>
          </w:tcPr>
          <w:p w:rsidR="00DA49AC" w:rsidRPr="004C62CD" w:rsidRDefault="00DA49AC" w:rsidP="00C005CA">
            <w:pPr>
              <w:spacing w:line="240" w:lineRule="auto"/>
              <w:jc w:val="center"/>
              <w:rPr>
                <w:color w:val="000000"/>
              </w:rPr>
            </w:pPr>
            <w:r>
              <w:rPr>
                <w:color w:val="000000"/>
              </w:rPr>
              <w:t>-6.9</w:t>
            </w:r>
          </w:p>
        </w:tc>
        <w:tc>
          <w:tcPr>
            <w:tcW w:w="669" w:type="pct"/>
            <w:noWrap/>
            <w:vAlign w:val="bottom"/>
          </w:tcPr>
          <w:p w:rsidR="00DA49AC" w:rsidRPr="004C62CD" w:rsidRDefault="00DA49AC" w:rsidP="00C005CA">
            <w:pPr>
              <w:spacing w:line="240" w:lineRule="auto"/>
              <w:jc w:val="center"/>
              <w:rPr>
                <w:color w:val="000000"/>
              </w:rPr>
            </w:pPr>
            <w:r>
              <w:rPr>
                <w:color w:val="000000"/>
              </w:rPr>
              <w:t>10.2</w:t>
            </w:r>
          </w:p>
        </w:tc>
        <w:tc>
          <w:tcPr>
            <w:tcW w:w="670" w:type="pct"/>
            <w:noWrap/>
            <w:vAlign w:val="bottom"/>
          </w:tcPr>
          <w:p w:rsidR="00DA49AC" w:rsidRPr="004C62CD" w:rsidRDefault="00DA49AC" w:rsidP="00C005CA">
            <w:pPr>
              <w:spacing w:line="240" w:lineRule="auto"/>
              <w:jc w:val="center"/>
              <w:rPr>
                <w:color w:val="000000"/>
              </w:rPr>
            </w:pPr>
            <w:r>
              <w:rPr>
                <w:color w:val="000000"/>
              </w:rPr>
              <w:t>-35.7</w:t>
            </w:r>
          </w:p>
        </w:tc>
        <w:tc>
          <w:tcPr>
            <w:tcW w:w="669" w:type="pct"/>
            <w:noWrap/>
            <w:vAlign w:val="bottom"/>
          </w:tcPr>
          <w:p w:rsidR="00DA49AC" w:rsidRPr="004C62CD" w:rsidRDefault="00DA49AC" w:rsidP="00C005CA">
            <w:pPr>
              <w:spacing w:line="240" w:lineRule="auto"/>
              <w:jc w:val="center"/>
              <w:rPr>
                <w:color w:val="000000"/>
              </w:rPr>
            </w:pPr>
            <w:r>
              <w:rPr>
                <w:color w:val="000000"/>
              </w:rPr>
              <w:t>-6.4</w:t>
            </w:r>
          </w:p>
        </w:tc>
        <w:tc>
          <w:tcPr>
            <w:tcW w:w="670" w:type="pct"/>
            <w:noWrap/>
            <w:vAlign w:val="bottom"/>
          </w:tcPr>
          <w:p w:rsidR="00DA49AC" w:rsidRPr="004C62CD" w:rsidRDefault="00DA49AC" w:rsidP="00C005CA">
            <w:pPr>
              <w:spacing w:line="240" w:lineRule="auto"/>
              <w:jc w:val="center"/>
              <w:rPr>
                <w:color w:val="000000"/>
              </w:rPr>
            </w:pPr>
            <w:r>
              <w:rPr>
                <w:color w:val="000000"/>
              </w:rPr>
              <w:t>40.9</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Pr>
                <w:color w:val="000000"/>
              </w:rPr>
              <w:t>Institutional investors</w:t>
            </w:r>
          </w:p>
        </w:tc>
        <w:tc>
          <w:tcPr>
            <w:tcW w:w="669" w:type="pct"/>
            <w:noWrap/>
            <w:vAlign w:val="bottom"/>
          </w:tcPr>
          <w:p w:rsidR="00DA49AC" w:rsidRPr="004C62CD" w:rsidRDefault="00DA49AC" w:rsidP="00C005CA">
            <w:pPr>
              <w:spacing w:line="240" w:lineRule="auto"/>
              <w:jc w:val="center"/>
              <w:rPr>
                <w:color w:val="000000"/>
              </w:rPr>
            </w:pPr>
            <w:r>
              <w:rPr>
                <w:color w:val="000000"/>
              </w:rPr>
              <w:t>0.0</w:t>
            </w:r>
          </w:p>
        </w:tc>
        <w:tc>
          <w:tcPr>
            <w:tcW w:w="669" w:type="pct"/>
            <w:noWrap/>
            <w:vAlign w:val="bottom"/>
          </w:tcPr>
          <w:p w:rsidR="00DA49AC" w:rsidRPr="004C62CD" w:rsidRDefault="00DA49AC" w:rsidP="00C005CA">
            <w:pPr>
              <w:spacing w:line="240" w:lineRule="auto"/>
              <w:jc w:val="center"/>
              <w:rPr>
                <w:color w:val="000000"/>
              </w:rPr>
            </w:pPr>
            <w:r>
              <w:rPr>
                <w:color w:val="000000"/>
              </w:rPr>
              <w:t>0.3</w:t>
            </w:r>
          </w:p>
        </w:tc>
        <w:tc>
          <w:tcPr>
            <w:tcW w:w="670" w:type="pct"/>
            <w:noWrap/>
            <w:vAlign w:val="bottom"/>
          </w:tcPr>
          <w:p w:rsidR="00DA49AC" w:rsidRPr="004C62CD" w:rsidRDefault="00DA49AC" w:rsidP="00C005CA">
            <w:pPr>
              <w:spacing w:line="240" w:lineRule="auto"/>
              <w:jc w:val="center"/>
              <w:rPr>
                <w:color w:val="000000"/>
              </w:rPr>
            </w:pPr>
            <w:r>
              <w:rPr>
                <w:color w:val="000000"/>
              </w:rPr>
              <w:t>-1.3</w:t>
            </w:r>
          </w:p>
        </w:tc>
        <w:tc>
          <w:tcPr>
            <w:tcW w:w="669" w:type="pct"/>
            <w:noWrap/>
            <w:vAlign w:val="bottom"/>
          </w:tcPr>
          <w:p w:rsidR="00DA49AC" w:rsidRPr="004C62CD" w:rsidRDefault="00DA49AC" w:rsidP="00C005CA">
            <w:pPr>
              <w:spacing w:line="240" w:lineRule="auto"/>
              <w:jc w:val="center"/>
              <w:rPr>
                <w:color w:val="000000"/>
              </w:rPr>
            </w:pPr>
            <w:r>
              <w:rPr>
                <w:color w:val="000000"/>
              </w:rPr>
              <w:t>0.0</w:t>
            </w:r>
          </w:p>
        </w:tc>
        <w:tc>
          <w:tcPr>
            <w:tcW w:w="670" w:type="pct"/>
            <w:noWrap/>
            <w:vAlign w:val="bottom"/>
          </w:tcPr>
          <w:p w:rsidR="00DA49AC" w:rsidRPr="004C62CD" w:rsidRDefault="00DA49AC" w:rsidP="00C005CA">
            <w:pPr>
              <w:spacing w:line="240" w:lineRule="auto"/>
              <w:jc w:val="center"/>
              <w:rPr>
                <w:color w:val="000000"/>
              </w:rPr>
            </w:pPr>
            <w:r>
              <w:rPr>
                <w:color w:val="000000"/>
              </w:rPr>
              <w:t>1.8</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Finance</w:t>
            </w:r>
          </w:p>
        </w:tc>
        <w:tc>
          <w:tcPr>
            <w:tcW w:w="669" w:type="pct"/>
            <w:noWrap/>
            <w:vAlign w:val="bottom"/>
          </w:tcPr>
          <w:p w:rsidR="00DA49AC" w:rsidRPr="004C62CD" w:rsidRDefault="00DA49AC" w:rsidP="00C005CA">
            <w:pPr>
              <w:spacing w:line="240" w:lineRule="auto"/>
              <w:jc w:val="center"/>
              <w:rPr>
                <w:color w:val="000000"/>
              </w:rPr>
            </w:pPr>
            <w:r>
              <w:rPr>
                <w:color w:val="000000"/>
              </w:rPr>
              <w:t>-1.2</w:t>
            </w:r>
          </w:p>
        </w:tc>
        <w:tc>
          <w:tcPr>
            <w:tcW w:w="669" w:type="pct"/>
            <w:noWrap/>
            <w:vAlign w:val="bottom"/>
          </w:tcPr>
          <w:p w:rsidR="00DA49AC" w:rsidRPr="004C62CD" w:rsidRDefault="00DA49AC" w:rsidP="00C005CA">
            <w:pPr>
              <w:spacing w:line="240" w:lineRule="auto"/>
              <w:jc w:val="center"/>
              <w:rPr>
                <w:color w:val="000000"/>
              </w:rPr>
            </w:pPr>
            <w:r>
              <w:rPr>
                <w:color w:val="000000"/>
              </w:rPr>
              <w:t>2.7</w:t>
            </w:r>
          </w:p>
        </w:tc>
        <w:tc>
          <w:tcPr>
            <w:tcW w:w="670" w:type="pct"/>
            <w:noWrap/>
            <w:vAlign w:val="bottom"/>
          </w:tcPr>
          <w:p w:rsidR="00DA49AC" w:rsidRPr="004C62CD" w:rsidRDefault="00DA49AC" w:rsidP="00C005CA">
            <w:pPr>
              <w:spacing w:line="240" w:lineRule="auto"/>
              <w:jc w:val="center"/>
              <w:rPr>
                <w:color w:val="000000"/>
              </w:rPr>
            </w:pPr>
            <w:r>
              <w:rPr>
                <w:color w:val="000000"/>
              </w:rPr>
              <w:t>-13.5</w:t>
            </w:r>
          </w:p>
        </w:tc>
        <w:tc>
          <w:tcPr>
            <w:tcW w:w="669" w:type="pct"/>
            <w:noWrap/>
            <w:vAlign w:val="bottom"/>
          </w:tcPr>
          <w:p w:rsidR="00DA49AC" w:rsidRPr="004C62CD" w:rsidRDefault="00DA49AC" w:rsidP="00C005CA">
            <w:pPr>
              <w:spacing w:line="240" w:lineRule="auto"/>
              <w:jc w:val="center"/>
              <w:rPr>
                <w:color w:val="000000"/>
              </w:rPr>
            </w:pPr>
            <w:r>
              <w:rPr>
                <w:color w:val="000000"/>
              </w:rPr>
              <w:t>-0.8</w:t>
            </w:r>
          </w:p>
        </w:tc>
        <w:tc>
          <w:tcPr>
            <w:tcW w:w="670" w:type="pct"/>
            <w:noWrap/>
            <w:vAlign w:val="bottom"/>
          </w:tcPr>
          <w:p w:rsidR="00DA49AC" w:rsidRPr="004C62CD" w:rsidRDefault="00DA49AC" w:rsidP="00C005CA">
            <w:pPr>
              <w:spacing w:line="240" w:lineRule="auto"/>
              <w:jc w:val="center"/>
              <w:rPr>
                <w:color w:val="000000"/>
              </w:rPr>
            </w:pPr>
            <w:r>
              <w:rPr>
                <w:color w:val="000000"/>
              </w:rPr>
              <w:t>5.0</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Middle</w:t>
            </w:r>
            <w:r>
              <w:rPr>
                <w:color w:val="000000"/>
              </w:rPr>
              <w:t xml:space="preserve"> class</w:t>
            </w:r>
          </w:p>
        </w:tc>
        <w:tc>
          <w:tcPr>
            <w:tcW w:w="669" w:type="pct"/>
            <w:noWrap/>
            <w:vAlign w:val="bottom"/>
          </w:tcPr>
          <w:p w:rsidR="00DA49AC" w:rsidRPr="004C62CD" w:rsidRDefault="00DA49AC" w:rsidP="00C005CA">
            <w:pPr>
              <w:spacing w:line="240" w:lineRule="auto"/>
              <w:jc w:val="center"/>
              <w:rPr>
                <w:color w:val="000000"/>
              </w:rPr>
            </w:pPr>
            <w:r>
              <w:rPr>
                <w:color w:val="000000"/>
              </w:rPr>
              <w:t>-2.7</w:t>
            </w:r>
          </w:p>
        </w:tc>
        <w:tc>
          <w:tcPr>
            <w:tcW w:w="669" w:type="pct"/>
            <w:noWrap/>
            <w:vAlign w:val="bottom"/>
          </w:tcPr>
          <w:p w:rsidR="00DA49AC" w:rsidRPr="004C62CD" w:rsidRDefault="00DA49AC" w:rsidP="00C005CA">
            <w:pPr>
              <w:spacing w:line="240" w:lineRule="auto"/>
              <w:jc w:val="center"/>
              <w:rPr>
                <w:color w:val="000000"/>
              </w:rPr>
            </w:pPr>
            <w:r>
              <w:rPr>
                <w:color w:val="000000"/>
              </w:rPr>
              <w:t>7.2</w:t>
            </w:r>
          </w:p>
        </w:tc>
        <w:tc>
          <w:tcPr>
            <w:tcW w:w="670" w:type="pct"/>
            <w:noWrap/>
            <w:vAlign w:val="bottom"/>
          </w:tcPr>
          <w:p w:rsidR="00DA49AC" w:rsidRPr="004C62CD" w:rsidRDefault="00DA49AC" w:rsidP="00C005CA">
            <w:pPr>
              <w:spacing w:line="240" w:lineRule="auto"/>
              <w:jc w:val="center"/>
              <w:rPr>
                <w:color w:val="000000"/>
              </w:rPr>
            </w:pPr>
            <w:r>
              <w:rPr>
                <w:color w:val="000000"/>
              </w:rPr>
              <w:t>-34.0</w:t>
            </w:r>
          </w:p>
        </w:tc>
        <w:tc>
          <w:tcPr>
            <w:tcW w:w="669" w:type="pct"/>
            <w:noWrap/>
            <w:vAlign w:val="bottom"/>
          </w:tcPr>
          <w:p w:rsidR="00DA49AC" w:rsidRPr="004C62CD" w:rsidRDefault="00DA49AC" w:rsidP="00C005CA">
            <w:pPr>
              <w:spacing w:line="240" w:lineRule="auto"/>
              <w:jc w:val="center"/>
              <w:rPr>
                <w:color w:val="000000"/>
              </w:rPr>
            </w:pPr>
            <w:r>
              <w:rPr>
                <w:color w:val="000000"/>
              </w:rPr>
              <w:t>-2.1</w:t>
            </w:r>
          </w:p>
        </w:tc>
        <w:tc>
          <w:tcPr>
            <w:tcW w:w="670" w:type="pct"/>
            <w:noWrap/>
            <w:vAlign w:val="bottom"/>
          </w:tcPr>
          <w:p w:rsidR="00DA49AC" w:rsidRPr="004C62CD" w:rsidRDefault="00DA49AC" w:rsidP="00C005CA">
            <w:pPr>
              <w:spacing w:line="240" w:lineRule="auto"/>
              <w:jc w:val="center"/>
              <w:rPr>
                <w:color w:val="000000"/>
              </w:rPr>
            </w:pPr>
            <w:r>
              <w:rPr>
                <w:color w:val="000000"/>
              </w:rPr>
              <w:t>14.6</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Upper</w:t>
            </w:r>
            <w:r>
              <w:rPr>
                <w:color w:val="000000"/>
              </w:rPr>
              <w:t xml:space="preserve"> class</w:t>
            </w:r>
          </w:p>
        </w:tc>
        <w:tc>
          <w:tcPr>
            <w:tcW w:w="669" w:type="pct"/>
            <w:noWrap/>
            <w:vAlign w:val="bottom"/>
          </w:tcPr>
          <w:p w:rsidR="00DA49AC" w:rsidRPr="004C62CD" w:rsidRDefault="00DA49AC" w:rsidP="00C005CA">
            <w:pPr>
              <w:spacing w:line="240" w:lineRule="auto"/>
              <w:jc w:val="center"/>
              <w:rPr>
                <w:color w:val="000000"/>
              </w:rPr>
            </w:pPr>
            <w:r>
              <w:rPr>
                <w:color w:val="000000"/>
              </w:rPr>
              <w:t>1.9</w:t>
            </w:r>
          </w:p>
        </w:tc>
        <w:tc>
          <w:tcPr>
            <w:tcW w:w="669" w:type="pct"/>
            <w:noWrap/>
            <w:vAlign w:val="bottom"/>
          </w:tcPr>
          <w:p w:rsidR="00DA49AC" w:rsidRPr="004C62CD" w:rsidRDefault="00DA49AC" w:rsidP="00C005CA">
            <w:pPr>
              <w:spacing w:line="240" w:lineRule="auto"/>
              <w:jc w:val="center"/>
              <w:rPr>
                <w:color w:val="000000"/>
              </w:rPr>
            </w:pPr>
            <w:r>
              <w:rPr>
                <w:color w:val="000000"/>
              </w:rPr>
              <w:t>13.7</w:t>
            </w:r>
          </w:p>
        </w:tc>
        <w:tc>
          <w:tcPr>
            <w:tcW w:w="670" w:type="pct"/>
            <w:noWrap/>
            <w:vAlign w:val="bottom"/>
          </w:tcPr>
          <w:p w:rsidR="00DA49AC" w:rsidRPr="004C62CD" w:rsidRDefault="00DA49AC" w:rsidP="00C005CA">
            <w:pPr>
              <w:spacing w:line="240" w:lineRule="auto"/>
              <w:jc w:val="center"/>
              <w:rPr>
                <w:color w:val="000000"/>
              </w:rPr>
            </w:pPr>
            <w:r>
              <w:rPr>
                <w:color w:val="000000"/>
              </w:rPr>
              <w:t>-42.6</w:t>
            </w:r>
          </w:p>
        </w:tc>
        <w:tc>
          <w:tcPr>
            <w:tcW w:w="669" w:type="pct"/>
            <w:noWrap/>
            <w:vAlign w:val="bottom"/>
          </w:tcPr>
          <w:p w:rsidR="00DA49AC" w:rsidRPr="004C62CD" w:rsidRDefault="00DA49AC" w:rsidP="00C005CA">
            <w:pPr>
              <w:spacing w:line="240" w:lineRule="auto"/>
              <w:jc w:val="center"/>
              <w:rPr>
                <w:color w:val="000000"/>
              </w:rPr>
            </w:pPr>
            <w:r>
              <w:rPr>
                <w:color w:val="000000"/>
              </w:rPr>
              <w:t>1.1</w:t>
            </w:r>
          </w:p>
        </w:tc>
        <w:tc>
          <w:tcPr>
            <w:tcW w:w="670" w:type="pct"/>
            <w:noWrap/>
            <w:vAlign w:val="bottom"/>
          </w:tcPr>
          <w:p w:rsidR="00DA49AC" w:rsidRPr="004C62CD" w:rsidRDefault="00DA49AC" w:rsidP="00C005CA">
            <w:pPr>
              <w:spacing w:line="240" w:lineRule="auto"/>
              <w:jc w:val="center"/>
              <w:rPr>
                <w:color w:val="000000"/>
              </w:rPr>
            </w:pPr>
            <w:r>
              <w:rPr>
                <w:color w:val="000000"/>
              </w:rPr>
              <w:t>39.4</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Women</w:t>
            </w:r>
          </w:p>
        </w:tc>
        <w:tc>
          <w:tcPr>
            <w:tcW w:w="669" w:type="pct"/>
            <w:noWrap/>
            <w:vAlign w:val="bottom"/>
          </w:tcPr>
          <w:p w:rsidR="00DA49AC" w:rsidRPr="004C62CD" w:rsidRDefault="00DA49AC" w:rsidP="00C005CA">
            <w:pPr>
              <w:spacing w:line="240" w:lineRule="auto"/>
              <w:jc w:val="center"/>
              <w:rPr>
                <w:color w:val="000000"/>
              </w:rPr>
            </w:pPr>
            <w:r>
              <w:rPr>
                <w:color w:val="000000"/>
              </w:rPr>
              <w:t>9.0</w:t>
            </w:r>
          </w:p>
        </w:tc>
        <w:tc>
          <w:tcPr>
            <w:tcW w:w="669" w:type="pct"/>
            <w:noWrap/>
            <w:vAlign w:val="bottom"/>
          </w:tcPr>
          <w:p w:rsidR="00DA49AC" w:rsidRPr="004C62CD" w:rsidRDefault="00DA49AC" w:rsidP="00C005CA">
            <w:pPr>
              <w:spacing w:line="240" w:lineRule="auto"/>
              <w:jc w:val="center"/>
              <w:rPr>
                <w:color w:val="000000"/>
              </w:rPr>
            </w:pPr>
            <w:r>
              <w:rPr>
                <w:color w:val="000000"/>
              </w:rPr>
              <w:t>8.0</w:t>
            </w:r>
          </w:p>
        </w:tc>
        <w:tc>
          <w:tcPr>
            <w:tcW w:w="670" w:type="pct"/>
            <w:noWrap/>
            <w:vAlign w:val="bottom"/>
          </w:tcPr>
          <w:p w:rsidR="00DA49AC" w:rsidRPr="004C62CD" w:rsidRDefault="00DA49AC" w:rsidP="00C005CA">
            <w:pPr>
              <w:spacing w:line="240" w:lineRule="auto"/>
              <w:jc w:val="center"/>
              <w:rPr>
                <w:color w:val="000000"/>
              </w:rPr>
            </w:pPr>
            <w:r>
              <w:rPr>
                <w:color w:val="000000"/>
              </w:rPr>
              <w:t>-6.9</w:t>
            </w:r>
          </w:p>
        </w:tc>
        <w:tc>
          <w:tcPr>
            <w:tcW w:w="669" w:type="pct"/>
            <w:noWrap/>
            <w:vAlign w:val="bottom"/>
          </w:tcPr>
          <w:p w:rsidR="00DA49AC" w:rsidRPr="004C62CD" w:rsidRDefault="00DA49AC" w:rsidP="00C005CA">
            <w:pPr>
              <w:spacing w:line="240" w:lineRule="auto"/>
              <w:jc w:val="center"/>
              <w:rPr>
                <w:color w:val="000000"/>
              </w:rPr>
            </w:pPr>
            <w:r>
              <w:rPr>
                <w:color w:val="000000"/>
              </w:rPr>
              <w:t>7.5</w:t>
            </w:r>
          </w:p>
        </w:tc>
        <w:tc>
          <w:tcPr>
            <w:tcW w:w="670" w:type="pct"/>
            <w:noWrap/>
            <w:vAlign w:val="bottom"/>
          </w:tcPr>
          <w:p w:rsidR="00DA49AC" w:rsidRPr="004C62CD" w:rsidRDefault="00DA49AC" w:rsidP="00C005CA">
            <w:pPr>
              <w:spacing w:line="240" w:lineRule="auto"/>
              <w:jc w:val="center"/>
              <w:rPr>
                <w:color w:val="000000"/>
              </w:rPr>
            </w:pPr>
            <w:r>
              <w:rPr>
                <w:color w:val="000000"/>
              </w:rPr>
              <w:t>29.9</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sidRPr="004C62CD">
              <w:rPr>
                <w:color w:val="000000"/>
              </w:rPr>
              <w:t>Working</w:t>
            </w:r>
            <w:r>
              <w:rPr>
                <w:color w:val="000000"/>
              </w:rPr>
              <w:t xml:space="preserve"> class</w:t>
            </w:r>
          </w:p>
        </w:tc>
        <w:tc>
          <w:tcPr>
            <w:tcW w:w="669" w:type="pct"/>
            <w:noWrap/>
            <w:vAlign w:val="bottom"/>
          </w:tcPr>
          <w:p w:rsidR="00DA49AC" w:rsidRPr="004C62CD" w:rsidRDefault="00DA49AC" w:rsidP="00C005CA">
            <w:pPr>
              <w:spacing w:line="240" w:lineRule="auto"/>
              <w:jc w:val="center"/>
              <w:rPr>
                <w:color w:val="000000"/>
              </w:rPr>
            </w:pPr>
            <w:r>
              <w:rPr>
                <w:color w:val="000000"/>
              </w:rPr>
              <w:t>-0.4</w:t>
            </w:r>
          </w:p>
        </w:tc>
        <w:tc>
          <w:tcPr>
            <w:tcW w:w="669" w:type="pct"/>
            <w:noWrap/>
            <w:vAlign w:val="bottom"/>
          </w:tcPr>
          <w:p w:rsidR="00DA49AC" w:rsidRPr="004C62CD" w:rsidRDefault="00DA49AC" w:rsidP="00C005CA">
            <w:pPr>
              <w:spacing w:line="240" w:lineRule="auto"/>
              <w:jc w:val="center"/>
              <w:rPr>
                <w:color w:val="000000"/>
              </w:rPr>
            </w:pPr>
            <w:r>
              <w:rPr>
                <w:color w:val="000000"/>
              </w:rPr>
              <w:t>1.8</w:t>
            </w:r>
          </w:p>
        </w:tc>
        <w:tc>
          <w:tcPr>
            <w:tcW w:w="670" w:type="pct"/>
            <w:noWrap/>
            <w:vAlign w:val="bottom"/>
          </w:tcPr>
          <w:p w:rsidR="00DA49AC" w:rsidRPr="004C62CD" w:rsidRDefault="00DA49AC" w:rsidP="00C005CA">
            <w:pPr>
              <w:spacing w:line="240" w:lineRule="auto"/>
              <w:jc w:val="center"/>
              <w:rPr>
                <w:color w:val="000000"/>
              </w:rPr>
            </w:pPr>
            <w:r>
              <w:rPr>
                <w:color w:val="000000"/>
              </w:rPr>
              <w:t>-8.5</w:t>
            </w:r>
          </w:p>
        </w:tc>
        <w:tc>
          <w:tcPr>
            <w:tcW w:w="669" w:type="pct"/>
            <w:noWrap/>
            <w:vAlign w:val="bottom"/>
          </w:tcPr>
          <w:p w:rsidR="00DA49AC" w:rsidRPr="004C62CD" w:rsidRDefault="00DA49AC" w:rsidP="00C005CA">
            <w:pPr>
              <w:spacing w:line="240" w:lineRule="auto"/>
              <w:jc w:val="center"/>
              <w:rPr>
                <w:color w:val="000000"/>
              </w:rPr>
            </w:pPr>
            <w:r>
              <w:rPr>
                <w:color w:val="000000"/>
              </w:rPr>
              <w:t>0.0</w:t>
            </w:r>
          </w:p>
        </w:tc>
        <w:tc>
          <w:tcPr>
            <w:tcW w:w="670" w:type="pct"/>
            <w:noWrap/>
            <w:vAlign w:val="bottom"/>
          </w:tcPr>
          <w:p w:rsidR="00DA49AC" w:rsidRPr="004C62CD" w:rsidRDefault="00DA49AC" w:rsidP="00C005CA">
            <w:pPr>
              <w:spacing w:line="240" w:lineRule="auto"/>
              <w:jc w:val="center"/>
              <w:rPr>
                <w:color w:val="000000"/>
              </w:rPr>
            </w:pPr>
            <w:r>
              <w:rPr>
                <w:color w:val="000000"/>
              </w:rPr>
              <w:t>4.5</w:t>
            </w: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p>
        </w:tc>
        <w:tc>
          <w:tcPr>
            <w:tcW w:w="669" w:type="pct"/>
            <w:noWrap/>
            <w:vAlign w:val="bottom"/>
          </w:tcPr>
          <w:p w:rsidR="00DA49AC" w:rsidRPr="004C62CD" w:rsidRDefault="00DA49AC" w:rsidP="00C005CA">
            <w:pPr>
              <w:spacing w:line="240" w:lineRule="auto"/>
              <w:jc w:val="center"/>
              <w:rPr>
                <w:color w:val="000000"/>
              </w:rPr>
            </w:pPr>
          </w:p>
        </w:tc>
        <w:tc>
          <w:tcPr>
            <w:tcW w:w="669" w:type="pct"/>
            <w:noWrap/>
            <w:vAlign w:val="bottom"/>
          </w:tcPr>
          <w:p w:rsidR="00DA49AC" w:rsidRPr="004C62CD" w:rsidRDefault="00DA49AC" w:rsidP="00C005CA">
            <w:pPr>
              <w:spacing w:line="240" w:lineRule="auto"/>
              <w:jc w:val="center"/>
              <w:rPr>
                <w:color w:val="000000"/>
              </w:rPr>
            </w:pPr>
          </w:p>
        </w:tc>
        <w:tc>
          <w:tcPr>
            <w:tcW w:w="670" w:type="pct"/>
            <w:noWrap/>
            <w:vAlign w:val="bottom"/>
          </w:tcPr>
          <w:p w:rsidR="00DA49AC" w:rsidRPr="004C62CD" w:rsidRDefault="00DA49AC" w:rsidP="00C005CA">
            <w:pPr>
              <w:spacing w:line="240" w:lineRule="auto"/>
              <w:jc w:val="center"/>
              <w:rPr>
                <w:color w:val="000000"/>
              </w:rPr>
            </w:pPr>
          </w:p>
        </w:tc>
        <w:tc>
          <w:tcPr>
            <w:tcW w:w="669" w:type="pct"/>
            <w:noWrap/>
            <w:vAlign w:val="bottom"/>
          </w:tcPr>
          <w:p w:rsidR="00DA49AC" w:rsidRPr="004C62CD" w:rsidRDefault="00DA49AC" w:rsidP="00C005CA">
            <w:pPr>
              <w:spacing w:line="240" w:lineRule="auto"/>
              <w:jc w:val="center"/>
              <w:rPr>
                <w:color w:val="000000"/>
              </w:rPr>
            </w:pPr>
          </w:p>
        </w:tc>
        <w:tc>
          <w:tcPr>
            <w:tcW w:w="670" w:type="pct"/>
            <w:noWrap/>
            <w:vAlign w:val="bottom"/>
          </w:tcPr>
          <w:p w:rsidR="00DA49AC" w:rsidRPr="004C62CD" w:rsidRDefault="00DA49AC" w:rsidP="00C005CA">
            <w:pPr>
              <w:spacing w:line="240" w:lineRule="auto"/>
              <w:jc w:val="center"/>
              <w:rPr>
                <w:color w:val="000000"/>
              </w:rPr>
            </w:pPr>
          </w:p>
        </w:tc>
      </w:tr>
      <w:tr w:rsidR="00DA49AC" w:rsidRPr="003301F4" w:rsidTr="00EC0F76">
        <w:trPr>
          <w:trHeight w:val="300"/>
        </w:trPr>
        <w:tc>
          <w:tcPr>
            <w:tcW w:w="1653" w:type="pct"/>
            <w:noWrap/>
            <w:vAlign w:val="bottom"/>
          </w:tcPr>
          <w:p w:rsidR="00DA49AC" w:rsidRPr="004C62CD" w:rsidRDefault="00DA49AC" w:rsidP="00C005CA">
            <w:pPr>
              <w:spacing w:line="240" w:lineRule="auto"/>
              <w:rPr>
                <w:color w:val="000000"/>
              </w:rPr>
            </w:pPr>
            <w:r>
              <w:rPr>
                <w:color w:val="000000"/>
              </w:rPr>
              <w:t>Years between ownership censuses</w:t>
            </w:r>
          </w:p>
        </w:tc>
        <w:tc>
          <w:tcPr>
            <w:tcW w:w="669" w:type="pct"/>
            <w:noWrap/>
            <w:vAlign w:val="bottom"/>
          </w:tcPr>
          <w:p w:rsidR="00DA49AC" w:rsidRPr="004C62CD" w:rsidRDefault="00DA49AC" w:rsidP="00C005CA">
            <w:pPr>
              <w:spacing w:line="240" w:lineRule="auto"/>
              <w:jc w:val="center"/>
              <w:rPr>
                <w:color w:val="000000"/>
              </w:rPr>
            </w:pPr>
            <w:r>
              <w:rPr>
                <w:color w:val="000000"/>
              </w:rPr>
              <w:t>15.9</w:t>
            </w:r>
          </w:p>
        </w:tc>
        <w:tc>
          <w:tcPr>
            <w:tcW w:w="669" w:type="pct"/>
            <w:noWrap/>
            <w:vAlign w:val="bottom"/>
          </w:tcPr>
          <w:p w:rsidR="00DA49AC" w:rsidRPr="004C62CD" w:rsidRDefault="00DA49AC" w:rsidP="00C005CA">
            <w:pPr>
              <w:spacing w:line="240" w:lineRule="auto"/>
              <w:jc w:val="center"/>
              <w:rPr>
                <w:color w:val="000000"/>
              </w:rPr>
            </w:pPr>
            <w:r>
              <w:rPr>
                <w:color w:val="000000"/>
              </w:rPr>
              <w:t>8.9</w:t>
            </w:r>
          </w:p>
        </w:tc>
        <w:tc>
          <w:tcPr>
            <w:tcW w:w="670" w:type="pct"/>
            <w:noWrap/>
            <w:vAlign w:val="bottom"/>
          </w:tcPr>
          <w:p w:rsidR="00DA49AC" w:rsidRPr="004C62CD" w:rsidRDefault="00DA49AC" w:rsidP="00C005CA">
            <w:pPr>
              <w:spacing w:line="240" w:lineRule="auto"/>
              <w:jc w:val="center"/>
              <w:rPr>
                <w:color w:val="000000"/>
              </w:rPr>
            </w:pPr>
            <w:r>
              <w:rPr>
                <w:color w:val="000000"/>
              </w:rPr>
              <w:t>4.0</w:t>
            </w:r>
          </w:p>
        </w:tc>
        <w:tc>
          <w:tcPr>
            <w:tcW w:w="669" w:type="pct"/>
            <w:noWrap/>
            <w:vAlign w:val="bottom"/>
          </w:tcPr>
          <w:p w:rsidR="00DA49AC" w:rsidRPr="004C62CD" w:rsidRDefault="00DA49AC" w:rsidP="00C005CA">
            <w:pPr>
              <w:spacing w:line="240" w:lineRule="auto"/>
              <w:jc w:val="center"/>
              <w:rPr>
                <w:color w:val="000000"/>
              </w:rPr>
            </w:pPr>
            <w:r>
              <w:rPr>
                <w:color w:val="000000"/>
              </w:rPr>
              <w:t>15.0</w:t>
            </w:r>
          </w:p>
        </w:tc>
        <w:tc>
          <w:tcPr>
            <w:tcW w:w="670" w:type="pct"/>
            <w:noWrap/>
            <w:vAlign w:val="bottom"/>
          </w:tcPr>
          <w:p w:rsidR="00DA49AC" w:rsidRPr="004C62CD" w:rsidRDefault="00DA49AC" w:rsidP="00C005CA">
            <w:pPr>
              <w:spacing w:line="240" w:lineRule="auto"/>
              <w:jc w:val="center"/>
              <w:rPr>
                <w:color w:val="000000"/>
              </w:rPr>
            </w:pPr>
            <w:r>
              <w:rPr>
                <w:color w:val="000000"/>
              </w:rPr>
              <w:t>44.0</w:t>
            </w:r>
          </w:p>
        </w:tc>
      </w:tr>
      <w:tr w:rsidR="00DA49AC" w:rsidRPr="003301F4" w:rsidTr="00EC0F76">
        <w:trPr>
          <w:trHeight w:val="300"/>
        </w:trPr>
        <w:tc>
          <w:tcPr>
            <w:tcW w:w="1653" w:type="pct"/>
            <w:tcBorders>
              <w:top w:val="nil"/>
              <w:bottom w:val="single" w:sz="4" w:space="0" w:color="auto"/>
            </w:tcBorders>
            <w:noWrap/>
            <w:vAlign w:val="bottom"/>
          </w:tcPr>
          <w:p w:rsidR="00DA49AC" w:rsidRPr="004C62CD" w:rsidRDefault="00DA49AC" w:rsidP="00C005CA">
            <w:pPr>
              <w:spacing w:line="240" w:lineRule="auto"/>
              <w:rPr>
                <w:color w:val="000000"/>
              </w:rPr>
            </w:pPr>
          </w:p>
        </w:tc>
        <w:tc>
          <w:tcPr>
            <w:tcW w:w="669" w:type="pct"/>
            <w:tcBorders>
              <w:top w:val="nil"/>
              <w:bottom w:val="single" w:sz="4" w:space="0" w:color="auto"/>
            </w:tcBorders>
            <w:noWrap/>
            <w:vAlign w:val="bottom"/>
          </w:tcPr>
          <w:p w:rsidR="00DA49AC" w:rsidRPr="004C62CD" w:rsidRDefault="00DA49AC" w:rsidP="00C005CA">
            <w:pPr>
              <w:spacing w:line="240" w:lineRule="auto"/>
              <w:rPr>
                <w:color w:val="000000"/>
              </w:rPr>
            </w:pPr>
          </w:p>
        </w:tc>
        <w:tc>
          <w:tcPr>
            <w:tcW w:w="669" w:type="pct"/>
            <w:tcBorders>
              <w:top w:val="nil"/>
              <w:bottom w:val="single" w:sz="4" w:space="0" w:color="auto"/>
            </w:tcBorders>
            <w:noWrap/>
            <w:vAlign w:val="bottom"/>
          </w:tcPr>
          <w:p w:rsidR="00DA49AC" w:rsidRPr="004C62CD" w:rsidRDefault="00DA49AC" w:rsidP="00C005CA">
            <w:pPr>
              <w:spacing w:line="240" w:lineRule="auto"/>
              <w:rPr>
                <w:color w:val="000000"/>
              </w:rPr>
            </w:pPr>
          </w:p>
        </w:tc>
        <w:tc>
          <w:tcPr>
            <w:tcW w:w="670" w:type="pct"/>
            <w:tcBorders>
              <w:top w:val="nil"/>
              <w:bottom w:val="single" w:sz="4" w:space="0" w:color="auto"/>
            </w:tcBorders>
            <w:noWrap/>
            <w:vAlign w:val="bottom"/>
          </w:tcPr>
          <w:p w:rsidR="00DA49AC" w:rsidRPr="004C62CD" w:rsidRDefault="00DA49AC" w:rsidP="00C005CA">
            <w:pPr>
              <w:spacing w:line="240" w:lineRule="auto"/>
              <w:rPr>
                <w:color w:val="000000"/>
              </w:rPr>
            </w:pPr>
          </w:p>
        </w:tc>
        <w:tc>
          <w:tcPr>
            <w:tcW w:w="669" w:type="pct"/>
            <w:tcBorders>
              <w:top w:val="nil"/>
              <w:bottom w:val="single" w:sz="4" w:space="0" w:color="auto"/>
            </w:tcBorders>
            <w:noWrap/>
            <w:vAlign w:val="bottom"/>
          </w:tcPr>
          <w:p w:rsidR="00DA49AC" w:rsidRPr="004C62CD" w:rsidRDefault="00DA49AC" w:rsidP="00C005CA">
            <w:pPr>
              <w:spacing w:line="240" w:lineRule="auto"/>
              <w:rPr>
                <w:color w:val="000000"/>
              </w:rPr>
            </w:pPr>
          </w:p>
        </w:tc>
        <w:tc>
          <w:tcPr>
            <w:tcW w:w="670" w:type="pct"/>
            <w:tcBorders>
              <w:top w:val="nil"/>
              <w:bottom w:val="single" w:sz="4" w:space="0" w:color="auto"/>
            </w:tcBorders>
            <w:noWrap/>
            <w:vAlign w:val="bottom"/>
          </w:tcPr>
          <w:p w:rsidR="00DA49AC" w:rsidRPr="004C62CD" w:rsidRDefault="00DA49AC" w:rsidP="00C005CA">
            <w:pPr>
              <w:spacing w:line="240" w:lineRule="auto"/>
              <w:rPr>
                <w:color w:val="000000"/>
              </w:rPr>
            </w:pPr>
          </w:p>
        </w:tc>
      </w:tr>
    </w:tbl>
    <w:p w:rsidR="00DA49AC" w:rsidRDefault="00DA49AC" w:rsidP="00EC0F76">
      <w:pPr>
        <w:spacing w:line="240" w:lineRule="auto"/>
      </w:pPr>
      <w:r w:rsidRPr="006D587B">
        <w:rPr>
          <w:i/>
        </w:rPr>
        <w:t>Sources</w:t>
      </w:r>
      <w:r>
        <w:t>: See text</w:t>
      </w:r>
    </w:p>
    <w:p w:rsidR="00DA49AC" w:rsidRDefault="00DA49AC" w:rsidP="007A761D">
      <w:pPr>
        <w:spacing w:line="240" w:lineRule="auto"/>
        <w:jc w:val="both"/>
      </w:pPr>
      <w:r w:rsidRPr="006D587B">
        <w:rPr>
          <w:i/>
        </w:rPr>
        <w:t>Notes</w:t>
      </w:r>
      <w:r>
        <w:t xml:space="preserve">: There are 126 equities where we have more than one ownership census. The </w:t>
      </w:r>
      <w:r>
        <w:rPr>
          <w:i/>
        </w:rPr>
        <w:t>B</w:t>
      </w:r>
      <w:r w:rsidRPr="00780BCA">
        <w:rPr>
          <w:i/>
        </w:rPr>
        <w:t>usinessmen</w:t>
      </w:r>
      <w:r>
        <w:t xml:space="preserve"> category consists of manufacturers, merchants and retailers. </w:t>
      </w:r>
      <w:r w:rsidRPr="00780BCA">
        <w:rPr>
          <w:i/>
        </w:rPr>
        <w:t>Institutional investors</w:t>
      </w:r>
      <w:r>
        <w:t xml:space="preserve"> are companies and investment trusts.  </w:t>
      </w:r>
      <w:r w:rsidRPr="00780BCA">
        <w:rPr>
          <w:i/>
        </w:rPr>
        <w:t>Finance</w:t>
      </w:r>
      <w:r>
        <w:t xml:space="preserve"> includes bankers, stockbrokers and other financial professionals. </w:t>
      </w:r>
      <w:r w:rsidRPr="00780BCA">
        <w:rPr>
          <w:i/>
        </w:rPr>
        <w:t>Middle class</w:t>
      </w:r>
      <w:r>
        <w:t xml:space="preserve"> includes clergy, legal professionals, professionals and white-collar employees. </w:t>
      </w:r>
      <w:r w:rsidRPr="00780BCA">
        <w:rPr>
          <w:i/>
        </w:rPr>
        <w:t>Upper class</w:t>
      </w:r>
      <w:r>
        <w:t xml:space="preserve"> consists of army and naval officers, esquires, gentlemen and members of the nobility.  The </w:t>
      </w:r>
      <w:r w:rsidRPr="007E0756">
        <w:rPr>
          <w:i/>
        </w:rPr>
        <w:t>Women</w:t>
      </w:r>
      <w:r>
        <w:t xml:space="preserve"> category consists of married women, spinsters and widows.  The </w:t>
      </w:r>
      <w:r w:rsidRPr="007E0756">
        <w:rPr>
          <w:i/>
        </w:rPr>
        <w:t>Working class</w:t>
      </w:r>
      <w:r>
        <w:t xml:space="preserve"> category consists of the skilled and unskilled working class.</w:t>
      </w:r>
    </w:p>
    <w:p w:rsidR="00DA49AC" w:rsidRDefault="00DA49AC" w:rsidP="007A761D">
      <w:pPr>
        <w:spacing w:line="240" w:lineRule="auto"/>
        <w:jc w:val="both"/>
      </w:pPr>
    </w:p>
    <w:p w:rsidR="00DA49AC" w:rsidRDefault="00DA49AC">
      <w:pPr>
        <w:spacing w:line="276" w:lineRule="auto"/>
      </w:pPr>
      <w:r>
        <w:br w:type="page"/>
      </w:r>
    </w:p>
    <w:p w:rsidR="00DA49AC" w:rsidRDefault="00DA49AC" w:rsidP="007A761D">
      <w:pPr>
        <w:spacing w:line="240" w:lineRule="auto"/>
        <w:jc w:val="both"/>
      </w:pPr>
    </w:p>
    <w:p w:rsidR="00DA49AC" w:rsidRDefault="00DA49AC" w:rsidP="007A761D">
      <w:pPr>
        <w:spacing w:line="240" w:lineRule="auto"/>
        <w:jc w:val="both"/>
      </w:pPr>
    </w:p>
    <w:p w:rsidR="00DA49AC" w:rsidRPr="006D18EA" w:rsidRDefault="00DA49AC" w:rsidP="006D18EA">
      <w:pPr>
        <w:spacing w:line="240" w:lineRule="auto"/>
        <w:jc w:val="both"/>
        <w:rPr>
          <w:sz w:val="24"/>
          <w:szCs w:val="24"/>
        </w:rPr>
      </w:pPr>
      <w:r>
        <w:rPr>
          <w:i/>
          <w:sz w:val="24"/>
          <w:szCs w:val="24"/>
        </w:rPr>
        <w:t>Table 5</w:t>
      </w:r>
      <w:r w:rsidRPr="006D18EA">
        <w:rPr>
          <w:sz w:val="24"/>
          <w:szCs w:val="24"/>
        </w:rPr>
        <w:t xml:space="preserve">. </w:t>
      </w:r>
      <w:r>
        <w:rPr>
          <w:sz w:val="24"/>
          <w:szCs w:val="24"/>
        </w:rPr>
        <w:tab/>
        <w:t>Proportion of capital c</w:t>
      </w:r>
      <w:r w:rsidRPr="006D18EA">
        <w:rPr>
          <w:sz w:val="24"/>
          <w:szCs w:val="24"/>
        </w:rPr>
        <w:t xml:space="preserve">ontributed by </w:t>
      </w:r>
      <w:r>
        <w:rPr>
          <w:sz w:val="24"/>
          <w:szCs w:val="24"/>
        </w:rPr>
        <w:t>each occupational g</w:t>
      </w:r>
      <w:r w:rsidRPr="006D18EA">
        <w:rPr>
          <w:sz w:val="24"/>
          <w:szCs w:val="24"/>
        </w:rPr>
        <w:t xml:space="preserve">roup, by </w:t>
      </w:r>
      <w:r>
        <w:rPr>
          <w:sz w:val="24"/>
          <w:szCs w:val="24"/>
        </w:rPr>
        <w:t>i</w:t>
      </w:r>
      <w:r w:rsidRPr="006D18EA">
        <w:rPr>
          <w:sz w:val="24"/>
          <w:szCs w:val="24"/>
        </w:rPr>
        <w:t>ndustry</w:t>
      </w:r>
      <w:r>
        <w:rPr>
          <w:sz w:val="24"/>
          <w:szCs w:val="24"/>
        </w:rPr>
        <w:t xml:space="preserve"> and foreign vs. domestic</w:t>
      </w:r>
    </w:p>
    <w:tbl>
      <w:tblPr>
        <w:tblW w:w="5000" w:type="pct"/>
        <w:tblBorders>
          <w:top w:val="double" w:sz="4" w:space="0" w:color="auto"/>
          <w:bottom w:val="double" w:sz="4" w:space="0" w:color="auto"/>
        </w:tblBorders>
        <w:tblLayout w:type="fixed"/>
        <w:tblLook w:val="00A0"/>
      </w:tblPr>
      <w:tblGrid>
        <w:gridCol w:w="2239"/>
        <w:gridCol w:w="1135"/>
        <w:gridCol w:w="1070"/>
        <w:gridCol w:w="961"/>
        <w:gridCol w:w="959"/>
        <w:gridCol w:w="835"/>
        <w:gridCol w:w="991"/>
        <w:gridCol w:w="1052"/>
      </w:tblGrid>
      <w:tr w:rsidR="00DA49AC" w:rsidRPr="003301F4" w:rsidTr="00961CB4">
        <w:trPr>
          <w:trHeight w:val="488"/>
        </w:trPr>
        <w:tc>
          <w:tcPr>
            <w:tcW w:w="1211" w:type="pct"/>
            <w:tcBorders>
              <w:top w:val="single" w:sz="4" w:space="0" w:color="auto"/>
            </w:tcBorders>
            <w:noWrap/>
            <w:vAlign w:val="bottom"/>
          </w:tcPr>
          <w:p w:rsidR="00DA49AC" w:rsidRPr="00D86156" w:rsidRDefault="00DA49AC" w:rsidP="0027220E">
            <w:pPr>
              <w:spacing w:line="240" w:lineRule="auto"/>
              <w:rPr>
                <w:color w:val="000000"/>
              </w:rPr>
            </w:pPr>
          </w:p>
        </w:tc>
        <w:tc>
          <w:tcPr>
            <w:tcW w:w="614" w:type="pct"/>
            <w:tcBorders>
              <w:top w:val="single" w:sz="4" w:space="0" w:color="auto"/>
              <w:bottom w:val="single" w:sz="4" w:space="0" w:color="auto"/>
            </w:tcBorders>
            <w:noWrap/>
            <w:vAlign w:val="center"/>
          </w:tcPr>
          <w:p w:rsidR="00DA49AC" w:rsidRPr="006D18EA" w:rsidRDefault="00DA49AC" w:rsidP="0027220E">
            <w:pPr>
              <w:spacing w:line="240" w:lineRule="auto"/>
              <w:jc w:val="center"/>
              <w:rPr>
                <w:color w:val="000000"/>
              </w:rPr>
            </w:pPr>
            <w:r w:rsidRPr="006D18EA">
              <w:rPr>
                <w:color w:val="000000"/>
              </w:rPr>
              <w:t>Breweries</w:t>
            </w:r>
          </w:p>
        </w:tc>
        <w:tc>
          <w:tcPr>
            <w:tcW w:w="579" w:type="pct"/>
            <w:tcBorders>
              <w:top w:val="single" w:sz="4" w:space="0" w:color="auto"/>
              <w:bottom w:val="single" w:sz="4" w:space="0" w:color="auto"/>
            </w:tcBorders>
            <w:noWrap/>
            <w:vAlign w:val="center"/>
          </w:tcPr>
          <w:p w:rsidR="00DA49AC" w:rsidRPr="006D18EA" w:rsidRDefault="00DA49AC" w:rsidP="0027220E">
            <w:pPr>
              <w:spacing w:line="240" w:lineRule="auto"/>
              <w:jc w:val="center"/>
              <w:rPr>
                <w:color w:val="000000"/>
              </w:rPr>
            </w:pPr>
            <w:r w:rsidRPr="006D18EA">
              <w:rPr>
                <w:color w:val="000000"/>
              </w:rPr>
              <w:t>Financial</w:t>
            </w:r>
          </w:p>
        </w:tc>
        <w:tc>
          <w:tcPr>
            <w:tcW w:w="520" w:type="pct"/>
            <w:tcBorders>
              <w:top w:val="single" w:sz="4" w:space="0" w:color="auto"/>
              <w:bottom w:val="single" w:sz="4" w:space="0" w:color="auto"/>
            </w:tcBorders>
            <w:noWrap/>
            <w:vAlign w:val="center"/>
          </w:tcPr>
          <w:p w:rsidR="00DA49AC" w:rsidRPr="006D18EA" w:rsidRDefault="00DA49AC" w:rsidP="0027220E">
            <w:pPr>
              <w:spacing w:line="240" w:lineRule="auto"/>
              <w:jc w:val="center"/>
              <w:rPr>
                <w:color w:val="000000"/>
              </w:rPr>
            </w:pPr>
            <w:r w:rsidRPr="006D18EA">
              <w:rPr>
                <w:color w:val="000000"/>
              </w:rPr>
              <w:t>Mines</w:t>
            </w:r>
          </w:p>
        </w:tc>
        <w:tc>
          <w:tcPr>
            <w:tcW w:w="519" w:type="pct"/>
            <w:tcBorders>
              <w:top w:val="single" w:sz="4" w:space="0" w:color="auto"/>
              <w:bottom w:val="single" w:sz="4" w:space="0" w:color="auto"/>
            </w:tcBorders>
            <w:noWrap/>
            <w:vAlign w:val="center"/>
          </w:tcPr>
          <w:p w:rsidR="00DA49AC" w:rsidRPr="006D18EA" w:rsidRDefault="00DA49AC" w:rsidP="0027220E">
            <w:pPr>
              <w:spacing w:line="240" w:lineRule="auto"/>
              <w:jc w:val="center"/>
              <w:rPr>
                <w:color w:val="000000"/>
              </w:rPr>
            </w:pPr>
            <w:r w:rsidRPr="006D18EA">
              <w:rPr>
                <w:color w:val="000000"/>
              </w:rPr>
              <w:t>Utilities</w:t>
            </w:r>
          </w:p>
        </w:tc>
        <w:tc>
          <w:tcPr>
            <w:tcW w:w="452" w:type="pct"/>
            <w:tcBorders>
              <w:top w:val="single" w:sz="4" w:space="0" w:color="auto"/>
              <w:bottom w:val="single" w:sz="4" w:space="0" w:color="auto"/>
              <w:right w:val="single" w:sz="4" w:space="0" w:color="auto"/>
            </w:tcBorders>
            <w:noWrap/>
            <w:vAlign w:val="center"/>
          </w:tcPr>
          <w:p w:rsidR="00DA49AC" w:rsidRPr="006D18EA" w:rsidRDefault="00DA49AC" w:rsidP="0027220E">
            <w:pPr>
              <w:spacing w:line="240" w:lineRule="auto"/>
              <w:jc w:val="center"/>
              <w:rPr>
                <w:color w:val="000000"/>
              </w:rPr>
            </w:pPr>
            <w:r w:rsidRPr="006D18EA">
              <w:rPr>
                <w:color w:val="000000"/>
              </w:rPr>
              <w:t>Other</w:t>
            </w:r>
          </w:p>
        </w:tc>
        <w:tc>
          <w:tcPr>
            <w:tcW w:w="536" w:type="pct"/>
            <w:tcBorders>
              <w:top w:val="single" w:sz="4" w:space="0" w:color="auto"/>
              <w:left w:val="single" w:sz="4" w:space="0" w:color="auto"/>
              <w:bottom w:val="single" w:sz="4" w:space="0" w:color="auto"/>
            </w:tcBorders>
            <w:vAlign w:val="center"/>
          </w:tcPr>
          <w:p w:rsidR="00DA49AC" w:rsidRPr="006D18EA" w:rsidRDefault="00DA49AC" w:rsidP="0027220E">
            <w:pPr>
              <w:spacing w:line="240" w:lineRule="auto"/>
              <w:jc w:val="center"/>
              <w:rPr>
                <w:color w:val="000000"/>
              </w:rPr>
            </w:pPr>
            <w:r>
              <w:rPr>
                <w:color w:val="000000"/>
              </w:rPr>
              <w:t>Foreign</w:t>
            </w:r>
          </w:p>
        </w:tc>
        <w:tc>
          <w:tcPr>
            <w:tcW w:w="569" w:type="pct"/>
            <w:tcBorders>
              <w:top w:val="single" w:sz="4" w:space="0" w:color="auto"/>
              <w:bottom w:val="single" w:sz="4" w:space="0" w:color="auto"/>
            </w:tcBorders>
            <w:vAlign w:val="center"/>
          </w:tcPr>
          <w:p w:rsidR="00DA49AC" w:rsidRPr="006D18EA" w:rsidRDefault="00DA49AC" w:rsidP="0027220E">
            <w:pPr>
              <w:spacing w:line="240" w:lineRule="auto"/>
              <w:jc w:val="center"/>
              <w:rPr>
                <w:color w:val="000000"/>
              </w:rPr>
            </w:pPr>
            <w:r>
              <w:rPr>
                <w:color w:val="000000"/>
              </w:rPr>
              <w:t>Domestic</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p>
        </w:tc>
        <w:tc>
          <w:tcPr>
            <w:tcW w:w="614" w:type="pct"/>
            <w:tcBorders>
              <w:top w:val="single" w:sz="4" w:space="0" w:color="auto"/>
            </w:tcBorders>
            <w:noWrap/>
            <w:vAlign w:val="bottom"/>
          </w:tcPr>
          <w:p w:rsidR="00DA49AC" w:rsidRPr="00D86156" w:rsidRDefault="00DA49AC" w:rsidP="0027220E">
            <w:pPr>
              <w:spacing w:line="240" w:lineRule="auto"/>
              <w:rPr>
                <w:color w:val="000000"/>
              </w:rPr>
            </w:pPr>
          </w:p>
        </w:tc>
        <w:tc>
          <w:tcPr>
            <w:tcW w:w="579" w:type="pct"/>
            <w:tcBorders>
              <w:top w:val="single" w:sz="4" w:space="0" w:color="auto"/>
            </w:tcBorders>
            <w:noWrap/>
            <w:vAlign w:val="bottom"/>
          </w:tcPr>
          <w:p w:rsidR="00DA49AC" w:rsidRPr="00D86156" w:rsidRDefault="00DA49AC" w:rsidP="0027220E">
            <w:pPr>
              <w:spacing w:line="240" w:lineRule="auto"/>
              <w:rPr>
                <w:color w:val="000000"/>
              </w:rPr>
            </w:pPr>
          </w:p>
        </w:tc>
        <w:tc>
          <w:tcPr>
            <w:tcW w:w="520" w:type="pct"/>
            <w:tcBorders>
              <w:top w:val="single" w:sz="4" w:space="0" w:color="auto"/>
            </w:tcBorders>
            <w:noWrap/>
            <w:vAlign w:val="bottom"/>
          </w:tcPr>
          <w:p w:rsidR="00DA49AC" w:rsidRPr="00D86156" w:rsidRDefault="00DA49AC" w:rsidP="0027220E">
            <w:pPr>
              <w:spacing w:line="240" w:lineRule="auto"/>
              <w:rPr>
                <w:color w:val="000000"/>
              </w:rPr>
            </w:pPr>
          </w:p>
        </w:tc>
        <w:tc>
          <w:tcPr>
            <w:tcW w:w="519" w:type="pct"/>
            <w:tcBorders>
              <w:top w:val="single" w:sz="4" w:space="0" w:color="auto"/>
            </w:tcBorders>
            <w:noWrap/>
            <w:vAlign w:val="bottom"/>
          </w:tcPr>
          <w:p w:rsidR="00DA49AC" w:rsidRPr="00D86156" w:rsidRDefault="00DA49AC" w:rsidP="0027220E">
            <w:pPr>
              <w:spacing w:line="240" w:lineRule="auto"/>
              <w:rPr>
                <w:color w:val="000000"/>
              </w:rPr>
            </w:pPr>
          </w:p>
        </w:tc>
        <w:tc>
          <w:tcPr>
            <w:tcW w:w="452" w:type="pct"/>
            <w:tcBorders>
              <w:top w:val="single" w:sz="4" w:space="0" w:color="auto"/>
              <w:right w:val="single" w:sz="4" w:space="0" w:color="auto"/>
            </w:tcBorders>
            <w:noWrap/>
            <w:vAlign w:val="bottom"/>
          </w:tcPr>
          <w:p w:rsidR="00DA49AC" w:rsidRPr="00D86156" w:rsidRDefault="00DA49AC" w:rsidP="0027220E">
            <w:pPr>
              <w:spacing w:line="240" w:lineRule="auto"/>
              <w:rPr>
                <w:color w:val="000000"/>
              </w:rPr>
            </w:pPr>
          </w:p>
        </w:tc>
        <w:tc>
          <w:tcPr>
            <w:tcW w:w="536" w:type="pct"/>
            <w:tcBorders>
              <w:top w:val="single" w:sz="4" w:space="0" w:color="auto"/>
              <w:left w:val="single" w:sz="4" w:space="0" w:color="auto"/>
            </w:tcBorders>
          </w:tcPr>
          <w:p w:rsidR="00DA49AC" w:rsidRPr="00D86156" w:rsidRDefault="00DA49AC" w:rsidP="0027220E">
            <w:pPr>
              <w:spacing w:line="240" w:lineRule="auto"/>
              <w:rPr>
                <w:color w:val="000000"/>
              </w:rPr>
            </w:pPr>
          </w:p>
        </w:tc>
        <w:tc>
          <w:tcPr>
            <w:tcW w:w="569" w:type="pct"/>
            <w:tcBorders>
              <w:top w:val="single" w:sz="4" w:space="0" w:color="auto"/>
            </w:tcBorders>
          </w:tcPr>
          <w:p w:rsidR="00DA49AC" w:rsidRPr="00D86156" w:rsidRDefault="00DA49AC" w:rsidP="0027220E">
            <w:pPr>
              <w:spacing w:line="240" w:lineRule="auto"/>
              <w:rPr>
                <w:color w:val="000000"/>
              </w:rPr>
            </w:pP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Agriculture</w:t>
            </w:r>
          </w:p>
        </w:tc>
        <w:tc>
          <w:tcPr>
            <w:tcW w:w="614" w:type="pct"/>
            <w:noWrap/>
            <w:vAlign w:val="bottom"/>
          </w:tcPr>
          <w:p w:rsidR="00DA49AC" w:rsidRPr="00D86156" w:rsidRDefault="00DA49AC" w:rsidP="00CB5582">
            <w:pPr>
              <w:spacing w:line="240" w:lineRule="auto"/>
              <w:jc w:val="center"/>
              <w:rPr>
                <w:color w:val="000000"/>
              </w:rPr>
            </w:pPr>
            <w:r>
              <w:rPr>
                <w:color w:val="000000"/>
              </w:rPr>
              <w:t>0.1</w:t>
            </w:r>
          </w:p>
        </w:tc>
        <w:tc>
          <w:tcPr>
            <w:tcW w:w="579" w:type="pct"/>
            <w:noWrap/>
            <w:vAlign w:val="bottom"/>
          </w:tcPr>
          <w:p w:rsidR="00DA49AC" w:rsidRPr="00D86156" w:rsidRDefault="00DA49AC" w:rsidP="00CB5582">
            <w:pPr>
              <w:spacing w:line="240" w:lineRule="auto"/>
              <w:jc w:val="center"/>
              <w:rPr>
                <w:color w:val="000000"/>
              </w:rPr>
            </w:pPr>
            <w:r>
              <w:rPr>
                <w:color w:val="000000"/>
              </w:rPr>
              <w:t>2.4</w:t>
            </w:r>
          </w:p>
        </w:tc>
        <w:tc>
          <w:tcPr>
            <w:tcW w:w="520" w:type="pct"/>
            <w:noWrap/>
            <w:vAlign w:val="bottom"/>
          </w:tcPr>
          <w:p w:rsidR="00DA49AC" w:rsidRPr="00D86156" w:rsidRDefault="00DA49AC" w:rsidP="00CB5582">
            <w:pPr>
              <w:spacing w:line="240" w:lineRule="auto"/>
              <w:jc w:val="center"/>
              <w:rPr>
                <w:color w:val="000000"/>
              </w:rPr>
            </w:pPr>
            <w:r>
              <w:rPr>
                <w:color w:val="000000"/>
              </w:rPr>
              <w:t>0.1</w:t>
            </w:r>
          </w:p>
        </w:tc>
        <w:tc>
          <w:tcPr>
            <w:tcW w:w="519" w:type="pct"/>
            <w:noWrap/>
            <w:vAlign w:val="bottom"/>
          </w:tcPr>
          <w:p w:rsidR="00DA49AC" w:rsidRPr="00D86156" w:rsidRDefault="00DA49AC" w:rsidP="00CB5582">
            <w:pPr>
              <w:spacing w:line="240" w:lineRule="auto"/>
              <w:jc w:val="center"/>
              <w:rPr>
                <w:color w:val="000000"/>
              </w:rPr>
            </w:pPr>
            <w:r>
              <w:rPr>
                <w:color w:val="000000"/>
              </w:rPr>
              <w:t>0.3</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0.5</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0.2</w:t>
            </w:r>
          </w:p>
        </w:tc>
        <w:tc>
          <w:tcPr>
            <w:tcW w:w="569" w:type="pct"/>
            <w:vAlign w:val="bottom"/>
          </w:tcPr>
          <w:p w:rsidR="00DA49AC" w:rsidRPr="00D86156" w:rsidRDefault="00DA49AC" w:rsidP="00FC3E0E">
            <w:pPr>
              <w:spacing w:line="240" w:lineRule="auto"/>
              <w:jc w:val="center"/>
              <w:rPr>
                <w:color w:val="000000"/>
              </w:rPr>
            </w:pPr>
            <w:r>
              <w:rPr>
                <w:color w:val="000000"/>
              </w:rPr>
              <w:t>1.7</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Business-Manufacturing</w:t>
            </w:r>
          </w:p>
        </w:tc>
        <w:tc>
          <w:tcPr>
            <w:tcW w:w="614" w:type="pct"/>
            <w:noWrap/>
            <w:vAlign w:val="bottom"/>
          </w:tcPr>
          <w:p w:rsidR="00DA49AC" w:rsidRPr="00D86156" w:rsidRDefault="00DA49AC" w:rsidP="00CB5582">
            <w:pPr>
              <w:spacing w:line="240" w:lineRule="auto"/>
              <w:jc w:val="center"/>
              <w:rPr>
                <w:color w:val="000000"/>
              </w:rPr>
            </w:pPr>
            <w:r>
              <w:rPr>
                <w:color w:val="000000"/>
              </w:rPr>
              <w:t>11.4</w:t>
            </w:r>
          </w:p>
        </w:tc>
        <w:tc>
          <w:tcPr>
            <w:tcW w:w="579" w:type="pct"/>
            <w:noWrap/>
            <w:vAlign w:val="bottom"/>
          </w:tcPr>
          <w:p w:rsidR="00DA49AC" w:rsidRPr="00D86156" w:rsidRDefault="00DA49AC" w:rsidP="00CB5582">
            <w:pPr>
              <w:spacing w:line="240" w:lineRule="auto"/>
              <w:jc w:val="center"/>
              <w:rPr>
                <w:color w:val="000000"/>
              </w:rPr>
            </w:pPr>
            <w:r>
              <w:rPr>
                <w:color w:val="000000"/>
              </w:rPr>
              <w:t>7.2</w:t>
            </w:r>
          </w:p>
        </w:tc>
        <w:tc>
          <w:tcPr>
            <w:tcW w:w="520" w:type="pct"/>
            <w:noWrap/>
            <w:vAlign w:val="bottom"/>
          </w:tcPr>
          <w:p w:rsidR="00DA49AC" w:rsidRPr="00D86156" w:rsidRDefault="00DA49AC" w:rsidP="00CB5582">
            <w:pPr>
              <w:spacing w:line="240" w:lineRule="auto"/>
              <w:jc w:val="center"/>
              <w:rPr>
                <w:color w:val="000000"/>
              </w:rPr>
            </w:pPr>
            <w:r>
              <w:rPr>
                <w:color w:val="000000"/>
              </w:rPr>
              <w:t>0.4</w:t>
            </w:r>
          </w:p>
        </w:tc>
        <w:tc>
          <w:tcPr>
            <w:tcW w:w="519" w:type="pct"/>
            <w:noWrap/>
            <w:vAlign w:val="bottom"/>
          </w:tcPr>
          <w:p w:rsidR="00DA49AC" w:rsidRPr="00D86156" w:rsidRDefault="00DA49AC" w:rsidP="00CB5582">
            <w:pPr>
              <w:spacing w:line="240" w:lineRule="auto"/>
              <w:jc w:val="center"/>
              <w:rPr>
                <w:color w:val="000000"/>
              </w:rPr>
            </w:pPr>
            <w:r>
              <w:rPr>
                <w:color w:val="000000"/>
              </w:rPr>
              <w:t>2.2</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5.8</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0.9</w:t>
            </w:r>
          </w:p>
        </w:tc>
        <w:tc>
          <w:tcPr>
            <w:tcW w:w="569" w:type="pct"/>
            <w:vAlign w:val="bottom"/>
          </w:tcPr>
          <w:p w:rsidR="00DA49AC" w:rsidRPr="00D86156" w:rsidRDefault="00DA49AC" w:rsidP="00FC3E0E">
            <w:pPr>
              <w:spacing w:line="240" w:lineRule="auto"/>
              <w:jc w:val="center"/>
              <w:rPr>
                <w:color w:val="000000"/>
              </w:rPr>
            </w:pPr>
            <w:r>
              <w:rPr>
                <w:color w:val="000000"/>
              </w:rPr>
              <w:t>8.5</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Business-Merchant</w:t>
            </w:r>
          </w:p>
        </w:tc>
        <w:tc>
          <w:tcPr>
            <w:tcW w:w="614" w:type="pct"/>
            <w:noWrap/>
            <w:vAlign w:val="bottom"/>
          </w:tcPr>
          <w:p w:rsidR="00DA49AC" w:rsidRPr="00D86156" w:rsidRDefault="00DA49AC" w:rsidP="00CB5582">
            <w:pPr>
              <w:spacing w:line="240" w:lineRule="auto"/>
              <w:jc w:val="center"/>
              <w:rPr>
                <w:color w:val="000000"/>
              </w:rPr>
            </w:pPr>
            <w:r>
              <w:rPr>
                <w:color w:val="000000"/>
              </w:rPr>
              <w:t>6.6</w:t>
            </w:r>
          </w:p>
        </w:tc>
        <w:tc>
          <w:tcPr>
            <w:tcW w:w="579" w:type="pct"/>
            <w:noWrap/>
            <w:vAlign w:val="bottom"/>
          </w:tcPr>
          <w:p w:rsidR="00DA49AC" w:rsidRPr="00D86156" w:rsidRDefault="00DA49AC" w:rsidP="00CB5582">
            <w:pPr>
              <w:spacing w:line="240" w:lineRule="auto"/>
              <w:jc w:val="center"/>
              <w:rPr>
                <w:color w:val="000000"/>
              </w:rPr>
            </w:pPr>
            <w:r>
              <w:rPr>
                <w:color w:val="000000"/>
              </w:rPr>
              <w:t>13.4</w:t>
            </w:r>
          </w:p>
        </w:tc>
        <w:tc>
          <w:tcPr>
            <w:tcW w:w="520" w:type="pct"/>
            <w:noWrap/>
            <w:vAlign w:val="bottom"/>
          </w:tcPr>
          <w:p w:rsidR="00DA49AC" w:rsidRPr="00D86156" w:rsidRDefault="00DA49AC" w:rsidP="00CB5582">
            <w:pPr>
              <w:spacing w:line="240" w:lineRule="auto"/>
              <w:jc w:val="center"/>
              <w:rPr>
                <w:color w:val="000000"/>
              </w:rPr>
            </w:pPr>
            <w:r>
              <w:rPr>
                <w:color w:val="000000"/>
              </w:rPr>
              <w:t>5.5</w:t>
            </w:r>
          </w:p>
        </w:tc>
        <w:tc>
          <w:tcPr>
            <w:tcW w:w="519" w:type="pct"/>
            <w:noWrap/>
            <w:vAlign w:val="bottom"/>
          </w:tcPr>
          <w:p w:rsidR="00DA49AC" w:rsidRPr="00D86156" w:rsidRDefault="00DA49AC" w:rsidP="00CB5582">
            <w:pPr>
              <w:spacing w:line="240" w:lineRule="auto"/>
              <w:jc w:val="center"/>
              <w:rPr>
                <w:color w:val="000000"/>
              </w:rPr>
            </w:pPr>
            <w:r>
              <w:rPr>
                <w:color w:val="000000"/>
              </w:rPr>
              <w:t>8.8</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14.1</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9.2</w:t>
            </w:r>
          </w:p>
        </w:tc>
        <w:tc>
          <w:tcPr>
            <w:tcW w:w="569" w:type="pct"/>
            <w:vAlign w:val="bottom"/>
          </w:tcPr>
          <w:p w:rsidR="00DA49AC" w:rsidRPr="00D86156" w:rsidRDefault="00DA49AC" w:rsidP="00FC3E0E">
            <w:pPr>
              <w:spacing w:line="240" w:lineRule="auto"/>
              <w:jc w:val="center"/>
              <w:rPr>
                <w:color w:val="000000"/>
              </w:rPr>
            </w:pPr>
            <w:r>
              <w:rPr>
                <w:color w:val="000000"/>
              </w:rPr>
              <w:t>13.9</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Business-Retail</w:t>
            </w:r>
          </w:p>
        </w:tc>
        <w:tc>
          <w:tcPr>
            <w:tcW w:w="614" w:type="pct"/>
            <w:noWrap/>
            <w:vAlign w:val="bottom"/>
          </w:tcPr>
          <w:p w:rsidR="00DA49AC" w:rsidRPr="00D86156" w:rsidRDefault="00DA49AC" w:rsidP="00CB5582">
            <w:pPr>
              <w:spacing w:line="240" w:lineRule="auto"/>
              <w:jc w:val="center"/>
              <w:rPr>
                <w:color w:val="000000"/>
              </w:rPr>
            </w:pPr>
            <w:r>
              <w:rPr>
                <w:color w:val="000000"/>
              </w:rPr>
              <w:t>1.2</w:t>
            </w:r>
          </w:p>
        </w:tc>
        <w:tc>
          <w:tcPr>
            <w:tcW w:w="579" w:type="pct"/>
            <w:noWrap/>
            <w:vAlign w:val="bottom"/>
          </w:tcPr>
          <w:p w:rsidR="00DA49AC" w:rsidRPr="00D86156" w:rsidRDefault="00DA49AC" w:rsidP="00CB5582">
            <w:pPr>
              <w:spacing w:line="240" w:lineRule="auto"/>
              <w:jc w:val="center"/>
              <w:rPr>
                <w:color w:val="000000"/>
              </w:rPr>
            </w:pPr>
            <w:r>
              <w:rPr>
                <w:color w:val="000000"/>
              </w:rPr>
              <w:t>2.9</w:t>
            </w:r>
          </w:p>
        </w:tc>
        <w:tc>
          <w:tcPr>
            <w:tcW w:w="520" w:type="pct"/>
            <w:noWrap/>
            <w:vAlign w:val="bottom"/>
          </w:tcPr>
          <w:p w:rsidR="00DA49AC" w:rsidRPr="00D86156" w:rsidRDefault="00DA49AC" w:rsidP="00CB5582">
            <w:pPr>
              <w:spacing w:line="240" w:lineRule="auto"/>
              <w:jc w:val="center"/>
              <w:rPr>
                <w:color w:val="000000"/>
              </w:rPr>
            </w:pPr>
            <w:r>
              <w:rPr>
                <w:color w:val="000000"/>
              </w:rPr>
              <w:t>0.2</w:t>
            </w:r>
          </w:p>
        </w:tc>
        <w:tc>
          <w:tcPr>
            <w:tcW w:w="519" w:type="pct"/>
            <w:noWrap/>
            <w:vAlign w:val="bottom"/>
          </w:tcPr>
          <w:p w:rsidR="00DA49AC" w:rsidRPr="00D86156" w:rsidRDefault="00DA49AC" w:rsidP="00CB5582">
            <w:pPr>
              <w:spacing w:line="240" w:lineRule="auto"/>
              <w:jc w:val="center"/>
              <w:rPr>
                <w:color w:val="000000"/>
              </w:rPr>
            </w:pPr>
            <w:r>
              <w:rPr>
                <w:color w:val="000000"/>
              </w:rPr>
              <w:t>1.2</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1.5</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0.5</w:t>
            </w:r>
          </w:p>
        </w:tc>
        <w:tc>
          <w:tcPr>
            <w:tcW w:w="569" w:type="pct"/>
            <w:vAlign w:val="bottom"/>
          </w:tcPr>
          <w:p w:rsidR="00DA49AC" w:rsidRPr="00D86156" w:rsidRDefault="00DA49AC" w:rsidP="00FC3E0E">
            <w:pPr>
              <w:spacing w:line="240" w:lineRule="auto"/>
              <w:jc w:val="center"/>
              <w:rPr>
                <w:color w:val="000000"/>
              </w:rPr>
            </w:pPr>
            <w:r>
              <w:rPr>
                <w:color w:val="000000"/>
              </w:rPr>
              <w:t>2.7</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Company</w:t>
            </w:r>
          </w:p>
        </w:tc>
        <w:tc>
          <w:tcPr>
            <w:tcW w:w="614" w:type="pct"/>
            <w:noWrap/>
            <w:vAlign w:val="bottom"/>
          </w:tcPr>
          <w:p w:rsidR="00DA49AC" w:rsidRPr="00D86156" w:rsidRDefault="00DA49AC" w:rsidP="00CB5582">
            <w:pPr>
              <w:spacing w:line="240" w:lineRule="auto"/>
              <w:jc w:val="center"/>
              <w:rPr>
                <w:color w:val="000000"/>
              </w:rPr>
            </w:pPr>
            <w:r>
              <w:rPr>
                <w:color w:val="000000"/>
              </w:rPr>
              <w:t>1.1</w:t>
            </w:r>
          </w:p>
        </w:tc>
        <w:tc>
          <w:tcPr>
            <w:tcW w:w="579" w:type="pct"/>
            <w:noWrap/>
            <w:vAlign w:val="bottom"/>
          </w:tcPr>
          <w:p w:rsidR="00DA49AC" w:rsidRPr="00D86156" w:rsidRDefault="00DA49AC" w:rsidP="00CB5582">
            <w:pPr>
              <w:spacing w:line="240" w:lineRule="auto"/>
              <w:jc w:val="center"/>
              <w:rPr>
                <w:color w:val="000000"/>
              </w:rPr>
            </w:pPr>
            <w:r>
              <w:rPr>
                <w:color w:val="000000"/>
              </w:rPr>
              <w:t>0.2</w:t>
            </w:r>
          </w:p>
        </w:tc>
        <w:tc>
          <w:tcPr>
            <w:tcW w:w="520" w:type="pct"/>
            <w:noWrap/>
            <w:vAlign w:val="bottom"/>
          </w:tcPr>
          <w:p w:rsidR="00DA49AC" w:rsidRPr="00D86156" w:rsidRDefault="00DA49AC" w:rsidP="00CB5582">
            <w:pPr>
              <w:spacing w:line="240" w:lineRule="auto"/>
              <w:jc w:val="center"/>
              <w:rPr>
                <w:color w:val="000000"/>
              </w:rPr>
            </w:pPr>
            <w:r>
              <w:rPr>
                <w:color w:val="000000"/>
              </w:rPr>
              <w:t>0.7</w:t>
            </w:r>
          </w:p>
        </w:tc>
        <w:tc>
          <w:tcPr>
            <w:tcW w:w="519" w:type="pct"/>
            <w:noWrap/>
            <w:vAlign w:val="bottom"/>
          </w:tcPr>
          <w:p w:rsidR="00DA49AC" w:rsidRPr="00D86156" w:rsidRDefault="00DA49AC" w:rsidP="00CB5582">
            <w:pPr>
              <w:spacing w:line="240" w:lineRule="auto"/>
              <w:jc w:val="center"/>
              <w:rPr>
                <w:color w:val="000000"/>
              </w:rPr>
            </w:pPr>
            <w:r>
              <w:rPr>
                <w:color w:val="000000"/>
              </w:rPr>
              <w:t>0.3</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0.4</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0.8</w:t>
            </w:r>
          </w:p>
        </w:tc>
        <w:tc>
          <w:tcPr>
            <w:tcW w:w="569" w:type="pct"/>
            <w:vAlign w:val="bottom"/>
          </w:tcPr>
          <w:p w:rsidR="00DA49AC" w:rsidRPr="00D86156" w:rsidRDefault="00DA49AC" w:rsidP="00FC3E0E">
            <w:pPr>
              <w:spacing w:line="240" w:lineRule="auto"/>
              <w:jc w:val="center"/>
              <w:rPr>
                <w:color w:val="000000"/>
              </w:rPr>
            </w:pPr>
            <w:r>
              <w:rPr>
                <w:color w:val="000000"/>
              </w:rPr>
              <w:t>0.1</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Pr>
                <w:color w:val="000000"/>
              </w:rPr>
              <w:t>Investment trust</w:t>
            </w:r>
          </w:p>
        </w:tc>
        <w:tc>
          <w:tcPr>
            <w:tcW w:w="614" w:type="pct"/>
            <w:noWrap/>
            <w:vAlign w:val="bottom"/>
          </w:tcPr>
          <w:p w:rsidR="00DA49AC" w:rsidRPr="00D86156" w:rsidRDefault="00DA49AC" w:rsidP="00CB5582">
            <w:pPr>
              <w:spacing w:line="240" w:lineRule="auto"/>
              <w:jc w:val="center"/>
              <w:rPr>
                <w:color w:val="000000"/>
              </w:rPr>
            </w:pPr>
            <w:r>
              <w:rPr>
                <w:color w:val="000000"/>
              </w:rPr>
              <w:t>5.3</w:t>
            </w:r>
          </w:p>
        </w:tc>
        <w:tc>
          <w:tcPr>
            <w:tcW w:w="579" w:type="pct"/>
            <w:noWrap/>
            <w:vAlign w:val="bottom"/>
          </w:tcPr>
          <w:p w:rsidR="00DA49AC" w:rsidRPr="00D86156" w:rsidRDefault="00DA49AC" w:rsidP="00CB5582">
            <w:pPr>
              <w:spacing w:line="240" w:lineRule="auto"/>
              <w:jc w:val="center"/>
              <w:rPr>
                <w:color w:val="000000"/>
              </w:rPr>
            </w:pPr>
            <w:r>
              <w:rPr>
                <w:color w:val="000000"/>
              </w:rPr>
              <w:t>0.1</w:t>
            </w:r>
          </w:p>
        </w:tc>
        <w:tc>
          <w:tcPr>
            <w:tcW w:w="520" w:type="pct"/>
            <w:noWrap/>
            <w:vAlign w:val="bottom"/>
          </w:tcPr>
          <w:p w:rsidR="00DA49AC" w:rsidRPr="00D86156" w:rsidRDefault="00DA49AC" w:rsidP="00CB5582">
            <w:pPr>
              <w:spacing w:line="240" w:lineRule="auto"/>
              <w:jc w:val="center"/>
              <w:rPr>
                <w:color w:val="000000"/>
              </w:rPr>
            </w:pPr>
            <w:r>
              <w:rPr>
                <w:color w:val="000000"/>
              </w:rPr>
              <w:t>0.2</w:t>
            </w:r>
          </w:p>
        </w:tc>
        <w:tc>
          <w:tcPr>
            <w:tcW w:w="519" w:type="pct"/>
            <w:noWrap/>
            <w:vAlign w:val="bottom"/>
          </w:tcPr>
          <w:p w:rsidR="00DA49AC" w:rsidRPr="00D86156" w:rsidRDefault="00DA49AC" w:rsidP="00CB5582">
            <w:pPr>
              <w:spacing w:line="240" w:lineRule="auto"/>
              <w:jc w:val="center"/>
              <w:rPr>
                <w:color w:val="000000"/>
              </w:rPr>
            </w:pPr>
            <w:r>
              <w:rPr>
                <w:color w:val="000000"/>
              </w:rPr>
              <w:t>1.0</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1.0</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1.9</w:t>
            </w:r>
          </w:p>
        </w:tc>
        <w:tc>
          <w:tcPr>
            <w:tcW w:w="569" w:type="pct"/>
            <w:vAlign w:val="bottom"/>
          </w:tcPr>
          <w:p w:rsidR="00DA49AC" w:rsidRPr="00D86156" w:rsidRDefault="00DA49AC" w:rsidP="00FC3E0E">
            <w:pPr>
              <w:spacing w:line="240" w:lineRule="auto"/>
              <w:jc w:val="center"/>
              <w:rPr>
                <w:color w:val="000000"/>
              </w:rPr>
            </w:pPr>
            <w:r>
              <w:rPr>
                <w:color w:val="000000"/>
              </w:rPr>
              <w:t>0.1</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Finance-Banker</w:t>
            </w:r>
          </w:p>
        </w:tc>
        <w:tc>
          <w:tcPr>
            <w:tcW w:w="614" w:type="pct"/>
            <w:noWrap/>
            <w:vAlign w:val="bottom"/>
          </w:tcPr>
          <w:p w:rsidR="00DA49AC" w:rsidRPr="00D86156" w:rsidRDefault="00DA49AC" w:rsidP="00CB5582">
            <w:pPr>
              <w:spacing w:line="240" w:lineRule="auto"/>
              <w:jc w:val="center"/>
              <w:rPr>
                <w:color w:val="000000"/>
              </w:rPr>
            </w:pPr>
            <w:r>
              <w:rPr>
                <w:color w:val="000000"/>
              </w:rPr>
              <w:t>1.3</w:t>
            </w:r>
          </w:p>
        </w:tc>
        <w:tc>
          <w:tcPr>
            <w:tcW w:w="579" w:type="pct"/>
            <w:noWrap/>
            <w:vAlign w:val="bottom"/>
          </w:tcPr>
          <w:p w:rsidR="00DA49AC" w:rsidRPr="00D86156" w:rsidRDefault="00DA49AC" w:rsidP="00CB5582">
            <w:pPr>
              <w:spacing w:line="240" w:lineRule="auto"/>
              <w:jc w:val="center"/>
              <w:rPr>
                <w:color w:val="000000"/>
              </w:rPr>
            </w:pPr>
            <w:r>
              <w:rPr>
                <w:color w:val="000000"/>
              </w:rPr>
              <w:t>2.9</w:t>
            </w:r>
          </w:p>
        </w:tc>
        <w:tc>
          <w:tcPr>
            <w:tcW w:w="520" w:type="pct"/>
            <w:noWrap/>
            <w:vAlign w:val="bottom"/>
          </w:tcPr>
          <w:p w:rsidR="00DA49AC" w:rsidRPr="00D86156" w:rsidRDefault="00DA49AC" w:rsidP="00CB5582">
            <w:pPr>
              <w:spacing w:line="240" w:lineRule="auto"/>
              <w:jc w:val="center"/>
              <w:rPr>
                <w:color w:val="000000"/>
              </w:rPr>
            </w:pPr>
            <w:r>
              <w:rPr>
                <w:color w:val="000000"/>
              </w:rPr>
              <w:t>0.9</w:t>
            </w:r>
          </w:p>
        </w:tc>
        <w:tc>
          <w:tcPr>
            <w:tcW w:w="519" w:type="pct"/>
            <w:noWrap/>
            <w:vAlign w:val="bottom"/>
          </w:tcPr>
          <w:p w:rsidR="00DA49AC" w:rsidRPr="00D86156" w:rsidRDefault="00DA49AC" w:rsidP="00CB5582">
            <w:pPr>
              <w:spacing w:line="240" w:lineRule="auto"/>
              <w:jc w:val="center"/>
              <w:rPr>
                <w:color w:val="000000"/>
              </w:rPr>
            </w:pPr>
            <w:r>
              <w:rPr>
                <w:color w:val="000000"/>
              </w:rPr>
              <w:t>1.5</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1.9</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3.5</w:t>
            </w:r>
          </w:p>
        </w:tc>
        <w:tc>
          <w:tcPr>
            <w:tcW w:w="569" w:type="pct"/>
            <w:vAlign w:val="bottom"/>
          </w:tcPr>
          <w:p w:rsidR="00DA49AC" w:rsidRPr="00D86156" w:rsidRDefault="00DA49AC" w:rsidP="00FC3E0E">
            <w:pPr>
              <w:spacing w:line="240" w:lineRule="auto"/>
              <w:jc w:val="center"/>
              <w:rPr>
                <w:color w:val="000000"/>
              </w:rPr>
            </w:pPr>
            <w:r>
              <w:rPr>
                <w:color w:val="000000"/>
              </w:rPr>
              <w:t>1.5</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Finance-Other Finance</w:t>
            </w:r>
          </w:p>
        </w:tc>
        <w:tc>
          <w:tcPr>
            <w:tcW w:w="614" w:type="pct"/>
            <w:noWrap/>
            <w:vAlign w:val="bottom"/>
          </w:tcPr>
          <w:p w:rsidR="00DA49AC" w:rsidRPr="00D86156" w:rsidRDefault="00DA49AC" w:rsidP="00CB5582">
            <w:pPr>
              <w:spacing w:line="240" w:lineRule="auto"/>
              <w:jc w:val="center"/>
              <w:rPr>
                <w:color w:val="000000"/>
              </w:rPr>
            </w:pPr>
            <w:r>
              <w:rPr>
                <w:color w:val="000000"/>
              </w:rPr>
              <w:t>0.4</w:t>
            </w:r>
          </w:p>
        </w:tc>
        <w:tc>
          <w:tcPr>
            <w:tcW w:w="579" w:type="pct"/>
            <w:noWrap/>
            <w:vAlign w:val="bottom"/>
          </w:tcPr>
          <w:p w:rsidR="00DA49AC" w:rsidRPr="00D86156" w:rsidRDefault="00DA49AC" w:rsidP="00CB5582">
            <w:pPr>
              <w:spacing w:line="240" w:lineRule="auto"/>
              <w:jc w:val="center"/>
              <w:rPr>
                <w:color w:val="000000"/>
              </w:rPr>
            </w:pPr>
            <w:r>
              <w:rPr>
                <w:color w:val="000000"/>
              </w:rPr>
              <w:t>0.7</w:t>
            </w:r>
          </w:p>
        </w:tc>
        <w:tc>
          <w:tcPr>
            <w:tcW w:w="520" w:type="pct"/>
            <w:noWrap/>
            <w:vAlign w:val="bottom"/>
          </w:tcPr>
          <w:p w:rsidR="00DA49AC" w:rsidRPr="00D86156" w:rsidRDefault="00DA49AC" w:rsidP="00CB5582">
            <w:pPr>
              <w:spacing w:line="240" w:lineRule="auto"/>
              <w:jc w:val="center"/>
              <w:rPr>
                <w:color w:val="000000"/>
              </w:rPr>
            </w:pPr>
            <w:r>
              <w:rPr>
                <w:color w:val="000000"/>
              </w:rPr>
              <w:t>0.3</w:t>
            </w:r>
          </w:p>
        </w:tc>
        <w:tc>
          <w:tcPr>
            <w:tcW w:w="519" w:type="pct"/>
            <w:noWrap/>
            <w:vAlign w:val="bottom"/>
          </w:tcPr>
          <w:p w:rsidR="00DA49AC" w:rsidRPr="00D86156" w:rsidRDefault="00DA49AC" w:rsidP="00CB5582">
            <w:pPr>
              <w:spacing w:line="240" w:lineRule="auto"/>
              <w:jc w:val="center"/>
              <w:rPr>
                <w:color w:val="000000"/>
              </w:rPr>
            </w:pPr>
            <w:r>
              <w:rPr>
                <w:color w:val="000000"/>
              </w:rPr>
              <w:t>0.4</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0.8</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0.4</w:t>
            </w:r>
          </w:p>
        </w:tc>
        <w:tc>
          <w:tcPr>
            <w:tcW w:w="569" w:type="pct"/>
            <w:vAlign w:val="bottom"/>
          </w:tcPr>
          <w:p w:rsidR="00DA49AC" w:rsidRPr="00D86156" w:rsidRDefault="00DA49AC" w:rsidP="00FC3E0E">
            <w:pPr>
              <w:spacing w:line="240" w:lineRule="auto"/>
              <w:jc w:val="center"/>
              <w:rPr>
                <w:color w:val="000000"/>
              </w:rPr>
            </w:pPr>
            <w:r>
              <w:rPr>
                <w:color w:val="000000"/>
              </w:rPr>
              <w:t>0.8</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Finance-Stockbroker</w:t>
            </w:r>
          </w:p>
        </w:tc>
        <w:tc>
          <w:tcPr>
            <w:tcW w:w="614" w:type="pct"/>
            <w:noWrap/>
            <w:vAlign w:val="bottom"/>
          </w:tcPr>
          <w:p w:rsidR="00DA49AC" w:rsidRPr="00D86156" w:rsidRDefault="00DA49AC" w:rsidP="00CB5582">
            <w:pPr>
              <w:spacing w:line="240" w:lineRule="auto"/>
              <w:jc w:val="center"/>
              <w:rPr>
                <w:color w:val="000000"/>
              </w:rPr>
            </w:pPr>
            <w:r>
              <w:rPr>
                <w:color w:val="000000"/>
              </w:rPr>
              <w:t>0.4</w:t>
            </w:r>
          </w:p>
        </w:tc>
        <w:tc>
          <w:tcPr>
            <w:tcW w:w="579" w:type="pct"/>
            <w:noWrap/>
            <w:vAlign w:val="bottom"/>
          </w:tcPr>
          <w:p w:rsidR="00DA49AC" w:rsidRPr="00D86156" w:rsidRDefault="00DA49AC" w:rsidP="00CB5582">
            <w:pPr>
              <w:spacing w:line="240" w:lineRule="auto"/>
              <w:jc w:val="center"/>
              <w:rPr>
                <w:color w:val="000000"/>
              </w:rPr>
            </w:pPr>
            <w:r>
              <w:rPr>
                <w:color w:val="000000"/>
              </w:rPr>
              <w:t>1.0</w:t>
            </w:r>
          </w:p>
        </w:tc>
        <w:tc>
          <w:tcPr>
            <w:tcW w:w="520" w:type="pct"/>
            <w:noWrap/>
            <w:vAlign w:val="bottom"/>
          </w:tcPr>
          <w:p w:rsidR="00DA49AC" w:rsidRPr="00D86156" w:rsidRDefault="00DA49AC" w:rsidP="00CB5582">
            <w:pPr>
              <w:spacing w:line="240" w:lineRule="auto"/>
              <w:jc w:val="center"/>
              <w:rPr>
                <w:color w:val="000000"/>
              </w:rPr>
            </w:pPr>
            <w:r>
              <w:rPr>
                <w:color w:val="000000"/>
              </w:rPr>
              <w:t>1.1</w:t>
            </w:r>
          </w:p>
        </w:tc>
        <w:tc>
          <w:tcPr>
            <w:tcW w:w="519" w:type="pct"/>
            <w:noWrap/>
            <w:vAlign w:val="bottom"/>
          </w:tcPr>
          <w:p w:rsidR="00DA49AC" w:rsidRPr="00D86156" w:rsidRDefault="00DA49AC" w:rsidP="00CB5582">
            <w:pPr>
              <w:spacing w:line="240" w:lineRule="auto"/>
              <w:jc w:val="center"/>
              <w:rPr>
                <w:color w:val="000000"/>
              </w:rPr>
            </w:pPr>
            <w:r>
              <w:rPr>
                <w:color w:val="000000"/>
              </w:rPr>
              <w:t>0.5</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2.3</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1.4</w:t>
            </w:r>
          </w:p>
        </w:tc>
        <w:tc>
          <w:tcPr>
            <w:tcW w:w="569" w:type="pct"/>
            <w:vAlign w:val="bottom"/>
          </w:tcPr>
          <w:p w:rsidR="00DA49AC" w:rsidRPr="00D86156" w:rsidRDefault="00DA49AC" w:rsidP="00FC3E0E">
            <w:pPr>
              <w:spacing w:line="240" w:lineRule="auto"/>
              <w:jc w:val="center"/>
              <w:rPr>
                <w:color w:val="000000"/>
              </w:rPr>
            </w:pPr>
            <w:r>
              <w:rPr>
                <w:color w:val="000000"/>
              </w:rPr>
              <w:t>1.5</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Pr>
                <w:color w:val="000000"/>
              </w:rPr>
              <w:t>Middle-</w:t>
            </w:r>
            <w:r w:rsidRPr="00D86156">
              <w:rPr>
                <w:color w:val="000000"/>
              </w:rPr>
              <w:t>Legal Profession</w:t>
            </w:r>
          </w:p>
        </w:tc>
        <w:tc>
          <w:tcPr>
            <w:tcW w:w="614" w:type="pct"/>
            <w:noWrap/>
            <w:vAlign w:val="bottom"/>
          </w:tcPr>
          <w:p w:rsidR="00DA49AC" w:rsidRPr="00D86156" w:rsidRDefault="00DA49AC" w:rsidP="00CB5582">
            <w:pPr>
              <w:spacing w:line="240" w:lineRule="auto"/>
              <w:jc w:val="center"/>
              <w:rPr>
                <w:color w:val="000000"/>
              </w:rPr>
            </w:pPr>
            <w:r>
              <w:rPr>
                <w:color w:val="000000"/>
              </w:rPr>
              <w:t>4.2</w:t>
            </w:r>
          </w:p>
        </w:tc>
        <w:tc>
          <w:tcPr>
            <w:tcW w:w="579" w:type="pct"/>
            <w:noWrap/>
            <w:vAlign w:val="bottom"/>
          </w:tcPr>
          <w:p w:rsidR="00DA49AC" w:rsidRPr="00D86156" w:rsidRDefault="00DA49AC" w:rsidP="00CB5582">
            <w:pPr>
              <w:spacing w:line="240" w:lineRule="auto"/>
              <w:jc w:val="center"/>
              <w:rPr>
                <w:color w:val="000000"/>
              </w:rPr>
            </w:pPr>
            <w:r>
              <w:rPr>
                <w:color w:val="000000"/>
              </w:rPr>
              <w:t>3.8</w:t>
            </w:r>
          </w:p>
        </w:tc>
        <w:tc>
          <w:tcPr>
            <w:tcW w:w="520" w:type="pct"/>
            <w:noWrap/>
            <w:vAlign w:val="bottom"/>
          </w:tcPr>
          <w:p w:rsidR="00DA49AC" w:rsidRPr="00D86156" w:rsidRDefault="00DA49AC" w:rsidP="00CB5582">
            <w:pPr>
              <w:spacing w:line="240" w:lineRule="auto"/>
              <w:jc w:val="center"/>
              <w:rPr>
                <w:color w:val="000000"/>
              </w:rPr>
            </w:pPr>
            <w:r>
              <w:rPr>
                <w:color w:val="000000"/>
              </w:rPr>
              <w:t>1.4</w:t>
            </w:r>
          </w:p>
        </w:tc>
        <w:tc>
          <w:tcPr>
            <w:tcW w:w="519" w:type="pct"/>
            <w:noWrap/>
            <w:vAlign w:val="bottom"/>
          </w:tcPr>
          <w:p w:rsidR="00DA49AC" w:rsidRPr="00D86156" w:rsidRDefault="00DA49AC" w:rsidP="00CB5582">
            <w:pPr>
              <w:spacing w:line="240" w:lineRule="auto"/>
              <w:jc w:val="center"/>
              <w:rPr>
                <w:color w:val="000000"/>
              </w:rPr>
            </w:pPr>
            <w:r>
              <w:rPr>
                <w:color w:val="000000"/>
              </w:rPr>
              <w:t>2.3</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3.1</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2.0</w:t>
            </w:r>
          </w:p>
        </w:tc>
        <w:tc>
          <w:tcPr>
            <w:tcW w:w="569" w:type="pct"/>
            <w:vAlign w:val="bottom"/>
          </w:tcPr>
          <w:p w:rsidR="00DA49AC" w:rsidRPr="00D86156" w:rsidRDefault="00DA49AC" w:rsidP="00FC3E0E">
            <w:pPr>
              <w:spacing w:line="240" w:lineRule="auto"/>
              <w:jc w:val="center"/>
              <w:rPr>
                <w:color w:val="000000"/>
              </w:rPr>
            </w:pPr>
            <w:r>
              <w:rPr>
                <w:color w:val="000000"/>
              </w:rPr>
              <w:t>3.8</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Middle-Clergy</w:t>
            </w:r>
          </w:p>
        </w:tc>
        <w:tc>
          <w:tcPr>
            <w:tcW w:w="614" w:type="pct"/>
            <w:noWrap/>
            <w:vAlign w:val="bottom"/>
          </w:tcPr>
          <w:p w:rsidR="00DA49AC" w:rsidRPr="00D86156" w:rsidRDefault="00DA49AC" w:rsidP="00CB5582">
            <w:pPr>
              <w:spacing w:line="240" w:lineRule="auto"/>
              <w:jc w:val="center"/>
              <w:rPr>
                <w:color w:val="000000"/>
              </w:rPr>
            </w:pPr>
            <w:r>
              <w:rPr>
                <w:color w:val="000000"/>
              </w:rPr>
              <w:t>0.9</w:t>
            </w:r>
          </w:p>
        </w:tc>
        <w:tc>
          <w:tcPr>
            <w:tcW w:w="579" w:type="pct"/>
            <w:noWrap/>
            <w:vAlign w:val="bottom"/>
          </w:tcPr>
          <w:p w:rsidR="00DA49AC" w:rsidRPr="00D86156" w:rsidRDefault="00DA49AC" w:rsidP="00CB5582">
            <w:pPr>
              <w:spacing w:line="240" w:lineRule="auto"/>
              <w:jc w:val="center"/>
              <w:rPr>
                <w:color w:val="000000"/>
              </w:rPr>
            </w:pPr>
            <w:r>
              <w:rPr>
                <w:color w:val="000000"/>
              </w:rPr>
              <w:t>2.1</w:t>
            </w:r>
          </w:p>
        </w:tc>
        <w:tc>
          <w:tcPr>
            <w:tcW w:w="520" w:type="pct"/>
            <w:noWrap/>
            <w:vAlign w:val="bottom"/>
          </w:tcPr>
          <w:p w:rsidR="00DA49AC" w:rsidRPr="00D86156" w:rsidRDefault="00DA49AC" w:rsidP="00CB5582">
            <w:pPr>
              <w:spacing w:line="240" w:lineRule="auto"/>
              <w:jc w:val="center"/>
              <w:rPr>
                <w:color w:val="000000"/>
              </w:rPr>
            </w:pPr>
            <w:r>
              <w:rPr>
                <w:color w:val="000000"/>
              </w:rPr>
              <w:t>0.5</w:t>
            </w:r>
          </w:p>
        </w:tc>
        <w:tc>
          <w:tcPr>
            <w:tcW w:w="519" w:type="pct"/>
            <w:noWrap/>
            <w:vAlign w:val="bottom"/>
          </w:tcPr>
          <w:p w:rsidR="00DA49AC" w:rsidRPr="00D86156" w:rsidRDefault="00DA49AC" w:rsidP="00CB5582">
            <w:pPr>
              <w:spacing w:line="240" w:lineRule="auto"/>
              <w:jc w:val="center"/>
              <w:rPr>
                <w:color w:val="000000"/>
              </w:rPr>
            </w:pPr>
            <w:r>
              <w:rPr>
                <w:color w:val="000000"/>
              </w:rPr>
              <w:t>1.6</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1.6</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1.7</w:t>
            </w:r>
          </w:p>
        </w:tc>
        <w:tc>
          <w:tcPr>
            <w:tcW w:w="569" w:type="pct"/>
            <w:vAlign w:val="bottom"/>
          </w:tcPr>
          <w:p w:rsidR="00DA49AC" w:rsidRPr="00D86156" w:rsidRDefault="00DA49AC" w:rsidP="00FC3E0E">
            <w:pPr>
              <w:spacing w:line="240" w:lineRule="auto"/>
              <w:jc w:val="center"/>
              <w:rPr>
                <w:color w:val="000000"/>
              </w:rPr>
            </w:pPr>
            <w:r>
              <w:rPr>
                <w:color w:val="000000"/>
              </w:rPr>
              <w:t>1.6</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Middle-Professional</w:t>
            </w:r>
          </w:p>
        </w:tc>
        <w:tc>
          <w:tcPr>
            <w:tcW w:w="614" w:type="pct"/>
            <w:noWrap/>
            <w:vAlign w:val="bottom"/>
          </w:tcPr>
          <w:p w:rsidR="00DA49AC" w:rsidRPr="00D86156" w:rsidRDefault="00DA49AC" w:rsidP="00CB5582">
            <w:pPr>
              <w:spacing w:line="240" w:lineRule="auto"/>
              <w:jc w:val="center"/>
              <w:rPr>
                <w:color w:val="000000"/>
              </w:rPr>
            </w:pPr>
            <w:r>
              <w:rPr>
                <w:color w:val="000000"/>
              </w:rPr>
              <w:t>4.4</w:t>
            </w:r>
          </w:p>
        </w:tc>
        <w:tc>
          <w:tcPr>
            <w:tcW w:w="579" w:type="pct"/>
            <w:noWrap/>
            <w:vAlign w:val="bottom"/>
          </w:tcPr>
          <w:p w:rsidR="00DA49AC" w:rsidRPr="00D86156" w:rsidRDefault="00DA49AC" w:rsidP="00CB5582">
            <w:pPr>
              <w:spacing w:line="240" w:lineRule="auto"/>
              <w:jc w:val="center"/>
              <w:rPr>
                <w:color w:val="000000"/>
              </w:rPr>
            </w:pPr>
            <w:r>
              <w:rPr>
                <w:color w:val="000000"/>
              </w:rPr>
              <w:t>3.6</w:t>
            </w:r>
          </w:p>
        </w:tc>
        <w:tc>
          <w:tcPr>
            <w:tcW w:w="520" w:type="pct"/>
            <w:noWrap/>
            <w:vAlign w:val="bottom"/>
          </w:tcPr>
          <w:p w:rsidR="00DA49AC" w:rsidRPr="00D86156" w:rsidRDefault="00DA49AC" w:rsidP="00CB5582">
            <w:pPr>
              <w:spacing w:line="240" w:lineRule="auto"/>
              <w:jc w:val="center"/>
              <w:rPr>
                <w:color w:val="000000"/>
              </w:rPr>
            </w:pPr>
            <w:r>
              <w:rPr>
                <w:color w:val="000000"/>
              </w:rPr>
              <w:t>1.4</w:t>
            </w:r>
          </w:p>
        </w:tc>
        <w:tc>
          <w:tcPr>
            <w:tcW w:w="519" w:type="pct"/>
            <w:noWrap/>
            <w:vAlign w:val="bottom"/>
          </w:tcPr>
          <w:p w:rsidR="00DA49AC" w:rsidRPr="00D86156" w:rsidRDefault="00DA49AC" w:rsidP="00CB5582">
            <w:pPr>
              <w:spacing w:line="240" w:lineRule="auto"/>
              <w:jc w:val="center"/>
              <w:rPr>
                <w:color w:val="000000"/>
              </w:rPr>
            </w:pPr>
            <w:r>
              <w:rPr>
                <w:color w:val="000000"/>
              </w:rPr>
              <w:t>4.6</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5.5</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2.8</w:t>
            </w:r>
          </w:p>
        </w:tc>
        <w:tc>
          <w:tcPr>
            <w:tcW w:w="569" w:type="pct"/>
            <w:vAlign w:val="bottom"/>
          </w:tcPr>
          <w:p w:rsidR="00DA49AC" w:rsidRPr="00D86156" w:rsidRDefault="00DA49AC" w:rsidP="00FC3E0E">
            <w:pPr>
              <w:spacing w:line="240" w:lineRule="auto"/>
              <w:jc w:val="center"/>
              <w:rPr>
                <w:color w:val="000000"/>
              </w:rPr>
            </w:pPr>
            <w:r>
              <w:rPr>
                <w:color w:val="000000"/>
              </w:rPr>
              <w:t>4.8</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Middle-White Collar</w:t>
            </w:r>
          </w:p>
        </w:tc>
        <w:tc>
          <w:tcPr>
            <w:tcW w:w="614" w:type="pct"/>
            <w:noWrap/>
            <w:vAlign w:val="bottom"/>
          </w:tcPr>
          <w:p w:rsidR="00DA49AC" w:rsidRPr="00D86156" w:rsidRDefault="00DA49AC" w:rsidP="00CB5582">
            <w:pPr>
              <w:spacing w:line="240" w:lineRule="auto"/>
              <w:jc w:val="center"/>
              <w:rPr>
                <w:color w:val="000000"/>
              </w:rPr>
            </w:pPr>
            <w:r>
              <w:rPr>
                <w:color w:val="000000"/>
              </w:rPr>
              <w:t>1.1</w:t>
            </w:r>
          </w:p>
        </w:tc>
        <w:tc>
          <w:tcPr>
            <w:tcW w:w="579" w:type="pct"/>
            <w:noWrap/>
            <w:vAlign w:val="bottom"/>
          </w:tcPr>
          <w:p w:rsidR="00DA49AC" w:rsidRPr="00D86156" w:rsidRDefault="00DA49AC" w:rsidP="00CB5582">
            <w:pPr>
              <w:spacing w:line="240" w:lineRule="auto"/>
              <w:jc w:val="center"/>
              <w:rPr>
                <w:color w:val="000000"/>
              </w:rPr>
            </w:pPr>
            <w:r>
              <w:rPr>
                <w:color w:val="000000"/>
              </w:rPr>
              <w:t>2.2</w:t>
            </w:r>
          </w:p>
        </w:tc>
        <w:tc>
          <w:tcPr>
            <w:tcW w:w="520" w:type="pct"/>
            <w:noWrap/>
            <w:vAlign w:val="bottom"/>
          </w:tcPr>
          <w:p w:rsidR="00DA49AC" w:rsidRPr="00D86156" w:rsidRDefault="00DA49AC" w:rsidP="00CB5582">
            <w:pPr>
              <w:spacing w:line="240" w:lineRule="auto"/>
              <w:jc w:val="center"/>
              <w:rPr>
                <w:color w:val="000000"/>
              </w:rPr>
            </w:pPr>
            <w:r>
              <w:rPr>
                <w:color w:val="000000"/>
              </w:rPr>
              <w:t>1.9</w:t>
            </w:r>
          </w:p>
        </w:tc>
        <w:tc>
          <w:tcPr>
            <w:tcW w:w="519" w:type="pct"/>
            <w:noWrap/>
            <w:vAlign w:val="bottom"/>
          </w:tcPr>
          <w:p w:rsidR="00DA49AC" w:rsidRPr="00D86156" w:rsidRDefault="00DA49AC" w:rsidP="00CB5582">
            <w:pPr>
              <w:spacing w:line="240" w:lineRule="auto"/>
              <w:jc w:val="center"/>
              <w:rPr>
                <w:color w:val="000000"/>
              </w:rPr>
            </w:pPr>
            <w:r>
              <w:rPr>
                <w:color w:val="000000"/>
              </w:rPr>
              <w:t>1.9</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2.0</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1.2</w:t>
            </w:r>
          </w:p>
        </w:tc>
        <w:tc>
          <w:tcPr>
            <w:tcW w:w="569" w:type="pct"/>
            <w:vAlign w:val="bottom"/>
          </w:tcPr>
          <w:p w:rsidR="00DA49AC" w:rsidRPr="00D86156" w:rsidRDefault="00DA49AC" w:rsidP="00FC3E0E">
            <w:pPr>
              <w:spacing w:line="240" w:lineRule="auto"/>
              <w:jc w:val="center"/>
              <w:rPr>
                <w:color w:val="000000"/>
              </w:rPr>
            </w:pPr>
            <w:r>
              <w:rPr>
                <w:color w:val="000000"/>
              </w:rPr>
              <w:t>2.4</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Upper-ArmyNavy</w:t>
            </w:r>
          </w:p>
        </w:tc>
        <w:tc>
          <w:tcPr>
            <w:tcW w:w="614" w:type="pct"/>
            <w:noWrap/>
            <w:vAlign w:val="bottom"/>
          </w:tcPr>
          <w:p w:rsidR="00DA49AC" w:rsidRPr="00D86156" w:rsidRDefault="00DA49AC" w:rsidP="00CB5582">
            <w:pPr>
              <w:spacing w:line="240" w:lineRule="auto"/>
              <w:jc w:val="center"/>
              <w:rPr>
                <w:color w:val="000000"/>
              </w:rPr>
            </w:pPr>
            <w:r>
              <w:rPr>
                <w:color w:val="000000"/>
              </w:rPr>
              <w:t>5.9</w:t>
            </w:r>
          </w:p>
        </w:tc>
        <w:tc>
          <w:tcPr>
            <w:tcW w:w="579" w:type="pct"/>
            <w:noWrap/>
            <w:vAlign w:val="bottom"/>
          </w:tcPr>
          <w:p w:rsidR="00DA49AC" w:rsidRPr="00D86156" w:rsidRDefault="00DA49AC" w:rsidP="00CB5582">
            <w:pPr>
              <w:spacing w:line="240" w:lineRule="auto"/>
              <w:jc w:val="center"/>
              <w:rPr>
                <w:color w:val="000000"/>
              </w:rPr>
            </w:pPr>
            <w:r>
              <w:rPr>
                <w:color w:val="000000"/>
              </w:rPr>
              <w:t>2.3</w:t>
            </w:r>
          </w:p>
        </w:tc>
        <w:tc>
          <w:tcPr>
            <w:tcW w:w="520" w:type="pct"/>
            <w:noWrap/>
            <w:vAlign w:val="bottom"/>
          </w:tcPr>
          <w:p w:rsidR="00DA49AC" w:rsidRPr="00D86156" w:rsidRDefault="00DA49AC" w:rsidP="00CB5582">
            <w:pPr>
              <w:spacing w:line="240" w:lineRule="auto"/>
              <w:jc w:val="center"/>
              <w:rPr>
                <w:color w:val="000000"/>
              </w:rPr>
            </w:pPr>
            <w:r>
              <w:rPr>
                <w:color w:val="000000"/>
              </w:rPr>
              <w:t>1.6</w:t>
            </w:r>
          </w:p>
        </w:tc>
        <w:tc>
          <w:tcPr>
            <w:tcW w:w="519" w:type="pct"/>
            <w:noWrap/>
            <w:vAlign w:val="bottom"/>
          </w:tcPr>
          <w:p w:rsidR="00DA49AC" w:rsidRPr="00D86156" w:rsidRDefault="00DA49AC" w:rsidP="00CB5582">
            <w:pPr>
              <w:spacing w:line="240" w:lineRule="auto"/>
              <w:jc w:val="center"/>
              <w:rPr>
                <w:color w:val="000000"/>
              </w:rPr>
            </w:pPr>
            <w:r>
              <w:rPr>
                <w:color w:val="000000"/>
              </w:rPr>
              <w:t>3.6</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1.9</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3.5</w:t>
            </w:r>
          </w:p>
        </w:tc>
        <w:tc>
          <w:tcPr>
            <w:tcW w:w="569" w:type="pct"/>
            <w:vAlign w:val="bottom"/>
          </w:tcPr>
          <w:p w:rsidR="00DA49AC" w:rsidRPr="00D86156" w:rsidRDefault="00DA49AC" w:rsidP="00FC3E0E">
            <w:pPr>
              <w:spacing w:line="240" w:lineRule="auto"/>
              <w:jc w:val="center"/>
              <w:rPr>
                <w:color w:val="000000"/>
              </w:rPr>
            </w:pPr>
            <w:r>
              <w:rPr>
                <w:color w:val="000000"/>
              </w:rPr>
              <w:t>1.7</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Upper-Esquire</w:t>
            </w:r>
          </w:p>
        </w:tc>
        <w:tc>
          <w:tcPr>
            <w:tcW w:w="614" w:type="pct"/>
            <w:noWrap/>
            <w:vAlign w:val="bottom"/>
          </w:tcPr>
          <w:p w:rsidR="00DA49AC" w:rsidRPr="00D86156" w:rsidRDefault="00DA49AC" w:rsidP="00CB5582">
            <w:pPr>
              <w:spacing w:line="240" w:lineRule="auto"/>
              <w:jc w:val="center"/>
              <w:rPr>
                <w:color w:val="000000"/>
              </w:rPr>
            </w:pPr>
            <w:r>
              <w:rPr>
                <w:color w:val="000000"/>
              </w:rPr>
              <w:t>16.7</w:t>
            </w:r>
          </w:p>
        </w:tc>
        <w:tc>
          <w:tcPr>
            <w:tcW w:w="579" w:type="pct"/>
            <w:noWrap/>
            <w:vAlign w:val="bottom"/>
          </w:tcPr>
          <w:p w:rsidR="00DA49AC" w:rsidRPr="00D86156" w:rsidRDefault="00DA49AC" w:rsidP="00CB5582">
            <w:pPr>
              <w:spacing w:line="240" w:lineRule="auto"/>
              <w:jc w:val="center"/>
              <w:rPr>
                <w:color w:val="000000"/>
              </w:rPr>
            </w:pPr>
            <w:r w:rsidRPr="00D86156">
              <w:rPr>
                <w:color w:val="000000"/>
              </w:rPr>
              <w:t>18.8</w:t>
            </w:r>
          </w:p>
        </w:tc>
        <w:tc>
          <w:tcPr>
            <w:tcW w:w="520" w:type="pct"/>
            <w:noWrap/>
            <w:vAlign w:val="bottom"/>
          </w:tcPr>
          <w:p w:rsidR="00DA49AC" w:rsidRPr="00D86156" w:rsidRDefault="00DA49AC" w:rsidP="00CB5582">
            <w:pPr>
              <w:spacing w:line="240" w:lineRule="auto"/>
              <w:jc w:val="center"/>
              <w:rPr>
                <w:color w:val="000000"/>
              </w:rPr>
            </w:pPr>
            <w:r>
              <w:rPr>
                <w:color w:val="000000"/>
              </w:rPr>
              <w:t>18.9</w:t>
            </w:r>
          </w:p>
        </w:tc>
        <w:tc>
          <w:tcPr>
            <w:tcW w:w="519" w:type="pct"/>
            <w:noWrap/>
            <w:vAlign w:val="bottom"/>
          </w:tcPr>
          <w:p w:rsidR="00DA49AC" w:rsidRPr="00D86156" w:rsidRDefault="00DA49AC" w:rsidP="00CB5582">
            <w:pPr>
              <w:spacing w:line="240" w:lineRule="auto"/>
              <w:jc w:val="center"/>
              <w:rPr>
                <w:color w:val="000000"/>
              </w:rPr>
            </w:pPr>
            <w:r>
              <w:rPr>
                <w:color w:val="000000"/>
              </w:rPr>
              <w:t>26.1</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9.3</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21.6</w:t>
            </w:r>
          </w:p>
        </w:tc>
        <w:tc>
          <w:tcPr>
            <w:tcW w:w="569" w:type="pct"/>
            <w:vAlign w:val="bottom"/>
          </w:tcPr>
          <w:p w:rsidR="00DA49AC" w:rsidRPr="00D86156" w:rsidRDefault="00DA49AC" w:rsidP="00FC3E0E">
            <w:pPr>
              <w:spacing w:line="240" w:lineRule="auto"/>
              <w:jc w:val="center"/>
              <w:rPr>
                <w:color w:val="000000"/>
              </w:rPr>
            </w:pPr>
            <w:r w:rsidRPr="00D86156">
              <w:rPr>
                <w:color w:val="000000"/>
              </w:rPr>
              <w:t>12.1</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Upper-Gentleman</w:t>
            </w:r>
          </w:p>
        </w:tc>
        <w:tc>
          <w:tcPr>
            <w:tcW w:w="614" w:type="pct"/>
            <w:noWrap/>
            <w:vAlign w:val="bottom"/>
          </w:tcPr>
          <w:p w:rsidR="00DA49AC" w:rsidRPr="00D86156" w:rsidRDefault="00DA49AC" w:rsidP="00CB5582">
            <w:pPr>
              <w:spacing w:line="240" w:lineRule="auto"/>
              <w:jc w:val="center"/>
              <w:rPr>
                <w:color w:val="000000"/>
              </w:rPr>
            </w:pPr>
            <w:r>
              <w:rPr>
                <w:color w:val="000000"/>
              </w:rPr>
              <w:t>24.6</w:t>
            </w:r>
          </w:p>
        </w:tc>
        <w:tc>
          <w:tcPr>
            <w:tcW w:w="579" w:type="pct"/>
            <w:noWrap/>
            <w:vAlign w:val="bottom"/>
          </w:tcPr>
          <w:p w:rsidR="00DA49AC" w:rsidRPr="00D86156" w:rsidRDefault="00DA49AC" w:rsidP="00CB5582">
            <w:pPr>
              <w:spacing w:line="240" w:lineRule="auto"/>
              <w:jc w:val="center"/>
              <w:rPr>
                <w:color w:val="000000"/>
              </w:rPr>
            </w:pPr>
            <w:r>
              <w:rPr>
                <w:color w:val="000000"/>
              </w:rPr>
              <w:t>20.4</w:t>
            </w:r>
          </w:p>
        </w:tc>
        <w:tc>
          <w:tcPr>
            <w:tcW w:w="520" w:type="pct"/>
            <w:noWrap/>
            <w:vAlign w:val="bottom"/>
          </w:tcPr>
          <w:p w:rsidR="00DA49AC" w:rsidRPr="00D86156" w:rsidRDefault="00DA49AC" w:rsidP="00CB5582">
            <w:pPr>
              <w:spacing w:line="240" w:lineRule="auto"/>
              <w:jc w:val="center"/>
              <w:rPr>
                <w:color w:val="000000"/>
              </w:rPr>
            </w:pPr>
            <w:r>
              <w:rPr>
                <w:color w:val="000000"/>
              </w:rPr>
              <w:t>57.1</w:t>
            </w:r>
          </w:p>
        </w:tc>
        <w:tc>
          <w:tcPr>
            <w:tcW w:w="519" w:type="pct"/>
            <w:noWrap/>
            <w:vAlign w:val="bottom"/>
          </w:tcPr>
          <w:p w:rsidR="00DA49AC" w:rsidRPr="00D86156" w:rsidRDefault="00DA49AC" w:rsidP="00CB5582">
            <w:pPr>
              <w:spacing w:line="240" w:lineRule="auto"/>
              <w:jc w:val="center"/>
              <w:rPr>
                <w:color w:val="000000"/>
              </w:rPr>
            </w:pPr>
            <w:r>
              <w:rPr>
                <w:color w:val="000000"/>
              </w:rPr>
              <w:t>25.7</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sidRPr="00D86156">
              <w:rPr>
                <w:color w:val="000000"/>
              </w:rPr>
              <w:t>28.4</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36.2</w:t>
            </w:r>
          </w:p>
        </w:tc>
        <w:tc>
          <w:tcPr>
            <w:tcW w:w="569" w:type="pct"/>
            <w:vAlign w:val="bottom"/>
          </w:tcPr>
          <w:p w:rsidR="00DA49AC" w:rsidRPr="00D86156" w:rsidRDefault="00DA49AC" w:rsidP="00FC3E0E">
            <w:pPr>
              <w:spacing w:line="240" w:lineRule="auto"/>
              <w:jc w:val="center"/>
              <w:rPr>
                <w:color w:val="000000"/>
              </w:rPr>
            </w:pPr>
            <w:r>
              <w:rPr>
                <w:color w:val="000000"/>
              </w:rPr>
              <w:t>23.8</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Upper-Nobility</w:t>
            </w:r>
          </w:p>
        </w:tc>
        <w:tc>
          <w:tcPr>
            <w:tcW w:w="614" w:type="pct"/>
            <w:noWrap/>
            <w:vAlign w:val="bottom"/>
          </w:tcPr>
          <w:p w:rsidR="00DA49AC" w:rsidRPr="00D86156" w:rsidRDefault="00DA49AC" w:rsidP="00CB5582">
            <w:pPr>
              <w:spacing w:line="240" w:lineRule="auto"/>
              <w:jc w:val="center"/>
              <w:rPr>
                <w:color w:val="000000"/>
              </w:rPr>
            </w:pPr>
            <w:r>
              <w:rPr>
                <w:color w:val="000000"/>
              </w:rPr>
              <w:t>2.1</w:t>
            </w:r>
          </w:p>
        </w:tc>
        <w:tc>
          <w:tcPr>
            <w:tcW w:w="579" w:type="pct"/>
            <w:noWrap/>
            <w:vAlign w:val="bottom"/>
          </w:tcPr>
          <w:p w:rsidR="00DA49AC" w:rsidRPr="00D86156" w:rsidRDefault="00DA49AC" w:rsidP="00CB5582">
            <w:pPr>
              <w:spacing w:line="240" w:lineRule="auto"/>
              <w:jc w:val="center"/>
              <w:rPr>
                <w:color w:val="000000"/>
              </w:rPr>
            </w:pPr>
            <w:r>
              <w:rPr>
                <w:color w:val="000000"/>
              </w:rPr>
              <w:t>0.8</w:t>
            </w:r>
          </w:p>
        </w:tc>
        <w:tc>
          <w:tcPr>
            <w:tcW w:w="520" w:type="pct"/>
            <w:noWrap/>
            <w:vAlign w:val="bottom"/>
          </w:tcPr>
          <w:p w:rsidR="00DA49AC" w:rsidRPr="00D86156" w:rsidRDefault="00DA49AC" w:rsidP="00CB5582">
            <w:pPr>
              <w:spacing w:line="240" w:lineRule="auto"/>
              <w:jc w:val="center"/>
              <w:rPr>
                <w:color w:val="000000"/>
              </w:rPr>
            </w:pPr>
            <w:r>
              <w:rPr>
                <w:color w:val="000000"/>
              </w:rPr>
              <w:t>1.2</w:t>
            </w:r>
          </w:p>
        </w:tc>
        <w:tc>
          <w:tcPr>
            <w:tcW w:w="519" w:type="pct"/>
            <w:noWrap/>
            <w:vAlign w:val="bottom"/>
          </w:tcPr>
          <w:p w:rsidR="00DA49AC" w:rsidRPr="00D86156" w:rsidRDefault="00DA49AC" w:rsidP="00CB5582">
            <w:pPr>
              <w:spacing w:line="240" w:lineRule="auto"/>
              <w:jc w:val="center"/>
              <w:rPr>
                <w:color w:val="000000"/>
              </w:rPr>
            </w:pPr>
            <w:r>
              <w:rPr>
                <w:color w:val="000000"/>
              </w:rPr>
              <w:t>2.0</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2.4</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1.5</w:t>
            </w:r>
          </w:p>
        </w:tc>
        <w:tc>
          <w:tcPr>
            <w:tcW w:w="569" w:type="pct"/>
            <w:vAlign w:val="bottom"/>
          </w:tcPr>
          <w:p w:rsidR="00DA49AC" w:rsidRPr="00D86156" w:rsidRDefault="00DA49AC" w:rsidP="00FC3E0E">
            <w:pPr>
              <w:spacing w:line="240" w:lineRule="auto"/>
              <w:jc w:val="center"/>
              <w:rPr>
                <w:color w:val="000000"/>
              </w:rPr>
            </w:pPr>
            <w:r>
              <w:rPr>
                <w:color w:val="000000"/>
              </w:rPr>
              <w:t>1.6</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Women-Married</w:t>
            </w:r>
          </w:p>
        </w:tc>
        <w:tc>
          <w:tcPr>
            <w:tcW w:w="614" w:type="pct"/>
            <w:noWrap/>
            <w:vAlign w:val="bottom"/>
          </w:tcPr>
          <w:p w:rsidR="00DA49AC" w:rsidRPr="00D86156" w:rsidRDefault="00DA49AC" w:rsidP="00CB5582">
            <w:pPr>
              <w:spacing w:line="240" w:lineRule="auto"/>
              <w:jc w:val="center"/>
              <w:rPr>
                <w:color w:val="000000"/>
              </w:rPr>
            </w:pPr>
            <w:r>
              <w:rPr>
                <w:color w:val="000000"/>
              </w:rPr>
              <w:t>1.8</w:t>
            </w:r>
          </w:p>
        </w:tc>
        <w:tc>
          <w:tcPr>
            <w:tcW w:w="579" w:type="pct"/>
            <w:noWrap/>
            <w:vAlign w:val="bottom"/>
          </w:tcPr>
          <w:p w:rsidR="00DA49AC" w:rsidRPr="00D86156" w:rsidRDefault="00DA49AC" w:rsidP="00CB5582">
            <w:pPr>
              <w:spacing w:line="240" w:lineRule="auto"/>
              <w:jc w:val="center"/>
              <w:rPr>
                <w:color w:val="000000"/>
              </w:rPr>
            </w:pPr>
            <w:r>
              <w:rPr>
                <w:color w:val="000000"/>
              </w:rPr>
              <w:t>1.3</w:t>
            </w:r>
          </w:p>
        </w:tc>
        <w:tc>
          <w:tcPr>
            <w:tcW w:w="520" w:type="pct"/>
            <w:noWrap/>
            <w:vAlign w:val="bottom"/>
          </w:tcPr>
          <w:p w:rsidR="00DA49AC" w:rsidRPr="00D86156" w:rsidRDefault="00DA49AC" w:rsidP="00CB5582">
            <w:pPr>
              <w:spacing w:line="240" w:lineRule="auto"/>
              <w:jc w:val="center"/>
              <w:rPr>
                <w:color w:val="000000"/>
              </w:rPr>
            </w:pPr>
            <w:r>
              <w:rPr>
                <w:color w:val="000000"/>
              </w:rPr>
              <w:t>1.0</w:t>
            </w:r>
          </w:p>
        </w:tc>
        <w:tc>
          <w:tcPr>
            <w:tcW w:w="519" w:type="pct"/>
            <w:noWrap/>
            <w:vAlign w:val="bottom"/>
          </w:tcPr>
          <w:p w:rsidR="00DA49AC" w:rsidRPr="00D86156" w:rsidRDefault="00DA49AC" w:rsidP="00CB5582">
            <w:pPr>
              <w:spacing w:line="240" w:lineRule="auto"/>
              <w:jc w:val="center"/>
              <w:rPr>
                <w:color w:val="000000"/>
              </w:rPr>
            </w:pPr>
            <w:r>
              <w:rPr>
                <w:color w:val="000000"/>
              </w:rPr>
              <w:t>2.1</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2.1</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1.4</w:t>
            </w:r>
          </w:p>
        </w:tc>
        <w:tc>
          <w:tcPr>
            <w:tcW w:w="569" w:type="pct"/>
            <w:vAlign w:val="bottom"/>
          </w:tcPr>
          <w:p w:rsidR="00DA49AC" w:rsidRPr="00D86156" w:rsidRDefault="00DA49AC" w:rsidP="00FC3E0E">
            <w:pPr>
              <w:spacing w:line="240" w:lineRule="auto"/>
              <w:jc w:val="center"/>
              <w:rPr>
                <w:color w:val="000000"/>
              </w:rPr>
            </w:pPr>
            <w:r>
              <w:rPr>
                <w:color w:val="000000"/>
              </w:rPr>
              <w:t>1.7</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Women-Spinster</w:t>
            </w:r>
          </w:p>
        </w:tc>
        <w:tc>
          <w:tcPr>
            <w:tcW w:w="614" w:type="pct"/>
            <w:noWrap/>
            <w:vAlign w:val="bottom"/>
          </w:tcPr>
          <w:p w:rsidR="00DA49AC" w:rsidRPr="00D86156" w:rsidRDefault="00DA49AC" w:rsidP="00CB5582">
            <w:pPr>
              <w:spacing w:line="240" w:lineRule="auto"/>
              <w:jc w:val="center"/>
              <w:rPr>
                <w:color w:val="000000"/>
              </w:rPr>
            </w:pPr>
            <w:r>
              <w:rPr>
                <w:color w:val="000000"/>
              </w:rPr>
              <w:t>3.0</w:t>
            </w:r>
          </w:p>
        </w:tc>
        <w:tc>
          <w:tcPr>
            <w:tcW w:w="579" w:type="pct"/>
            <w:noWrap/>
            <w:vAlign w:val="bottom"/>
          </w:tcPr>
          <w:p w:rsidR="00DA49AC" w:rsidRPr="00D86156" w:rsidRDefault="00DA49AC" w:rsidP="00CB5582">
            <w:pPr>
              <w:spacing w:line="240" w:lineRule="auto"/>
              <w:jc w:val="center"/>
              <w:rPr>
                <w:color w:val="000000"/>
              </w:rPr>
            </w:pPr>
            <w:r>
              <w:rPr>
                <w:color w:val="000000"/>
              </w:rPr>
              <w:t>6.2</w:t>
            </w:r>
          </w:p>
        </w:tc>
        <w:tc>
          <w:tcPr>
            <w:tcW w:w="520" w:type="pct"/>
            <w:noWrap/>
            <w:vAlign w:val="bottom"/>
          </w:tcPr>
          <w:p w:rsidR="00DA49AC" w:rsidRPr="00D86156" w:rsidRDefault="00DA49AC" w:rsidP="00CB5582">
            <w:pPr>
              <w:spacing w:line="240" w:lineRule="auto"/>
              <w:jc w:val="center"/>
              <w:rPr>
                <w:color w:val="000000"/>
              </w:rPr>
            </w:pPr>
            <w:r>
              <w:rPr>
                <w:color w:val="000000"/>
              </w:rPr>
              <w:t>2.1</w:t>
            </w:r>
          </w:p>
        </w:tc>
        <w:tc>
          <w:tcPr>
            <w:tcW w:w="519" w:type="pct"/>
            <w:noWrap/>
            <w:vAlign w:val="bottom"/>
          </w:tcPr>
          <w:p w:rsidR="00DA49AC" w:rsidRPr="00D86156" w:rsidRDefault="00DA49AC" w:rsidP="00CB5582">
            <w:pPr>
              <w:spacing w:line="240" w:lineRule="auto"/>
              <w:jc w:val="center"/>
              <w:rPr>
                <w:color w:val="000000"/>
              </w:rPr>
            </w:pPr>
            <w:r>
              <w:rPr>
                <w:color w:val="000000"/>
              </w:rPr>
              <w:t>6.0</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5.4</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3.3</w:t>
            </w:r>
          </w:p>
        </w:tc>
        <w:tc>
          <w:tcPr>
            <w:tcW w:w="569" w:type="pct"/>
            <w:vAlign w:val="bottom"/>
          </w:tcPr>
          <w:p w:rsidR="00DA49AC" w:rsidRPr="00D86156" w:rsidRDefault="00DA49AC" w:rsidP="00FC3E0E">
            <w:pPr>
              <w:spacing w:line="240" w:lineRule="auto"/>
              <w:jc w:val="center"/>
              <w:rPr>
                <w:color w:val="000000"/>
              </w:rPr>
            </w:pPr>
            <w:r>
              <w:rPr>
                <w:color w:val="000000"/>
              </w:rPr>
              <w:t>6.2</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Women-Widow</w:t>
            </w:r>
          </w:p>
        </w:tc>
        <w:tc>
          <w:tcPr>
            <w:tcW w:w="614" w:type="pct"/>
            <w:noWrap/>
            <w:vAlign w:val="bottom"/>
          </w:tcPr>
          <w:p w:rsidR="00DA49AC" w:rsidRPr="00D86156" w:rsidRDefault="00DA49AC" w:rsidP="00CB5582">
            <w:pPr>
              <w:spacing w:line="240" w:lineRule="auto"/>
              <w:jc w:val="center"/>
              <w:rPr>
                <w:color w:val="000000"/>
              </w:rPr>
            </w:pPr>
            <w:r>
              <w:rPr>
                <w:color w:val="000000"/>
              </w:rPr>
              <w:t>3.9</w:t>
            </w:r>
          </w:p>
        </w:tc>
        <w:tc>
          <w:tcPr>
            <w:tcW w:w="579" w:type="pct"/>
            <w:noWrap/>
            <w:vAlign w:val="bottom"/>
          </w:tcPr>
          <w:p w:rsidR="00DA49AC" w:rsidRPr="00D86156" w:rsidRDefault="00DA49AC" w:rsidP="00CB5582">
            <w:pPr>
              <w:spacing w:line="240" w:lineRule="auto"/>
              <w:jc w:val="center"/>
              <w:rPr>
                <w:color w:val="000000"/>
              </w:rPr>
            </w:pPr>
            <w:r>
              <w:rPr>
                <w:color w:val="000000"/>
              </w:rPr>
              <w:t>5.4</w:t>
            </w:r>
          </w:p>
        </w:tc>
        <w:tc>
          <w:tcPr>
            <w:tcW w:w="520" w:type="pct"/>
            <w:noWrap/>
            <w:vAlign w:val="bottom"/>
          </w:tcPr>
          <w:p w:rsidR="00DA49AC" w:rsidRPr="00D86156" w:rsidRDefault="00DA49AC" w:rsidP="00CB5582">
            <w:pPr>
              <w:spacing w:line="240" w:lineRule="auto"/>
              <w:jc w:val="center"/>
              <w:rPr>
                <w:color w:val="000000"/>
              </w:rPr>
            </w:pPr>
            <w:r>
              <w:rPr>
                <w:color w:val="000000"/>
              </w:rPr>
              <w:t>1.6</w:t>
            </w:r>
          </w:p>
        </w:tc>
        <w:tc>
          <w:tcPr>
            <w:tcW w:w="519" w:type="pct"/>
            <w:noWrap/>
            <w:vAlign w:val="bottom"/>
          </w:tcPr>
          <w:p w:rsidR="00DA49AC" w:rsidRPr="00D86156" w:rsidRDefault="00DA49AC" w:rsidP="00CB5582">
            <w:pPr>
              <w:spacing w:line="240" w:lineRule="auto"/>
              <w:jc w:val="center"/>
              <w:rPr>
                <w:color w:val="000000"/>
              </w:rPr>
            </w:pPr>
            <w:r>
              <w:rPr>
                <w:color w:val="000000"/>
              </w:rPr>
              <w:t>4.5</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3.3</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3.0</w:t>
            </w:r>
          </w:p>
        </w:tc>
        <w:tc>
          <w:tcPr>
            <w:tcW w:w="569" w:type="pct"/>
            <w:vAlign w:val="bottom"/>
          </w:tcPr>
          <w:p w:rsidR="00DA49AC" w:rsidRPr="00D86156" w:rsidRDefault="00DA49AC" w:rsidP="00FC3E0E">
            <w:pPr>
              <w:spacing w:line="240" w:lineRule="auto"/>
              <w:jc w:val="center"/>
              <w:rPr>
                <w:color w:val="000000"/>
              </w:rPr>
            </w:pPr>
            <w:r>
              <w:rPr>
                <w:color w:val="000000"/>
              </w:rPr>
              <w:t>4.6</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Working-Skilled</w:t>
            </w:r>
          </w:p>
        </w:tc>
        <w:tc>
          <w:tcPr>
            <w:tcW w:w="614" w:type="pct"/>
            <w:noWrap/>
            <w:vAlign w:val="bottom"/>
          </w:tcPr>
          <w:p w:rsidR="00DA49AC" w:rsidRPr="00D86156" w:rsidRDefault="00DA49AC" w:rsidP="00CB5582">
            <w:pPr>
              <w:spacing w:line="240" w:lineRule="auto"/>
              <w:jc w:val="center"/>
              <w:rPr>
                <w:color w:val="000000"/>
              </w:rPr>
            </w:pPr>
            <w:r>
              <w:rPr>
                <w:color w:val="000000"/>
              </w:rPr>
              <w:t>0.1</w:t>
            </w:r>
          </w:p>
        </w:tc>
        <w:tc>
          <w:tcPr>
            <w:tcW w:w="579" w:type="pct"/>
            <w:noWrap/>
            <w:vAlign w:val="bottom"/>
          </w:tcPr>
          <w:p w:rsidR="00DA49AC" w:rsidRPr="00D86156" w:rsidRDefault="00DA49AC" w:rsidP="00CB5582">
            <w:pPr>
              <w:spacing w:line="240" w:lineRule="auto"/>
              <w:jc w:val="center"/>
              <w:rPr>
                <w:color w:val="000000"/>
              </w:rPr>
            </w:pPr>
            <w:r>
              <w:rPr>
                <w:color w:val="000000"/>
              </w:rPr>
              <w:t>0.5</w:t>
            </w:r>
          </w:p>
        </w:tc>
        <w:tc>
          <w:tcPr>
            <w:tcW w:w="520" w:type="pct"/>
            <w:noWrap/>
            <w:vAlign w:val="bottom"/>
          </w:tcPr>
          <w:p w:rsidR="00DA49AC" w:rsidRPr="00D86156" w:rsidRDefault="00DA49AC" w:rsidP="00CB5582">
            <w:pPr>
              <w:spacing w:line="240" w:lineRule="auto"/>
              <w:jc w:val="center"/>
              <w:rPr>
                <w:color w:val="000000"/>
              </w:rPr>
            </w:pPr>
            <w:r>
              <w:rPr>
                <w:color w:val="000000"/>
              </w:rPr>
              <w:t>0.2</w:t>
            </w:r>
          </w:p>
        </w:tc>
        <w:tc>
          <w:tcPr>
            <w:tcW w:w="519" w:type="pct"/>
            <w:noWrap/>
            <w:vAlign w:val="bottom"/>
          </w:tcPr>
          <w:p w:rsidR="00DA49AC" w:rsidRPr="00D86156" w:rsidRDefault="00DA49AC" w:rsidP="00CB5582">
            <w:pPr>
              <w:spacing w:line="240" w:lineRule="auto"/>
              <w:jc w:val="center"/>
              <w:rPr>
                <w:color w:val="000000"/>
              </w:rPr>
            </w:pPr>
            <w:r>
              <w:rPr>
                <w:color w:val="000000"/>
              </w:rPr>
              <w:t>0.1</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0.4</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0.1</w:t>
            </w:r>
          </w:p>
        </w:tc>
        <w:tc>
          <w:tcPr>
            <w:tcW w:w="569" w:type="pct"/>
            <w:vAlign w:val="bottom"/>
          </w:tcPr>
          <w:p w:rsidR="00DA49AC" w:rsidRPr="00D86156" w:rsidRDefault="00DA49AC" w:rsidP="00FC3E0E">
            <w:pPr>
              <w:spacing w:line="240" w:lineRule="auto"/>
              <w:jc w:val="center"/>
              <w:rPr>
                <w:color w:val="000000"/>
              </w:rPr>
            </w:pPr>
            <w:r>
              <w:rPr>
                <w:color w:val="000000"/>
              </w:rPr>
              <w:t>0.5</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Working-Unskilled</w:t>
            </w:r>
          </w:p>
        </w:tc>
        <w:tc>
          <w:tcPr>
            <w:tcW w:w="614" w:type="pct"/>
            <w:noWrap/>
            <w:vAlign w:val="bottom"/>
          </w:tcPr>
          <w:p w:rsidR="00DA49AC" w:rsidRPr="00D86156" w:rsidRDefault="00DA49AC" w:rsidP="00CB5582">
            <w:pPr>
              <w:spacing w:line="240" w:lineRule="auto"/>
              <w:jc w:val="center"/>
              <w:rPr>
                <w:color w:val="000000"/>
              </w:rPr>
            </w:pPr>
            <w:r>
              <w:rPr>
                <w:color w:val="000000"/>
              </w:rPr>
              <w:t>0.1</w:t>
            </w:r>
          </w:p>
        </w:tc>
        <w:tc>
          <w:tcPr>
            <w:tcW w:w="579" w:type="pct"/>
            <w:noWrap/>
            <w:vAlign w:val="bottom"/>
          </w:tcPr>
          <w:p w:rsidR="00DA49AC" w:rsidRPr="00D86156" w:rsidRDefault="00DA49AC" w:rsidP="00CB5582">
            <w:pPr>
              <w:spacing w:line="240" w:lineRule="auto"/>
              <w:jc w:val="center"/>
              <w:rPr>
                <w:color w:val="000000"/>
              </w:rPr>
            </w:pPr>
            <w:r>
              <w:rPr>
                <w:color w:val="000000"/>
              </w:rPr>
              <w:t>0.1</w:t>
            </w:r>
          </w:p>
        </w:tc>
        <w:tc>
          <w:tcPr>
            <w:tcW w:w="520" w:type="pct"/>
            <w:noWrap/>
            <w:vAlign w:val="bottom"/>
          </w:tcPr>
          <w:p w:rsidR="00DA49AC" w:rsidRPr="00D86156" w:rsidRDefault="00DA49AC" w:rsidP="00CB5582">
            <w:pPr>
              <w:spacing w:line="240" w:lineRule="auto"/>
              <w:jc w:val="center"/>
              <w:rPr>
                <w:color w:val="000000"/>
              </w:rPr>
            </w:pPr>
            <w:r>
              <w:rPr>
                <w:color w:val="000000"/>
              </w:rPr>
              <w:t>0.0</w:t>
            </w:r>
          </w:p>
        </w:tc>
        <w:tc>
          <w:tcPr>
            <w:tcW w:w="519" w:type="pct"/>
            <w:noWrap/>
            <w:vAlign w:val="bottom"/>
          </w:tcPr>
          <w:p w:rsidR="00DA49AC" w:rsidRPr="00D86156" w:rsidRDefault="00DA49AC" w:rsidP="00CB5582">
            <w:pPr>
              <w:spacing w:line="240" w:lineRule="auto"/>
              <w:jc w:val="center"/>
              <w:rPr>
                <w:color w:val="000000"/>
              </w:rPr>
            </w:pPr>
            <w:r>
              <w:rPr>
                <w:color w:val="000000"/>
              </w:rPr>
              <w:t>0.0</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0.1</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0.0</w:t>
            </w:r>
          </w:p>
        </w:tc>
        <w:tc>
          <w:tcPr>
            <w:tcW w:w="569" w:type="pct"/>
            <w:vAlign w:val="bottom"/>
          </w:tcPr>
          <w:p w:rsidR="00DA49AC" w:rsidRPr="00D86156" w:rsidRDefault="00DA49AC" w:rsidP="00FC3E0E">
            <w:pPr>
              <w:spacing w:line="240" w:lineRule="auto"/>
              <w:jc w:val="center"/>
              <w:rPr>
                <w:color w:val="000000"/>
              </w:rPr>
            </w:pPr>
            <w:r>
              <w:rPr>
                <w:color w:val="000000"/>
              </w:rPr>
              <w:t>0.1</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Politician</w:t>
            </w:r>
          </w:p>
        </w:tc>
        <w:tc>
          <w:tcPr>
            <w:tcW w:w="614" w:type="pct"/>
            <w:noWrap/>
            <w:vAlign w:val="bottom"/>
          </w:tcPr>
          <w:p w:rsidR="00DA49AC" w:rsidRPr="00D86156" w:rsidRDefault="00DA49AC" w:rsidP="0027220E">
            <w:pPr>
              <w:spacing w:line="240" w:lineRule="auto"/>
              <w:jc w:val="center"/>
              <w:rPr>
                <w:color w:val="000000"/>
              </w:rPr>
            </w:pPr>
            <w:r>
              <w:rPr>
                <w:color w:val="000000"/>
              </w:rPr>
              <w:t>0.0</w:t>
            </w:r>
          </w:p>
        </w:tc>
        <w:tc>
          <w:tcPr>
            <w:tcW w:w="579" w:type="pct"/>
            <w:noWrap/>
            <w:vAlign w:val="bottom"/>
          </w:tcPr>
          <w:p w:rsidR="00DA49AC" w:rsidRPr="00D86156" w:rsidRDefault="00DA49AC" w:rsidP="0027220E">
            <w:pPr>
              <w:spacing w:line="240" w:lineRule="auto"/>
              <w:jc w:val="center"/>
              <w:rPr>
                <w:color w:val="000000"/>
              </w:rPr>
            </w:pPr>
            <w:r>
              <w:rPr>
                <w:color w:val="000000"/>
              </w:rPr>
              <w:t>0.5</w:t>
            </w:r>
          </w:p>
        </w:tc>
        <w:tc>
          <w:tcPr>
            <w:tcW w:w="520" w:type="pct"/>
            <w:noWrap/>
            <w:vAlign w:val="bottom"/>
          </w:tcPr>
          <w:p w:rsidR="00DA49AC" w:rsidRPr="00D86156" w:rsidRDefault="00DA49AC" w:rsidP="0027220E">
            <w:pPr>
              <w:spacing w:line="240" w:lineRule="auto"/>
              <w:jc w:val="center"/>
              <w:rPr>
                <w:color w:val="000000"/>
              </w:rPr>
            </w:pPr>
            <w:r>
              <w:rPr>
                <w:color w:val="000000"/>
              </w:rPr>
              <w:t>0.4</w:t>
            </w:r>
          </w:p>
        </w:tc>
        <w:tc>
          <w:tcPr>
            <w:tcW w:w="519" w:type="pct"/>
            <w:noWrap/>
            <w:vAlign w:val="bottom"/>
          </w:tcPr>
          <w:p w:rsidR="00DA49AC" w:rsidRPr="00D86156" w:rsidRDefault="00DA49AC" w:rsidP="0027220E">
            <w:pPr>
              <w:spacing w:line="240" w:lineRule="auto"/>
              <w:jc w:val="center"/>
              <w:rPr>
                <w:color w:val="000000"/>
              </w:rPr>
            </w:pPr>
            <w:r>
              <w:rPr>
                <w:color w:val="000000"/>
              </w:rPr>
              <w:t>0.2</w:t>
            </w:r>
          </w:p>
        </w:tc>
        <w:tc>
          <w:tcPr>
            <w:tcW w:w="452" w:type="pct"/>
            <w:tcBorders>
              <w:right w:val="single" w:sz="4" w:space="0" w:color="auto"/>
            </w:tcBorders>
            <w:noWrap/>
            <w:vAlign w:val="bottom"/>
          </w:tcPr>
          <w:p w:rsidR="00DA49AC" w:rsidRPr="00D86156" w:rsidRDefault="00DA49AC" w:rsidP="0027220E">
            <w:pPr>
              <w:spacing w:line="240" w:lineRule="auto"/>
              <w:jc w:val="center"/>
              <w:rPr>
                <w:color w:val="000000"/>
              </w:rPr>
            </w:pPr>
            <w:r>
              <w:rPr>
                <w:color w:val="000000"/>
              </w:rPr>
              <w:t>0.8</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1.1</w:t>
            </w:r>
          </w:p>
        </w:tc>
        <w:tc>
          <w:tcPr>
            <w:tcW w:w="569" w:type="pct"/>
            <w:vAlign w:val="bottom"/>
          </w:tcPr>
          <w:p w:rsidR="00DA49AC" w:rsidRPr="00D86156" w:rsidRDefault="00DA49AC" w:rsidP="00FC3E0E">
            <w:pPr>
              <w:spacing w:line="240" w:lineRule="auto"/>
              <w:jc w:val="center"/>
              <w:rPr>
                <w:color w:val="000000"/>
              </w:rPr>
            </w:pPr>
            <w:r>
              <w:rPr>
                <w:color w:val="000000"/>
              </w:rPr>
              <w:t>0.3</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Pr>
                <w:color w:val="000000"/>
              </w:rPr>
              <w:t xml:space="preserve">Executor </w:t>
            </w:r>
            <w:r w:rsidRPr="00D86156">
              <w:rPr>
                <w:color w:val="000000"/>
              </w:rPr>
              <w:t>/</w:t>
            </w:r>
            <w:r>
              <w:rPr>
                <w:color w:val="000000"/>
              </w:rPr>
              <w:t xml:space="preserve"> </w:t>
            </w:r>
            <w:r w:rsidRPr="00D86156">
              <w:rPr>
                <w:color w:val="000000"/>
              </w:rPr>
              <w:t>Trust</w:t>
            </w:r>
          </w:p>
        </w:tc>
        <w:tc>
          <w:tcPr>
            <w:tcW w:w="614" w:type="pct"/>
            <w:noWrap/>
            <w:vAlign w:val="bottom"/>
          </w:tcPr>
          <w:p w:rsidR="00DA49AC" w:rsidRPr="00D86156" w:rsidRDefault="00DA49AC" w:rsidP="00CB5582">
            <w:pPr>
              <w:spacing w:line="240" w:lineRule="auto"/>
              <w:jc w:val="center"/>
              <w:rPr>
                <w:color w:val="000000"/>
              </w:rPr>
            </w:pPr>
            <w:r>
              <w:rPr>
                <w:color w:val="000000"/>
              </w:rPr>
              <w:t>0.0</w:t>
            </w:r>
          </w:p>
        </w:tc>
        <w:tc>
          <w:tcPr>
            <w:tcW w:w="579" w:type="pct"/>
            <w:noWrap/>
            <w:vAlign w:val="bottom"/>
          </w:tcPr>
          <w:p w:rsidR="00DA49AC" w:rsidRPr="00D86156" w:rsidRDefault="00DA49AC" w:rsidP="00CB5582">
            <w:pPr>
              <w:spacing w:line="240" w:lineRule="auto"/>
              <w:jc w:val="center"/>
              <w:rPr>
                <w:color w:val="000000"/>
              </w:rPr>
            </w:pPr>
            <w:r>
              <w:rPr>
                <w:color w:val="000000"/>
              </w:rPr>
              <w:t>0.7</w:t>
            </w:r>
          </w:p>
        </w:tc>
        <w:tc>
          <w:tcPr>
            <w:tcW w:w="520" w:type="pct"/>
            <w:noWrap/>
            <w:vAlign w:val="bottom"/>
          </w:tcPr>
          <w:p w:rsidR="00DA49AC" w:rsidRPr="00D86156" w:rsidRDefault="00DA49AC" w:rsidP="00CB5582">
            <w:pPr>
              <w:spacing w:line="240" w:lineRule="auto"/>
              <w:jc w:val="center"/>
              <w:rPr>
                <w:color w:val="000000"/>
              </w:rPr>
            </w:pPr>
            <w:r>
              <w:rPr>
                <w:color w:val="000000"/>
              </w:rPr>
              <w:t>0.9</w:t>
            </w:r>
          </w:p>
        </w:tc>
        <w:tc>
          <w:tcPr>
            <w:tcW w:w="519" w:type="pct"/>
            <w:noWrap/>
            <w:vAlign w:val="bottom"/>
          </w:tcPr>
          <w:p w:rsidR="00DA49AC" w:rsidRPr="00D86156" w:rsidRDefault="00DA49AC" w:rsidP="00CB5582">
            <w:pPr>
              <w:spacing w:line="240" w:lineRule="auto"/>
              <w:jc w:val="center"/>
              <w:rPr>
                <w:color w:val="000000"/>
              </w:rPr>
            </w:pPr>
            <w:r>
              <w:rPr>
                <w:color w:val="000000"/>
              </w:rPr>
              <w:t>2.0</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3.2</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0.8</w:t>
            </w:r>
          </w:p>
        </w:tc>
        <w:tc>
          <w:tcPr>
            <w:tcW w:w="569" w:type="pct"/>
            <w:vAlign w:val="bottom"/>
          </w:tcPr>
          <w:p w:rsidR="00DA49AC" w:rsidRPr="00D86156" w:rsidRDefault="00DA49AC" w:rsidP="00FC3E0E">
            <w:pPr>
              <w:spacing w:line="240" w:lineRule="auto"/>
              <w:jc w:val="center"/>
              <w:rPr>
                <w:color w:val="000000"/>
              </w:rPr>
            </w:pPr>
            <w:r>
              <w:rPr>
                <w:color w:val="000000"/>
              </w:rPr>
              <w:t>2.2</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Unknown</w:t>
            </w:r>
            <w:r>
              <w:rPr>
                <w:color w:val="000000"/>
              </w:rPr>
              <w:t xml:space="preserve"> (males)</w:t>
            </w:r>
          </w:p>
        </w:tc>
        <w:tc>
          <w:tcPr>
            <w:tcW w:w="614" w:type="pct"/>
            <w:noWrap/>
            <w:vAlign w:val="bottom"/>
          </w:tcPr>
          <w:p w:rsidR="00DA49AC" w:rsidRPr="00D86156" w:rsidRDefault="00DA49AC" w:rsidP="00CB5582">
            <w:pPr>
              <w:spacing w:line="240" w:lineRule="auto"/>
              <w:jc w:val="center"/>
              <w:rPr>
                <w:color w:val="000000"/>
              </w:rPr>
            </w:pPr>
            <w:r>
              <w:rPr>
                <w:color w:val="000000"/>
              </w:rPr>
              <w:t>3.5</w:t>
            </w:r>
          </w:p>
        </w:tc>
        <w:tc>
          <w:tcPr>
            <w:tcW w:w="579" w:type="pct"/>
            <w:noWrap/>
            <w:vAlign w:val="bottom"/>
          </w:tcPr>
          <w:p w:rsidR="00DA49AC" w:rsidRPr="00D86156" w:rsidRDefault="00DA49AC" w:rsidP="00CB5582">
            <w:pPr>
              <w:spacing w:line="240" w:lineRule="auto"/>
              <w:jc w:val="center"/>
              <w:rPr>
                <w:color w:val="000000"/>
              </w:rPr>
            </w:pPr>
            <w:r>
              <w:rPr>
                <w:color w:val="000000"/>
              </w:rPr>
              <w:t>0.7</w:t>
            </w:r>
          </w:p>
        </w:tc>
        <w:tc>
          <w:tcPr>
            <w:tcW w:w="520" w:type="pct"/>
            <w:noWrap/>
            <w:vAlign w:val="bottom"/>
          </w:tcPr>
          <w:p w:rsidR="00DA49AC" w:rsidRPr="00D86156" w:rsidRDefault="00DA49AC" w:rsidP="00CB5582">
            <w:pPr>
              <w:spacing w:line="240" w:lineRule="auto"/>
              <w:jc w:val="center"/>
              <w:rPr>
                <w:color w:val="000000"/>
              </w:rPr>
            </w:pPr>
            <w:r>
              <w:rPr>
                <w:color w:val="000000"/>
              </w:rPr>
              <w:t>0.5</w:t>
            </w:r>
          </w:p>
        </w:tc>
        <w:tc>
          <w:tcPr>
            <w:tcW w:w="519" w:type="pct"/>
            <w:noWrap/>
            <w:vAlign w:val="bottom"/>
          </w:tcPr>
          <w:p w:rsidR="00DA49AC" w:rsidRPr="00D86156" w:rsidRDefault="00DA49AC" w:rsidP="00CB5582">
            <w:pPr>
              <w:spacing w:line="240" w:lineRule="auto"/>
              <w:jc w:val="center"/>
              <w:rPr>
                <w:color w:val="000000"/>
              </w:rPr>
            </w:pPr>
            <w:r>
              <w:rPr>
                <w:color w:val="000000"/>
              </w:rPr>
              <w:t>1.1</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2.0</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0.9</w:t>
            </w:r>
          </w:p>
        </w:tc>
        <w:tc>
          <w:tcPr>
            <w:tcW w:w="569" w:type="pct"/>
            <w:vAlign w:val="bottom"/>
          </w:tcPr>
          <w:p w:rsidR="00DA49AC" w:rsidRPr="00D86156" w:rsidRDefault="00DA49AC" w:rsidP="00FC3E0E">
            <w:pPr>
              <w:spacing w:line="240" w:lineRule="auto"/>
              <w:jc w:val="center"/>
              <w:rPr>
                <w:color w:val="000000"/>
              </w:rPr>
            </w:pPr>
            <w:r>
              <w:rPr>
                <w:color w:val="000000"/>
              </w:rPr>
              <w:t>1.6</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p>
        </w:tc>
        <w:tc>
          <w:tcPr>
            <w:tcW w:w="614" w:type="pct"/>
            <w:noWrap/>
            <w:vAlign w:val="bottom"/>
          </w:tcPr>
          <w:p w:rsidR="00DA49AC" w:rsidRPr="00D86156" w:rsidRDefault="00DA49AC" w:rsidP="00CB5582">
            <w:pPr>
              <w:spacing w:line="240" w:lineRule="auto"/>
              <w:jc w:val="center"/>
              <w:rPr>
                <w:color w:val="000000"/>
              </w:rPr>
            </w:pPr>
          </w:p>
        </w:tc>
        <w:tc>
          <w:tcPr>
            <w:tcW w:w="579" w:type="pct"/>
            <w:noWrap/>
            <w:vAlign w:val="bottom"/>
          </w:tcPr>
          <w:p w:rsidR="00DA49AC" w:rsidRPr="00D86156" w:rsidRDefault="00DA49AC" w:rsidP="00CB5582">
            <w:pPr>
              <w:spacing w:line="240" w:lineRule="auto"/>
              <w:jc w:val="center"/>
              <w:rPr>
                <w:color w:val="000000"/>
              </w:rPr>
            </w:pPr>
          </w:p>
        </w:tc>
        <w:tc>
          <w:tcPr>
            <w:tcW w:w="520" w:type="pct"/>
            <w:noWrap/>
            <w:vAlign w:val="bottom"/>
          </w:tcPr>
          <w:p w:rsidR="00DA49AC" w:rsidRPr="00D86156" w:rsidRDefault="00DA49AC" w:rsidP="00CB5582">
            <w:pPr>
              <w:spacing w:line="240" w:lineRule="auto"/>
              <w:jc w:val="center"/>
              <w:rPr>
                <w:color w:val="000000"/>
              </w:rPr>
            </w:pPr>
          </w:p>
        </w:tc>
        <w:tc>
          <w:tcPr>
            <w:tcW w:w="519" w:type="pct"/>
            <w:noWrap/>
            <w:vAlign w:val="bottom"/>
          </w:tcPr>
          <w:p w:rsidR="00DA49AC" w:rsidRPr="00D86156" w:rsidRDefault="00DA49AC" w:rsidP="00CB5582">
            <w:pPr>
              <w:spacing w:line="240" w:lineRule="auto"/>
              <w:jc w:val="center"/>
              <w:rPr>
                <w:color w:val="000000"/>
              </w:rPr>
            </w:pP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p>
        </w:tc>
        <w:tc>
          <w:tcPr>
            <w:tcW w:w="569" w:type="pct"/>
            <w:vAlign w:val="bottom"/>
          </w:tcPr>
          <w:p w:rsidR="00DA49AC" w:rsidRPr="00D86156" w:rsidRDefault="00DA49AC" w:rsidP="00FC3E0E">
            <w:pPr>
              <w:spacing w:line="240" w:lineRule="auto"/>
              <w:jc w:val="center"/>
              <w:rPr>
                <w:color w:val="000000"/>
              </w:rPr>
            </w:pP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sidRPr="00D86156">
              <w:rPr>
                <w:color w:val="000000"/>
              </w:rPr>
              <w:t>Total</w:t>
            </w:r>
          </w:p>
        </w:tc>
        <w:tc>
          <w:tcPr>
            <w:tcW w:w="614" w:type="pct"/>
            <w:noWrap/>
            <w:vAlign w:val="bottom"/>
          </w:tcPr>
          <w:p w:rsidR="00DA49AC" w:rsidRPr="00D86156" w:rsidRDefault="00DA49AC" w:rsidP="00CB5582">
            <w:pPr>
              <w:spacing w:line="240" w:lineRule="auto"/>
              <w:jc w:val="center"/>
              <w:rPr>
                <w:color w:val="000000"/>
              </w:rPr>
            </w:pPr>
            <w:r>
              <w:rPr>
                <w:color w:val="000000"/>
              </w:rPr>
              <w:t>100.0</w:t>
            </w:r>
          </w:p>
        </w:tc>
        <w:tc>
          <w:tcPr>
            <w:tcW w:w="579" w:type="pct"/>
            <w:noWrap/>
            <w:vAlign w:val="bottom"/>
          </w:tcPr>
          <w:p w:rsidR="00DA49AC" w:rsidRPr="00D86156" w:rsidRDefault="00DA49AC" w:rsidP="00CB5582">
            <w:pPr>
              <w:spacing w:line="240" w:lineRule="auto"/>
              <w:jc w:val="center"/>
              <w:rPr>
                <w:color w:val="000000"/>
              </w:rPr>
            </w:pPr>
            <w:r>
              <w:rPr>
                <w:color w:val="000000"/>
              </w:rPr>
              <w:t>100.0</w:t>
            </w:r>
          </w:p>
        </w:tc>
        <w:tc>
          <w:tcPr>
            <w:tcW w:w="520" w:type="pct"/>
            <w:noWrap/>
            <w:vAlign w:val="bottom"/>
          </w:tcPr>
          <w:p w:rsidR="00DA49AC" w:rsidRPr="00D86156" w:rsidRDefault="00DA49AC" w:rsidP="00CB5582">
            <w:pPr>
              <w:spacing w:line="240" w:lineRule="auto"/>
              <w:jc w:val="center"/>
              <w:rPr>
                <w:color w:val="000000"/>
              </w:rPr>
            </w:pPr>
            <w:r>
              <w:rPr>
                <w:color w:val="000000"/>
              </w:rPr>
              <w:t>100.0</w:t>
            </w:r>
          </w:p>
        </w:tc>
        <w:tc>
          <w:tcPr>
            <w:tcW w:w="519" w:type="pct"/>
            <w:noWrap/>
            <w:vAlign w:val="bottom"/>
          </w:tcPr>
          <w:p w:rsidR="00DA49AC" w:rsidRPr="00D86156" w:rsidRDefault="00DA49AC" w:rsidP="00CB5582">
            <w:pPr>
              <w:spacing w:line="240" w:lineRule="auto"/>
              <w:jc w:val="center"/>
              <w:rPr>
                <w:color w:val="000000"/>
              </w:rPr>
            </w:pPr>
            <w:r>
              <w:rPr>
                <w:color w:val="000000"/>
              </w:rPr>
              <w:t>100.0</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Pr>
                <w:color w:val="000000"/>
              </w:rPr>
              <w:t>100.0</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Pr>
                <w:color w:val="000000"/>
              </w:rPr>
              <w:t>100.0</w:t>
            </w:r>
          </w:p>
        </w:tc>
        <w:tc>
          <w:tcPr>
            <w:tcW w:w="569" w:type="pct"/>
            <w:vAlign w:val="bottom"/>
          </w:tcPr>
          <w:p w:rsidR="00DA49AC" w:rsidRPr="00D86156" w:rsidRDefault="00DA49AC" w:rsidP="00FC3E0E">
            <w:pPr>
              <w:spacing w:line="240" w:lineRule="auto"/>
              <w:jc w:val="center"/>
              <w:rPr>
                <w:color w:val="000000"/>
              </w:rPr>
            </w:pPr>
            <w:r>
              <w:rPr>
                <w:color w:val="000000"/>
              </w:rPr>
              <w:t>100.0</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p>
        </w:tc>
        <w:tc>
          <w:tcPr>
            <w:tcW w:w="614" w:type="pct"/>
            <w:noWrap/>
            <w:vAlign w:val="bottom"/>
          </w:tcPr>
          <w:p w:rsidR="00DA49AC" w:rsidRPr="00D86156" w:rsidRDefault="00DA49AC" w:rsidP="00CB5582">
            <w:pPr>
              <w:spacing w:line="240" w:lineRule="auto"/>
              <w:jc w:val="center"/>
              <w:rPr>
                <w:color w:val="000000"/>
              </w:rPr>
            </w:pPr>
          </w:p>
        </w:tc>
        <w:tc>
          <w:tcPr>
            <w:tcW w:w="579" w:type="pct"/>
            <w:noWrap/>
            <w:vAlign w:val="bottom"/>
          </w:tcPr>
          <w:p w:rsidR="00DA49AC" w:rsidRPr="00D86156" w:rsidRDefault="00DA49AC" w:rsidP="00CB5582">
            <w:pPr>
              <w:spacing w:line="240" w:lineRule="auto"/>
              <w:jc w:val="center"/>
              <w:rPr>
                <w:color w:val="000000"/>
              </w:rPr>
            </w:pPr>
          </w:p>
        </w:tc>
        <w:tc>
          <w:tcPr>
            <w:tcW w:w="520" w:type="pct"/>
            <w:noWrap/>
            <w:vAlign w:val="bottom"/>
          </w:tcPr>
          <w:p w:rsidR="00DA49AC" w:rsidRPr="00D86156" w:rsidRDefault="00DA49AC" w:rsidP="00CB5582">
            <w:pPr>
              <w:spacing w:line="240" w:lineRule="auto"/>
              <w:jc w:val="center"/>
              <w:rPr>
                <w:color w:val="000000"/>
              </w:rPr>
            </w:pPr>
          </w:p>
        </w:tc>
        <w:tc>
          <w:tcPr>
            <w:tcW w:w="519" w:type="pct"/>
            <w:noWrap/>
            <w:vAlign w:val="bottom"/>
          </w:tcPr>
          <w:p w:rsidR="00DA49AC" w:rsidRPr="00D86156" w:rsidRDefault="00DA49AC" w:rsidP="00CB5582">
            <w:pPr>
              <w:spacing w:line="240" w:lineRule="auto"/>
              <w:jc w:val="center"/>
              <w:rPr>
                <w:color w:val="000000"/>
              </w:rPr>
            </w:pP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p>
        </w:tc>
        <w:tc>
          <w:tcPr>
            <w:tcW w:w="569" w:type="pct"/>
            <w:vAlign w:val="bottom"/>
          </w:tcPr>
          <w:p w:rsidR="00DA49AC" w:rsidRPr="00D86156" w:rsidRDefault="00DA49AC" w:rsidP="00FC3E0E">
            <w:pPr>
              <w:spacing w:line="240" w:lineRule="auto"/>
              <w:jc w:val="center"/>
              <w:rPr>
                <w:color w:val="000000"/>
              </w:rPr>
            </w:pPr>
          </w:p>
        </w:tc>
      </w:tr>
      <w:tr w:rsidR="00DA49AC" w:rsidRPr="003301F4" w:rsidTr="00961CB4">
        <w:trPr>
          <w:trHeight w:val="301"/>
        </w:trPr>
        <w:tc>
          <w:tcPr>
            <w:tcW w:w="1211" w:type="pct"/>
            <w:noWrap/>
            <w:vAlign w:val="bottom"/>
          </w:tcPr>
          <w:p w:rsidR="00DA49AC" w:rsidRPr="00D86156" w:rsidRDefault="00DA49AC" w:rsidP="00CB5582">
            <w:pPr>
              <w:spacing w:line="240" w:lineRule="auto"/>
              <w:rPr>
                <w:color w:val="000000"/>
              </w:rPr>
            </w:pPr>
            <w:r>
              <w:rPr>
                <w:color w:val="000000"/>
              </w:rPr>
              <w:t>No. of company-years</w:t>
            </w:r>
          </w:p>
        </w:tc>
        <w:tc>
          <w:tcPr>
            <w:tcW w:w="614" w:type="pct"/>
            <w:noWrap/>
            <w:vAlign w:val="bottom"/>
          </w:tcPr>
          <w:p w:rsidR="00DA49AC" w:rsidRPr="00D86156" w:rsidRDefault="00DA49AC" w:rsidP="00CB5582">
            <w:pPr>
              <w:spacing w:line="240" w:lineRule="auto"/>
              <w:jc w:val="center"/>
              <w:rPr>
                <w:color w:val="000000"/>
              </w:rPr>
            </w:pPr>
            <w:r w:rsidRPr="00D86156">
              <w:rPr>
                <w:color w:val="000000"/>
              </w:rPr>
              <w:t>20</w:t>
            </w:r>
          </w:p>
        </w:tc>
        <w:tc>
          <w:tcPr>
            <w:tcW w:w="579" w:type="pct"/>
            <w:noWrap/>
            <w:vAlign w:val="bottom"/>
          </w:tcPr>
          <w:p w:rsidR="00DA49AC" w:rsidRPr="00D86156" w:rsidRDefault="00DA49AC" w:rsidP="00CB5582">
            <w:pPr>
              <w:spacing w:line="240" w:lineRule="auto"/>
              <w:jc w:val="center"/>
              <w:rPr>
                <w:color w:val="000000"/>
              </w:rPr>
            </w:pPr>
            <w:r w:rsidRPr="00D86156">
              <w:rPr>
                <w:color w:val="000000"/>
              </w:rPr>
              <w:t>170</w:t>
            </w:r>
          </w:p>
        </w:tc>
        <w:tc>
          <w:tcPr>
            <w:tcW w:w="520" w:type="pct"/>
            <w:noWrap/>
            <w:vAlign w:val="bottom"/>
          </w:tcPr>
          <w:p w:rsidR="00DA49AC" w:rsidRPr="00D86156" w:rsidRDefault="00DA49AC" w:rsidP="00CB5582">
            <w:pPr>
              <w:spacing w:line="240" w:lineRule="auto"/>
              <w:jc w:val="center"/>
              <w:rPr>
                <w:color w:val="000000"/>
              </w:rPr>
            </w:pPr>
            <w:r w:rsidRPr="00D86156">
              <w:rPr>
                <w:color w:val="000000"/>
              </w:rPr>
              <w:t>34</w:t>
            </w:r>
          </w:p>
        </w:tc>
        <w:tc>
          <w:tcPr>
            <w:tcW w:w="519" w:type="pct"/>
            <w:noWrap/>
            <w:vAlign w:val="bottom"/>
          </w:tcPr>
          <w:p w:rsidR="00DA49AC" w:rsidRPr="00D86156" w:rsidRDefault="00DA49AC" w:rsidP="00CB5582">
            <w:pPr>
              <w:spacing w:line="240" w:lineRule="auto"/>
              <w:jc w:val="center"/>
              <w:rPr>
                <w:color w:val="000000"/>
              </w:rPr>
            </w:pPr>
            <w:r w:rsidRPr="00D86156">
              <w:rPr>
                <w:color w:val="000000"/>
              </w:rPr>
              <w:t>21</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sidRPr="00D86156">
              <w:rPr>
                <w:color w:val="000000"/>
              </w:rPr>
              <w:t>198</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sidRPr="00D86156">
              <w:rPr>
                <w:color w:val="000000"/>
              </w:rPr>
              <w:t>125</w:t>
            </w:r>
          </w:p>
        </w:tc>
        <w:tc>
          <w:tcPr>
            <w:tcW w:w="569" w:type="pct"/>
            <w:vAlign w:val="bottom"/>
          </w:tcPr>
          <w:p w:rsidR="00DA49AC" w:rsidRPr="00D86156" w:rsidRDefault="00DA49AC" w:rsidP="00FC3E0E">
            <w:pPr>
              <w:spacing w:line="240" w:lineRule="auto"/>
              <w:jc w:val="center"/>
              <w:rPr>
                <w:color w:val="000000"/>
              </w:rPr>
            </w:pPr>
            <w:r w:rsidRPr="00D86156">
              <w:rPr>
                <w:color w:val="000000"/>
              </w:rPr>
              <w:t>318</w:t>
            </w:r>
          </w:p>
        </w:tc>
      </w:tr>
      <w:tr w:rsidR="00DA49AC" w:rsidRPr="003301F4" w:rsidTr="00961CB4">
        <w:trPr>
          <w:trHeight w:val="301"/>
        </w:trPr>
        <w:tc>
          <w:tcPr>
            <w:tcW w:w="1211" w:type="pct"/>
            <w:noWrap/>
            <w:vAlign w:val="bottom"/>
          </w:tcPr>
          <w:p w:rsidR="00DA49AC" w:rsidRPr="00D86156" w:rsidRDefault="00DA49AC" w:rsidP="0027220E">
            <w:pPr>
              <w:spacing w:line="240" w:lineRule="auto"/>
              <w:rPr>
                <w:color w:val="000000"/>
              </w:rPr>
            </w:pPr>
            <w:r>
              <w:rPr>
                <w:color w:val="000000"/>
              </w:rPr>
              <w:t>No. of equities</w:t>
            </w:r>
          </w:p>
        </w:tc>
        <w:tc>
          <w:tcPr>
            <w:tcW w:w="614" w:type="pct"/>
            <w:noWrap/>
            <w:vAlign w:val="bottom"/>
          </w:tcPr>
          <w:p w:rsidR="00DA49AC" w:rsidRPr="00D86156" w:rsidRDefault="00DA49AC" w:rsidP="00CB5582">
            <w:pPr>
              <w:spacing w:line="240" w:lineRule="auto"/>
              <w:jc w:val="center"/>
              <w:rPr>
                <w:color w:val="000000"/>
              </w:rPr>
            </w:pPr>
            <w:r w:rsidRPr="00D86156">
              <w:rPr>
                <w:color w:val="000000"/>
              </w:rPr>
              <w:t>31</w:t>
            </w:r>
          </w:p>
        </w:tc>
        <w:tc>
          <w:tcPr>
            <w:tcW w:w="579" w:type="pct"/>
            <w:noWrap/>
            <w:vAlign w:val="bottom"/>
          </w:tcPr>
          <w:p w:rsidR="00DA49AC" w:rsidRPr="00D86156" w:rsidRDefault="00DA49AC" w:rsidP="00CB5582">
            <w:pPr>
              <w:spacing w:line="240" w:lineRule="auto"/>
              <w:jc w:val="center"/>
              <w:rPr>
                <w:color w:val="000000"/>
              </w:rPr>
            </w:pPr>
            <w:r w:rsidRPr="00D86156">
              <w:rPr>
                <w:color w:val="000000"/>
              </w:rPr>
              <w:t>177</w:t>
            </w:r>
          </w:p>
        </w:tc>
        <w:tc>
          <w:tcPr>
            <w:tcW w:w="520" w:type="pct"/>
            <w:noWrap/>
            <w:vAlign w:val="bottom"/>
          </w:tcPr>
          <w:p w:rsidR="00DA49AC" w:rsidRPr="00D86156" w:rsidRDefault="00DA49AC" w:rsidP="00CB5582">
            <w:pPr>
              <w:spacing w:line="240" w:lineRule="auto"/>
              <w:jc w:val="center"/>
              <w:rPr>
                <w:color w:val="000000"/>
              </w:rPr>
            </w:pPr>
            <w:r w:rsidRPr="00D86156">
              <w:rPr>
                <w:color w:val="000000"/>
              </w:rPr>
              <w:t>39</w:t>
            </w:r>
          </w:p>
        </w:tc>
        <w:tc>
          <w:tcPr>
            <w:tcW w:w="519" w:type="pct"/>
            <w:noWrap/>
            <w:vAlign w:val="bottom"/>
          </w:tcPr>
          <w:p w:rsidR="00DA49AC" w:rsidRPr="00D86156" w:rsidRDefault="00DA49AC" w:rsidP="00CB5582">
            <w:pPr>
              <w:spacing w:line="240" w:lineRule="auto"/>
              <w:jc w:val="center"/>
              <w:rPr>
                <w:color w:val="000000"/>
              </w:rPr>
            </w:pPr>
            <w:r w:rsidRPr="00D86156">
              <w:rPr>
                <w:color w:val="000000"/>
              </w:rPr>
              <w:t>22</w:t>
            </w:r>
          </w:p>
        </w:tc>
        <w:tc>
          <w:tcPr>
            <w:tcW w:w="452" w:type="pct"/>
            <w:tcBorders>
              <w:right w:val="single" w:sz="4" w:space="0" w:color="auto"/>
            </w:tcBorders>
            <w:noWrap/>
            <w:vAlign w:val="bottom"/>
          </w:tcPr>
          <w:p w:rsidR="00DA49AC" w:rsidRPr="00D86156" w:rsidRDefault="00DA49AC" w:rsidP="00CB5582">
            <w:pPr>
              <w:spacing w:line="240" w:lineRule="auto"/>
              <w:jc w:val="center"/>
              <w:rPr>
                <w:color w:val="000000"/>
              </w:rPr>
            </w:pPr>
            <w:r w:rsidRPr="00D86156">
              <w:rPr>
                <w:color w:val="000000"/>
              </w:rPr>
              <w:t>243</w:t>
            </w:r>
          </w:p>
        </w:tc>
        <w:tc>
          <w:tcPr>
            <w:tcW w:w="536" w:type="pct"/>
            <w:tcBorders>
              <w:left w:val="single" w:sz="4" w:space="0" w:color="auto"/>
            </w:tcBorders>
            <w:vAlign w:val="bottom"/>
          </w:tcPr>
          <w:p w:rsidR="00DA49AC" w:rsidRPr="00D86156" w:rsidRDefault="00DA49AC" w:rsidP="00FC3E0E">
            <w:pPr>
              <w:spacing w:line="240" w:lineRule="auto"/>
              <w:jc w:val="center"/>
              <w:rPr>
                <w:color w:val="000000"/>
              </w:rPr>
            </w:pPr>
            <w:r w:rsidRPr="00D86156">
              <w:rPr>
                <w:color w:val="000000"/>
              </w:rPr>
              <w:t>148</w:t>
            </w:r>
          </w:p>
        </w:tc>
        <w:tc>
          <w:tcPr>
            <w:tcW w:w="569" w:type="pct"/>
            <w:vAlign w:val="bottom"/>
          </w:tcPr>
          <w:p w:rsidR="00DA49AC" w:rsidRPr="00D86156" w:rsidRDefault="00DA49AC" w:rsidP="00FC3E0E">
            <w:pPr>
              <w:spacing w:line="240" w:lineRule="auto"/>
              <w:jc w:val="center"/>
              <w:rPr>
                <w:color w:val="000000"/>
              </w:rPr>
            </w:pPr>
            <w:r w:rsidRPr="00D86156">
              <w:rPr>
                <w:color w:val="000000"/>
              </w:rPr>
              <w:t>364</w:t>
            </w:r>
          </w:p>
        </w:tc>
      </w:tr>
      <w:tr w:rsidR="00DA49AC" w:rsidRPr="003301F4" w:rsidTr="00961CB4">
        <w:trPr>
          <w:trHeight w:val="301"/>
        </w:trPr>
        <w:tc>
          <w:tcPr>
            <w:tcW w:w="1211" w:type="pct"/>
            <w:tcBorders>
              <w:bottom w:val="double" w:sz="4" w:space="0" w:color="auto"/>
            </w:tcBorders>
            <w:noWrap/>
            <w:vAlign w:val="bottom"/>
          </w:tcPr>
          <w:p w:rsidR="00DA49AC" w:rsidRPr="00D86156" w:rsidRDefault="00DA49AC" w:rsidP="0027220E">
            <w:pPr>
              <w:spacing w:line="240" w:lineRule="auto"/>
              <w:rPr>
                <w:color w:val="000000"/>
              </w:rPr>
            </w:pPr>
          </w:p>
        </w:tc>
        <w:tc>
          <w:tcPr>
            <w:tcW w:w="614" w:type="pct"/>
            <w:tcBorders>
              <w:bottom w:val="double" w:sz="4" w:space="0" w:color="auto"/>
            </w:tcBorders>
            <w:noWrap/>
            <w:vAlign w:val="bottom"/>
          </w:tcPr>
          <w:p w:rsidR="00DA49AC" w:rsidRPr="00D86156" w:rsidRDefault="00DA49AC" w:rsidP="0027220E">
            <w:pPr>
              <w:spacing w:line="240" w:lineRule="auto"/>
              <w:jc w:val="right"/>
              <w:rPr>
                <w:color w:val="000000"/>
              </w:rPr>
            </w:pPr>
          </w:p>
        </w:tc>
        <w:tc>
          <w:tcPr>
            <w:tcW w:w="579" w:type="pct"/>
            <w:tcBorders>
              <w:bottom w:val="double" w:sz="4" w:space="0" w:color="auto"/>
            </w:tcBorders>
            <w:noWrap/>
            <w:vAlign w:val="bottom"/>
          </w:tcPr>
          <w:p w:rsidR="00DA49AC" w:rsidRPr="00D86156" w:rsidRDefault="00DA49AC" w:rsidP="0027220E">
            <w:pPr>
              <w:spacing w:line="240" w:lineRule="auto"/>
              <w:jc w:val="right"/>
              <w:rPr>
                <w:color w:val="000000"/>
              </w:rPr>
            </w:pPr>
          </w:p>
        </w:tc>
        <w:tc>
          <w:tcPr>
            <w:tcW w:w="520" w:type="pct"/>
            <w:tcBorders>
              <w:bottom w:val="double" w:sz="4" w:space="0" w:color="auto"/>
            </w:tcBorders>
            <w:noWrap/>
            <w:vAlign w:val="bottom"/>
          </w:tcPr>
          <w:p w:rsidR="00DA49AC" w:rsidRPr="00D86156" w:rsidRDefault="00DA49AC" w:rsidP="0027220E">
            <w:pPr>
              <w:spacing w:line="240" w:lineRule="auto"/>
              <w:jc w:val="right"/>
              <w:rPr>
                <w:color w:val="000000"/>
              </w:rPr>
            </w:pPr>
          </w:p>
        </w:tc>
        <w:tc>
          <w:tcPr>
            <w:tcW w:w="519" w:type="pct"/>
            <w:tcBorders>
              <w:bottom w:val="double" w:sz="4" w:space="0" w:color="auto"/>
            </w:tcBorders>
            <w:noWrap/>
            <w:vAlign w:val="bottom"/>
          </w:tcPr>
          <w:p w:rsidR="00DA49AC" w:rsidRPr="00D86156" w:rsidRDefault="00DA49AC" w:rsidP="0027220E">
            <w:pPr>
              <w:spacing w:line="240" w:lineRule="auto"/>
              <w:jc w:val="right"/>
              <w:rPr>
                <w:color w:val="000000"/>
              </w:rPr>
            </w:pPr>
          </w:p>
        </w:tc>
        <w:tc>
          <w:tcPr>
            <w:tcW w:w="452" w:type="pct"/>
            <w:tcBorders>
              <w:bottom w:val="double" w:sz="4" w:space="0" w:color="auto"/>
              <w:right w:val="single" w:sz="4" w:space="0" w:color="auto"/>
            </w:tcBorders>
            <w:noWrap/>
            <w:vAlign w:val="bottom"/>
          </w:tcPr>
          <w:p w:rsidR="00DA49AC" w:rsidRPr="00D86156" w:rsidRDefault="00DA49AC" w:rsidP="0027220E">
            <w:pPr>
              <w:spacing w:line="240" w:lineRule="auto"/>
              <w:jc w:val="right"/>
              <w:rPr>
                <w:color w:val="000000"/>
              </w:rPr>
            </w:pPr>
          </w:p>
        </w:tc>
        <w:tc>
          <w:tcPr>
            <w:tcW w:w="536" w:type="pct"/>
            <w:tcBorders>
              <w:left w:val="single" w:sz="4" w:space="0" w:color="auto"/>
              <w:bottom w:val="double" w:sz="4" w:space="0" w:color="auto"/>
            </w:tcBorders>
          </w:tcPr>
          <w:p w:rsidR="00DA49AC" w:rsidRPr="00D86156" w:rsidRDefault="00DA49AC" w:rsidP="0027220E">
            <w:pPr>
              <w:spacing w:line="240" w:lineRule="auto"/>
              <w:jc w:val="right"/>
              <w:rPr>
                <w:color w:val="000000"/>
              </w:rPr>
            </w:pPr>
          </w:p>
        </w:tc>
        <w:tc>
          <w:tcPr>
            <w:tcW w:w="569" w:type="pct"/>
            <w:tcBorders>
              <w:bottom w:val="double" w:sz="4" w:space="0" w:color="auto"/>
            </w:tcBorders>
          </w:tcPr>
          <w:p w:rsidR="00DA49AC" w:rsidRPr="00D86156" w:rsidRDefault="00DA49AC" w:rsidP="0027220E">
            <w:pPr>
              <w:spacing w:line="240" w:lineRule="auto"/>
              <w:jc w:val="right"/>
              <w:rPr>
                <w:color w:val="000000"/>
              </w:rPr>
            </w:pPr>
          </w:p>
        </w:tc>
      </w:tr>
    </w:tbl>
    <w:p w:rsidR="00DA49AC" w:rsidRDefault="00DA49AC" w:rsidP="00CB5582">
      <w:pPr>
        <w:spacing w:line="240" w:lineRule="auto"/>
      </w:pPr>
      <w:r w:rsidRPr="006D587B">
        <w:rPr>
          <w:i/>
        </w:rPr>
        <w:t>Sources</w:t>
      </w:r>
      <w:r>
        <w:t>: See text</w:t>
      </w:r>
    </w:p>
    <w:p w:rsidR="00DA49AC" w:rsidRDefault="00DA49AC" w:rsidP="00CB5582">
      <w:pPr>
        <w:spacing w:line="240" w:lineRule="auto"/>
        <w:jc w:val="both"/>
      </w:pPr>
      <w:r w:rsidRPr="006D587B">
        <w:rPr>
          <w:i/>
        </w:rPr>
        <w:t>Notes</w:t>
      </w:r>
      <w:r>
        <w:t xml:space="preserve">: See text for definitions of occupations.  The number of equities differs from the number of company-years because some companies issued both ordinary and preference shares. </w:t>
      </w: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20692F">
      <w:pPr>
        <w:spacing w:line="240" w:lineRule="auto"/>
        <w:jc w:val="both"/>
        <w:rPr>
          <w:sz w:val="24"/>
          <w:szCs w:val="24"/>
        </w:rPr>
      </w:pPr>
      <w:r>
        <w:rPr>
          <w:i/>
          <w:sz w:val="24"/>
          <w:szCs w:val="24"/>
        </w:rPr>
        <w:t>Table 6</w:t>
      </w:r>
      <w:r w:rsidRPr="00775062">
        <w:rPr>
          <w:sz w:val="24"/>
          <w:szCs w:val="24"/>
        </w:rPr>
        <w:t xml:space="preserve">. </w:t>
      </w:r>
      <w:r w:rsidRPr="00775062">
        <w:rPr>
          <w:sz w:val="24"/>
          <w:szCs w:val="24"/>
        </w:rPr>
        <w:tab/>
      </w:r>
      <w:r>
        <w:rPr>
          <w:sz w:val="24"/>
          <w:szCs w:val="24"/>
        </w:rPr>
        <w:t>Proportion of c</w:t>
      </w:r>
      <w:r w:rsidRPr="00775062">
        <w:rPr>
          <w:sz w:val="24"/>
          <w:szCs w:val="24"/>
        </w:rPr>
        <w:t xml:space="preserve">apital </w:t>
      </w:r>
      <w:r>
        <w:rPr>
          <w:sz w:val="24"/>
          <w:szCs w:val="24"/>
        </w:rPr>
        <w:t>invested in ordinary vs preference shares, for those companies which had i</w:t>
      </w:r>
      <w:r w:rsidRPr="00775062">
        <w:rPr>
          <w:sz w:val="24"/>
          <w:szCs w:val="24"/>
        </w:rPr>
        <w:t>ssued</w:t>
      </w:r>
      <w:r>
        <w:rPr>
          <w:sz w:val="24"/>
          <w:szCs w:val="24"/>
        </w:rPr>
        <w:t xml:space="preserve"> both</w:t>
      </w:r>
    </w:p>
    <w:tbl>
      <w:tblPr>
        <w:tblW w:w="9180" w:type="dxa"/>
        <w:tblBorders>
          <w:top w:val="double" w:sz="4" w:space="0" w:color="auto"/>
          <w:bottom w:val="double" w:sz="4" w:space="0" w:color="auto"/>
        </w:tblBorders>
        <w:tblLayout w:type="fixed"/>
        <w:tblLook w:val="00A0"/>
      </w:tblPr>
      <w:tblGrid>
        <w:gridCol w:w="2369"/>
        <w:gridCol w:w="3405"/>
        <w:gridCol w:w="3406"/>
      </w:tblGrid>
      <w:tr w:rsidR="00DA49AC" w:rsidRPr="003301F4" w:rsidTr="001C642D">
        <w:trPr>
          <w:trHeight w:val="750"/>
        </w:trPr>
        <w:tc>
          <w:tcPr>
            <w:tcW w:w="2369" w:type="dxa"/>
            <w:tcBorders>
              <w:top w:val="single" w:sz="4" w:space="0" w:color="auto"/>
            </w:tcBorders>
            <w:noWrap/>
            <w:vAlign w:val="bottom"/>
          </w:tcPr>
          <w:p w:rsidR="00DA49AC" w:rsidRPr="00D86156" w:rsidRDefault="00DA49AC" w:rsidP="00FC3E0E">
            <w:pPr>
              <w:spacing w:line="240" w:lineRule="auto"/>
              <w:rPr>
                <w:color w:val="000000"/>
              </w:rPr>
            </w:pPr>
          </w:p>
        </w:tc>
        <w:tc>
          <w:tcPr>
            <w:tcW w:w="3405" w:type="dxa"/>
            <w:tcBorders>
              <w:top w:val="single" w:sz="4" w:space="0" w:color="auto"/>
              <w:bottom w:val="single" w:sz="4" w:space="0" w:color="auto"/>
            </w:tcBorders>
            <w:noWrap/>
            <w:vAlign w:val="center"/>
          </w:tcPr>
          <w:p w:rsidR="00DA49AC" w:rsidRPr="00775062" w:rsidRDefault="00DA49AC" w:rsidP="00775062">
            <w:pPr>
              <w:spacing w:line="240" w:lineRule="auto"/>
              <w:jc w:val="center"/>
              <w:rPr>
                <w:color w:val="000000"/>
              </w:rPr>
            </w:pPr>
            <w:r w:rsidRPr="00775062">
              <w:rPr>
                <w:color w:val="000000"/>
              </w:rPr>
              <w:t>Ordinary shares</w:t>
            </w:r>
          </w:p>
        </w:tc>
        <w:tc>
          <w:tcPr>
            <w:tcW w:w="3406" w:type="dxa"/>
            <w:tcBorders>
              <w:top w:val="single" w:sz="4" w:space="0" w:color="auto"/>
              <w:bottom w:val="single" w:sz="4" w:space="0" w:color="auto"/>
            </w:tcBorders>
            <w:noWrap/>
            <w:vAlign w:val="center"/>
          </w:tcPr>
          <w:p w:rsidR="00DA49AC" w:rsidRPr="00775062" w:rsidRDefault="00DA49AC" w:rsidP="00775062">
            <w:pPr>
              <w:spacing w:line="240" w:lineRule="auto"/>
              <w:jc w:val="center"/>
              <w:rPr>
                <w:color w:val="000000"/>
              </w:rPr>
            </w:pPr>
            <w:r w:rsidRPr="00775062">
              <w:rPr>
                <w:color w:val="000000"/>
              </w:rPr>
              <w:t>Preference shares</w:t>
            </w:r>
          </w:p>
        </w:tc>
      </w:tr>
      <w:tr w:rsidR="00DA49AC" w:rsidRPr="003301F4" w:rsidTr="00775062">
        <w:trPr>
          <w:trHeight w:val="307"/>
        </w:trPr>
        <w:tc>
          <w:tcPr>
            <w:tcW w:w="2369" w:type="dxa"/>
            <w:noWrap/>
            <w:vAlign w:val="bottom"/>
          </w:tcPr>
          <w:p w:rsidR="00DA49AC" w:rsidRPr="00D86156" w:rsidRDefault="00DA49AC" w:rsidP="00FC3E0E">
            <w:pPr>
              <w:spacing w:line="240" w:lineRule="auto"/>
              <w:rPr>
                <w:color w:val="000000"/>
              </w:rPr>
            </w:pPr>
          </w:p>
        </w:tc>
        <w:tc>
          <w:tcPr>
            <w:tcW w:w="3405" w:type="dxa"/>
            <w:tcBorders>
              <w:top w:val="single" w:sz="4" w:space="0" w:color="auto"/>
            </w:tcBorders>
            <w:noWrap/>
            <w:vAlign w:val="center"/>
          </w:tcPr>
          <w:p w:rsidR="00DA49AC" w:rsidRDefault="00DA49AC" w:rsidP="00FC3E0E">
            <w:pPr>
              <w:spacing w:line="240" w:lineRule="auto"/>
              <w:jc w:val="center"/>
              <w:rPr>
                <w:color w:val="000000"/>
              </w:rPr>
            </w:pPr>
          </w:p>
        </w:tc>
        <w:tc>
          <w:tcPr>
            <w:tcW w:w="3406" w:type="dxa"/>
            <w:tcBorders>
              <w:top w:val="single" w:sz="4" w:space="0" w:color="auto"/>
            </w:tcBorders>
            <w:noWrap/>
            <w:vAlign w:val="center"/>
          </w:tcPr>
          <w:p w:rsidR="00DA49AC" w:rsidRDefault="00DA49AC" w:rsidP="00FC3E0E">
            <w:pPr>
              <w:spacing w:line="240" w:lineRule="auto"/>
              <w:jc w:val="center"/>
              <w:rPr>
                <w:color w:val="000000"/>
              </w:rPr>
            </w:pPr>
          </w:p>
        </w:tc>
      </w:tr>
      <w:tr w:rsidR="00DA49AC" w:rsidRPr="003301F4" w:rsidTr="00FC3E0E">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Agriculture</w:t>
            </w:r>
          </w:p>
        </w:tc>
        <w:tc>
          <w:tcPr>
            <w:tcW w:w="3405" w:type="dxa"/>
            <w:noWrap/>
            <w:vAlign w:val="bottom"/>
          </w:tcPr>
          <w:p w:rsidR="00DA49AC" w:rsidRPr="00D86156" w:rsidRDefault="00DA49AC" w:rsidP="00FC3E0E">
            <w:pPr>
              <w:spacing w:line="240" w:lineRule="auto"/>
              <w:jc w:val="center"/>
              <w:rPr>
                <w:color w:val="000000"/>
              </w:rPr>
            </w:pPr>
            <w:r>
              <w:rPr>
                <w:color w:val="000000"/>
              </w:rPr>
              <w:t>0.2</w:t>
            </w:r>
          </w:p>
        </w:tc>
        <w:tc>
          <w:tcPr>
            <w:tcW w:w="3406" w:type="dxa"/>
            <w:noWrap/>
            <w:vAlign w:val="bottom"/>
          </w:tcPr>
          <w:p w:rsidR="00DA49AC" w:rsidRPr="00D86156" w:rsidRDefault="00DA49AC" w:rsidP="00FC3E0E">
            <w:pPr>
              <w:spacing w:line="240" w:lineRule="auto"/>
              <w:jc w:val="center"/>
              <w:rPr>
                <w:color w:val="000000"/>
              </w:rPr>
            </w:pPr>
            <w:r>
              <w:rPr>
                <w:color w:val="000000"/>
              </w:rPr>
              <w:t>0.4</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Business-Manufacturing</w:t>
            </w:r>
          </w:p>
        </w:tc>
        <w:tc>
          <w:tcPr>
            <w:tcW w:w="3405" w:type="dxa"/>
            <w:noWrap/>
            <w:vAlign w:val="bottom"/>
          </w:tcPr>
          <w:p w:rsidR="00DA49AC" w:rsidRPr="00D86156" w:rsidRDefault="00DA49AC" w:rsidP="00EB2178">
            <w:pPr>
              <w:spacing w:line="240" w:lineRule="auto"/>
              <w:jc w:val="center"/>
              <w:rPr>
                <w:color w:val="000000"/>
              </w:rPr>
            </w:pPr>
            <w:r>
              <w:rPr>
                <w:color w:val="000000"/>
              </w:rPr>
              <w:t>10.0</w:t>
            </w:r>
          </w:p>
        </w:tc>
        <w:tc>
          <w:tcPr>
            <w:tcW w:w="3406" w:type="dxa"/>
            <w:noWrap/>
            <w:vAlign w:val="bottom"/>
          </w:tcPr>
          <w:p w:rsidR="00DA49AC" w:rsidRPr="00D86156" w:rsidRDefault="00DA49AC" w:rsidP="00EB2178">
            <w:pPr>
              <w:spacing w:line="240" w:lineRule="auto"/>
              <w:jc w:val="center"/>
              <w:rPr>
                <w:color w:val="000000"/>
              </w:rPr>
            </w:pPr>
            <w:r>
              <w:rPr>
                <w:color w:val="000000"/>
              </w:rPr>
              <w:t>7.9</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Business-Merchant</w:t>
            </w:r>
          </w:p>
        </w:tc>
        <w:tc>
          <w:tcPr>
            <w:tcW w:w="3405" w:type="dxa"/>
            <w:noWrap/>
            <w:vAlign w:val="bottom"/>
          </w:tcPr>
          <w:p w:rsidR="00DA49AC" w:rsidRPr="00D86156" w:rsidRDefault="00DA49AC" w:rsidP="00EB2178">
            <w:pPr>
              <w:spacing w:line="240" w:lineRule="auto"/>
              <w:jc w:val="center"/>
              <w:rPr>
                <w:color w:val="000000"/>
              </w:rPr>
            </w:pPr>
            <w:r>
              <w:rPr>
                <w:color w:val="000000"/>
              </w:rPr>
              <w:t>9.1</w:t>
            </w:r>
          </w:p>
        </w:tc>
        <w:tc>
          <w:tcPr>
            <w:tcW w:w="3406" w:type="dxa"/>
            <w:noWrap/>
            <w:vAlign w:val="bottom"/>
          </w:tcPr>
          <w:p w:rsidR="00DA49AC" w:rsidRPr="00D86156" w:rsidRDefault="00DA49AC" w:rsidP="00EB2178">
            <w:pPr>
              <w:spacing w:line="240" w:lineRule="auto"/>
              <w:jc w:val="center"/>
              <w:rPr>
                <w:color w:val="000000"/>
              </w:rPr>
            </w:pPr>
            <w:r>
              <w:rPr>
                <w:color w:val="000000"/>
              </w:rPr>
              <w:t>5.8</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Business-Retail</w:t>
            </w:r>
          </w:p>
        </w:tc>
        <w:tc>
          <w:tcPr>
            <w:tcW w:w="3405" w:type="dxa"/>
            <w:noWrap/>
            <w:vAlign w:val="bottom"/>
          </w:tcPr>
          <w:p w:rsidR="00DA49AC" w:rsidRPr="00D86156" w:rsidRDefault="00DA49AC" w:rsidP="00EB2178">
            <w:pPr>
              <w:spacing w:line="240" w:lineRule="auto"/>
              <w:jc w:val="center"/>
              <w:rPr>
                <w:color w:val="000000"/>
              </w:rPr>
            </w:pPr>
            <w:r>
              <w:rPr>
                <w:color w:val="000000"/>
              </w:rPr>
              <w:t>1.7</w:t>
            </w:r>
          </w:p>
        </w:tc>
        <w:tc>
          <w:tcPr>
            <w:tcW w:w="3406" w:type="dxa"/>
            <w:noWrap/>
            <w:vAlign w:val="bottom"/>
          </w:tcPr>
          <w:p w:rsidR="00DA49AC" w:rsidRPr="00D86156" w:rsidRDefault="00DA49AC" w:rsidP="00EB2178">
            <w:pPr>
              <w:spacing w:line="240" w:lineRule="auto"/>
              <w:jc w:val="center"/>
              <w:rPr>
                <w:color w:val="000000"/>
              </w:rPr>
            </w:pPr>
            <w:r>
              <w:rPr>
                <w:color w:val="000000"/>
              </w:rPr>
              <w:t>1.6</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Company</w:t>
            </w:r>
          </w:p>
        </w:tc>
        <w:tc>
          <w:tcPr>
            <w:tcW w:w="3405" w:type="dxa"/>
            <w:noWrap/>
            <w:vAlign w:val="bottom"/>
          </w:tcPr>
          <w:p w:rsidR="00DA49AC" w:rsidRPr="00D86156" w:rsidRDefault="00DA49AC" w:rsidP="00EB2178">
            <w:pPr>
              <w:spacing w:line="240" w:lineRule="auto"/>
              <w:jc w:val="center"/>
              <w:rPr>
                <w:color w:val="000000"/>
              </w:rPr>
            </w:pPr>
            <w:r>
              <w:rPr>
                <w:color w:val="000000"/>
              </w:rPr>
              <w:t>0.3</w:t>
            </w:r>
          </w:p>
        </w:tc>
        <w:tc>
          <w:tcPr>
            <w:tcW w:w="3406" w:type="dxa"/>
            <w:noWrap/>
            <w:vAlign w:val="bottom"/>
          </w:tcPr>
          <w:p w:rsidR="00DA49AC" w:rsidRPr="00D86156" w:rsidRDefault="00DA49AC" w:rsidP="00EB2178">
            <w:pPr>
              <w:spacing w:line="240" w:lineRule="auto"/>
              <w:jc w:val="center"/>
              <w:rPr>
                <w:color w:val="000000"/>
              </w:rPr>
            </w:pPr>
            <w:r>
              <w:rPr>
                <w:color w:val="000000"/>
              </w:rPr>
              <w:t>0.5</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Pr>
                <w:color w:val="000000"/>
              </w:rPr>
              <w:t>Investment trust</w:t>
            </w:r>
          </w:p>
        </w:tc>
        <w:tc>
          <w:tcPr>
            <w:tcW w:w="3405" w:type="dxa"/>
            <w:noWrap/>
            <w:vAlign w:val="bottom"/>
          </w:tcPr>
          <w:p w:rsidR="00DA49AC" w:rsidRPr="00D86156" w:rsidRDefault="00DA49AC" w:rsidP="00EB2178">
            <w:pPr>
              <w:spacing w:line="240" w:lineRule="auto"/>
              <w:jc w:val="center"/>
              <w:rPr>
                <w:color w:val="000000"/>
              </w:rPr>
            </w:pPr>
            <w:r>
              <w:rPr>
                <w:color w:val="000000"/>
              </w:rPr>
              <w:t>1.5</w:t>
            </w:r>
          </w:p>
        </w:tc>
        <w:tc>
          <w:tcPr>
            <w:tcW w:w="3406" w:type="dxa"/>
            <w:noWrap/>
            <w:vAlign w:val="bottom"/>
          </w:tcPr>
          <w:p w:rsidR="00DA49AC" w:rsidRPr="00D86156" w:rsidRDefault="00DA49AC" w:rsidP="00EB2178">
            <w:pPr>
              <w:spacing w:line="240" w:lineRule="auto"/>
              <w:jc w:val="center"/>
              <w:rPr>
                <w:color w:val="000000"/>
              </w:rPr>
            </w:pPr>
            <w:r>
              <w:rPr>
                <w:color w:val="000000"/>
              </w:rPr>
              <w:t>2.3</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Finance-Banker</w:t>
            </w:r>
          </w:p>
        </w:tc>
        <w:tc>
          <w:tcPr>
            <w:tcW w:w="3405" w:type="dxa"/>
            <w:noWrap/>
            <w:vAlign w:val="bottom"/>
          </w:tcPr>
          <w:p w:rsidR="00DA49AC" w:rsidRPr="00D86156" w:rsidRDefault="00DA49AC" w:rsidP="00EB2178">
            <w:pPr>
              <w:spacing w:line="240" w:lineRule="auto"/>
              <w:jc w:val="center"/>
              <w:rPr>
                <w:color w:val="000000"/>
              </w:rPr>
            </w:pPr>
            <w:r>
              <w:rPr>
                <w:color w:val="000000"/>
              </w:rPr>
              <w:t>2.1</w:t>
            </w:r>
          </w:p>
        </w:tc>
        <w:tc>
          <w:tcPr>
            <w:tcW w:w="3406" w:type="dxa"/>
            <w:noWrap/>
            <w:vAlign w:val="bottom"/>
          </w:tcPr>
          <w:p w:rsidR="00DA49AC" w:rsidRPr="00D86156" w:rsidRDefault="00DA49AC" w:rsidP="00EB2178">
            <w:pPr>
              <w:spacing w:line="240" w:lineRule="auto"/>
              <w:jc w:val="center"/>
              <w:rPr>
                <w:color w:val="000000"/>
              </w:rPr>
            </w:pPr>
            <w:r>
              <w:rPr>
                <w:color w:val="000000"/>
              </w:rPr>
              <w:t>1.5</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Finance-Other Finance</w:t>
            </w:r>
          </w:p>
        </w:tc>
        <w:tc>
          <w:tcPr>
            <w:tcW w:w="3405" w:type="dxa"/>
            <w:noWrap/>
            <w:vAlign w:val="bottom"/>
          </w:tcPr>
          <w:p w:rsidR="00DA49AC" w:rsidRPr="00D86156" w:rsidRDefault="00DA49AC" w:rsidP="00EB2178">
            <w:pPr>
              <w:spacing w:line="240" w:lineRule="auto"/>
              <w:jc w:val="center"/>
              <w:rPr>
                <w:color w:val="000000"/>
              </w:rPr>
            </w:pPr>
            <w:r>
              <w:rPr>
                <w:color w:val="000000"/>
              </w:rPr>
              <w:t>0.8</w:t>
            </w:r>
          </w:p>
        </w:tc>
        <w:tc>
          <w:tcPr>
            <w:tcW w:w="3406" w:type="dxa"/>
            <w:noWrap/>
            <w:vAlign w:val="bottom"/>
          </w:tcPr>
          <w:p w:rsidR="00DA49AC" w:rsidRPr="00D86156" w:rsidRDefault="00DA49AC" w:rsidP="00EB2178">
            <w:pPr>
              <w:spacing w:line="240" w:lineRule="auto"/>
              <w:jc w:val="center"/>
              <w:rPr>
                <w:color w:val="000000"/>
              </w:rPr>
            </w:pPr>
            <w:r>
              <w:rPr>
                <w:color w:val="000000"/>
              </w:rPr>
              <w:t>0.4</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Finance-Stockbroker</w:t>
            </w:r>
          </w:p>
        </w:tc>
        <w:tc>
          <w:tcPr>
            <w:tcW w:w="3405" w:type="dxa"/>
            <w:noWrap/>
            <w:vAlign w:val="bottom"/>
          </w:tcPr>
          <w:p w:rsidR="00DA49AC" w:rsidRPr="00D86156" w:rsidRDefault="00DA49AC" w:rsidP="00EB2178">
            <w:pPr>
              <w:spacing w:line="240" w:lineRule="auto"/>
              <w:jc w:val="center"/>
              <w:rPr>
                <w:color w:val="000000"/>
              </w:rPr>
            </w:pPr>
            <w:r>
              <w:rPr>
                <w:color w:val="000000"/>
              </w:rPr>
              <w:t>1.9</w:t>
            </w:r>
          </w:p>
        </w:tc>
        <w:tc>
          <w:tcPr>
            <w:tcW w:w="3406" w:type="dxa"/>
            <w:noWrap/>
            <w:vAlign w:val="bottom"/>
          </w:tcPr>
          <w:p w:rsidR="00DA49AC" w:rsidRPr="00D86156" w:rsidRDefault="00DA49AC" w:rsidP="00EB2178">
            <w:pPr>
              <w:spacing w:line="240" w:lineRule="auto"/>
              <w:jc w:val="center"/>
              <w:rPr>
                <w:color w:val="000000"/>
              </w:rPr>
            </w:pPr>
            <w:r>
              <w:rPr>
                <w:color w:val="000000"/>
              </w:rPr>
              <w:t>0.5</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Pr>
                <w:color w:val="000000"/>
              </w:rPr>
              <w:t>Middle-</w:t>
            </w:r>
            <w:r w:rsidRPr="00D86156">
              <w:rPr>
                <w:color w:val="000000"/>
              </w:rPr>
              <w:t>Legal Profession</w:t>
            </w:r>
          </w:p>
        </w:tc>
        <w:tc>
          <w:tcPr>
            <w:tcW w:w="3405" w:type="dxa"/>
            <w:noWrap/>
            <w:vAlign w:val="bottom"/>
          </w:tcPr>
          <w:p w:rsidR="00DA49AC" w:rsidRPr="00D86156" w:rsidRDefault="00DA49AC" w:rsidP="00EB2178">
            <w:pPr>
              <w:spacing w:line="240" w:lineRule="auto"/>
              <w:jc w:val="center"/>
              <w:rPr>
                <w:color w:val="000000"/>
              </w:rPr>
            </w:pPr>
            <w:r>
              <w:rPr>
                <w:color w:val="000000"/>
              </w:rPr>
              <w:t>3.2</w:t>
            </w:r>
          </w:p>
        </w:tc>
        <w:tc>
          <w:tcPr>
            <w:tcW w:w="3406" w:type="dxa"/>
            <w:noWrap/>
            <w:vAlign w:val="bottom"/>
          </w:tcPr>
          <w:p w:rsidR="00DA49AC" w:rsidRPr="00D86156" w:rsidRDefault="00DA49AC" w:rsidP="00EB2178">
            <w:pPr>
              <w:spacing w:line="240" w:lineRule="auto"/>
              <w:jc w:val="center"/>
              <w:rPr>
                <w:color w:val="000000"/>
              </w:rPr>
            </w:pPr>
            <w:r>
              <w:rPr>
                <w:color w:val="000000"/>
              </w:rPr>
              <w:t>3.1</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Middle-Clergy</w:t>
            </w:r>
          </w:p>
        </w:tc>
        <w:tc>
          <w:tcPr>
            <w:tcW w:w="3405" w:type="dxa"/>
            <w:noWrap/>
            <w:vAlign w:val="bottom"/>
          </w:tcPr>
          <w:p w:rsidR="00DA49AC" w:rsidRPr="00D86156" w:rsidRDefault="00DA49AC" w:rsidP="00EB2178">
            <w:pPr>
              <w:spacing w:line="240" w:lineRule="auto"/>
              <w:jc w:val="center"/>
              <w:rPr>
                <w:color w:val="000000"/>
              </w:rPr>
            </w:pPr>
            <w:r>
              <w:rPr>
                <w:color w:val="000000"/>
              </w:rPr>
              <w:t>1.2</w:t>
            </w:r>
          </w:p>
        </w:tc>
        <w:tc>
          <w:tcPr>
            <w:tcW w:w="3406" w:type="dxa"/>
            <w:noWrap/>
            <w:vAlign w:val="bottom"/>
          </w:tcPr>
          <w:p w:rsidR="00DA49AC" w:rsidRPr="00D86156" w:rsidRDefault="00DA49AC" w:rsidP="00EB2178">
            <w:pPr>
              <w:spacing w:line="240" w:lineRule="auto"/>
              <w:jc w:val="center"/>
              <w:rPr>
                <w:color w:val="000000"/>
              </w:rPr>
            </w:pPr>
            <w:r>
              <w:rPr>
                <w:color w:val="000000"/>
              </w:rPr>
              <w:t>1.6</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Middle-Professional</w:t>
            </w:r>
          </w:p>
        </w:tc>
        <w:tc>
          <w:tcPr>
            <w:tcW w:w="3405" w:type="dxa"/>
            <w:noWrap/>
            <w:vAlign w:val="bottom"/>
          </w:tcPr>
          <w:p w:rsidR="00DA49AC" w:rsidRPr="00D86156" w:rsidRDefault="00DA49AC" w:rsidP="00EB2178">
            <w:pPr>
              <w:spacing w:line="240" w:lineRule="auto"/>
              <w:jc w:val="center"/>
              <w:rPr>
                <w:color w:val="000000"/>
              </w:rPr>
            </w:pPr>
            <w:r>
              <w:rPr>
                <w:color w:val="000000"/>
              </w:rPr>
              <w:t>4.8</w:t>
            </w:r>
          </w:p>
        </w:tc>
        <w:tc>
          <w:tcPr>
            <w:tcW w:w="3406" w:type="dxa"/>
            <w:noWrap/>
            <w:vAlign w:val="bottom"/>
          </w:tcPr>
          <w:p w:rsidR="00DA49AC" w:rsidRPr="00D86156" w:rsidRDefault="00DA49AC" w:rsidP="00EB2178">
            <w:pPr>
              <w:spacing w:line="240" w:lineRule="auto"/>
              <w:jc w:val="center"/>
              <w:rPr>
                <w:color w:val="000000"/>
              </w:rPr>
            </w:pPr>
            <w:r>
              <w:rPr>
                <w:color w:val="000000"/>
              </w:rPr>
              <w:t>5.4</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Middle-White Collar</w:t>
            </w:r>
          </w:p>
        </w:tc>
        <w:tc>
          <w:tcPr>
            <w:tcW w:w="3405" w:type="dxa"/>
            <w:noWrap/>
            <w:vAlign w:val="bottom"/>
          </w:tcPr>
          <w:p w:rsidR="00DA49AC" w:rsidRPr="00D86156" w:rsidRDefault="00DA49AC" w:rsidP="00EB2178">
            <w:pPr>
              <w:spacing w:line="240" w:lineRule="auto"/>
              <w:jc w:val="center"/>
              <w:rPr>
                <w:color w:val="000000"/>
              </w:rPr>
            </w:pPr>
            <w:r>
              <w:rPr>
                <w:color w:val="000000"/>
              </w:rPr>
              <w:t>1.6</w:t>
            </w:r>
          </w:p>
        </w:tc>
        <w:tc>
          <w:tcPr>
            <w:tcW w:w="3406" w:type="dxa"/>
            <w:noWrap/>
            <w:vAlign w:val="bottom"/>
          </w:tcPr>
          <w:p w:rsidR="00DA49AC" w:rsidRPr="00D86156" w:rsidRDefault="00DA49AC" w:rsidP="00EB2178">
            <w:pPr>
              <w:spacing w:line="240" w:lineRule="auto"/>
              <w:jc w:val="center"/>
              <w:rPr>
                <w:color w:val="000000"/>
              </w:rPr>
            </w:pPr>
            <w:r>
              <w:rPr>
                <w:color w:val="000000"/>
              </w:rPr>
              <w:t>2.9</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Upper-ArmyNavy</w:t>
            </w:r>
          </w:p>
        </w:tc>
        <w:tc>
          <w:tcPr>
            <w:tcW w:w="3405" w:type="dxa"/>
            <w:noWrap/>
            <w:vAlign w:val="bottom"/>
          </w:tcPr>
          <w:p w:rsidR="00DA49AC" w:rsidRPr="00D86156" w:rsidRDefault="00DA49AC" w:rsidP="00EB2178">
            <w:pPr>
              <w:spacing w:line="240" w:lineRule="auto"/>
              <w:jc w:val="center"/>
              <w:rPr>
                <w:color w:val="000000"/>
              </w:rPr>
            </w:pPr>
            <w:r>
              <w:rPr>
                <w:color w:val="000000"/>
              </w:rPr>
              <w:t>2.6</w:t>
            </w:r>
          </w:p>
        </w:tc>
        <w:tc>
          <w:tcPr>
            <w:tcW w:w="3406" w:type="dxa"/>
            <w:noWrap/>
            <w:vAlign w:val="bottom"/>
          </w:tcPr>
          <w:p w:rsidR="00DA49AC" w:rsidRPr="00D86156" w:rsidRDefault="00DA49AC" w:rsidP="00EB2178">
            <w:pPr>
              <w:spacing w:line="240" w:lineRule="auto"/>
              <w:jc w:val="center"/>
              <w:rPr>
                <w:color w:val="000000"/>
              </w:rPr>
            </w:pPr>
            <w:r>
              <w:rPr>
                <w:color w:val="000000"/>
              </w:rPr>
              <w:t>4.1</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Upper-Esquire</w:t>
            </w:r>
          </w:p>
        </w:tc>
        <w:tc>
          <w:tcPr>
            <w:tcW w:w="3405" w:type="dxa"/>
            <w:noWrap/>
            <w:vAlign w:val="bottom"/>
          </w:tcPr>
          <w:p w:rsidR="00DA49AC" w:rsidRPr="00D86156" w:rsidRDefault="00DA49AC" w:rsidP="00EB2178">
            <w:pPr>
              <w:spacing w:line="240" w:lineRule="auto"/>
              <w:jc w:val="center"/>
              <w:rPr>
                <w:color w:val="000000"/>
              </w:rPr>
            </w:pPr>
            <w:r>
              <w:rPr>
                <w:color w:val="000000"/>
              </w:rPr>
              <w:t>8.2</w:t>
            </w:r>
          </w:p>
        </w:tc>
        <w:tc>
          <w:tcPr>
            <w:tcW w:w="3406" w:type="dxa"/>
            <w:noWrap/>
            <w:vAlign w:val="bottom"/>
          </w:tcPr>
          <w:p w:rsidR="00DA49AC" w:rsidRPr="00D86156" w:rsidRDefault="00DA49AC" w:rsidP="00EB2178">
            <w:pPr>
              <w:spacing w:line="240" w:lineRule="auto"/>
              <w:jc w:val="center"/>
              <w:rPr>
                <w:color w:val="000000"/>
              </w:rPr>
            </w:pPr>
            <w:r>
              <w:rPr>
                <w:color w:val="000000"/>
              </w:rPr>
              <w:t>11.1</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Upper-Gentleman</w:t>
            </w:r>
          </w:p>
        </w:tc>
        <w:tc>
          <w:tcPr>
            <w:tcW w:w="3405" w:type="dxa"/>
            <w:noWrap/>
            <w:vAlign w:val="bottom"/>
          </w:tcPr>
          <w:p w:rsidR="00DA49AC" w:rsidRPr="00D86156" w:rsidRDefault="00DA49AC" w:rsidP="00EB2178">
            <w:pPr>
              <w:spacing w:line="240" w:lineRule="auto"/>
              <w:jc w:val="center"/>
              <w:rPr>
                <w:color w:val="000000"/>
              </w:rPr>
            </w:pPr>
            <w:r w:rsidRPr="00D86156">
              <w:rPr>
                <w:color w:val="000000"/>
              </w:rPr>
              <w:t>35.3</w:t>
            </w:r>
          </w:p>
        </w:tc>
        <w:tc>
          <w:tcPr>
            <w:tcW w:w="3406" w:type="dxa"/>
            <w:noWrap/>
            <w:vAlign w:val="bottom"/>
          </w:tcPr>
          <w:p w:rsidR="00DA49AC" w:rsidRPr="00D86156" w:rsidRDefault="00DA49AC" w:rsidP="00EB2178">
            <w:pPr>
              <w:spacing w:line="240" w:lineRule="auto"/>
              <w:jc w:val="center"/>
              <w:rPr>
                <w:color w:val="000000"/>
              </w:rPr>
            </w:pPr>
            <w:r>
              <w:rPr>
                <w:color w:val="000000"/>
              </w:rPr>
              <w:t>33.2</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Upper-Nobility</w:t>
            </w:r>
          </w:p>
        </w:tc>
        <w:tc>
          <w:tcPr>
            <w:tcW w:w="3405" w:type="dxa"/>
            <w:noWrap/>
            <w:vAlign w:val="bottom"/>
          </w:tcPr>
          <w:p w:rsidR="00DA49AC" w:rsidRPr="00D86156" w:rsidRDefault="00DA49AC" w:rsidP="00EB2178">
            <w:pPr>
              <w:spacing w:line="240" w:lineRule="auto"/>
              <w:jc w:val="center"/>
              <w:rPr>
                <w:color w:val="000000"/>
              </w:rPr>
            </w:pPr>
            <w:r>
              <w:rPr>
                <w:color w:val="000000"/>
              </w:rPr>
              <w:t>1.5</w:t>
            </w:r>
          </w:p>
        </w:tc>
        <w:tc>
          <w:tcPr>
            <w:tcW w:w="3406" w:type="dxa"/>
            <w:noWrap/>
            <w:vAlign w:val="bottom"/>
          </w:tcPr>
          <w:p w:rsidR="00DA49AC" w:rsidRPr="00D86156" w:rsidRDefault="00DA49AC" w:rsidP="00EB2178">
            <w:pPr>
              <w:spacing w:line="240" w:lineRule="auto"/>
              <w:jc w:val="center"/>
              <w:rPr>
                <w:color w:val="000000"/>
              </w:rPr>
            </w:pPr>
            <w:r>
              <w:rPr>
                <w:color w:val="000000"/>
              </w:rPr>
              <w:t>1.0</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Women-Married</w:t>
            </w:r>
          </w:p>
        </w:tc>
        <w:tc>
          <w:tcPr>
            <w:tcW w:w="3405" w:type="dxa"/>
            <w:noWrap/>
            <w:vAlign w:val="bottom"/>
          </w:tcPr>
          <w:p w:rsidR="00DA49AC" w:rsidRPr="00D86156" w:rsidRDefault="00DA49AC" w:rsidP="00EB2178">
            <w:pPr>
              <w:spacing w:line="240" w:lineRule="auto"/>
              <w:jc w:val="center"/>
              <w:rPr>
                <w:color w:val="000000"/>
              </w:rPr>
            </w:pPr>
            <w:r>
              <w:rPr>
                <w:color w:val="000000"/>
              </w:rPr>
              <w:t>2.7</w:t>
            </w:r>
          </w:p>
        </w:tc>
        <w:tc>
          <w:tcPr>
            <w:tcW w:w="3406" w:type="dxa"/>
            <w:noWrap/>
            <w:vAlign w:val="bottom"/>
          </w:tcPr>
          <w:p w:rsidR="00DA49AC" w:rsidRPr="00D86156" w:rsidRDefault="00DA49AC" w:rsidP="00EB2178">
            <w:pPr>
              <w:spacing w:line="240" w:lineRule="auto"/>
              <w:jc w:val="center"/>
              <w:rPr>
                <w:color w:val="000000"/>
              </w:rPr>
            </w:pPr>
            <w:r>
              <w:rPr>
                <w:color w:val="000000"/>
              </w:rPr>
              <w:t>3.0</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Women-Spinster</w:t>
            </w:r>
          </w:p>
        </w:tc>
        <w:tc>
          <w:tcPr>
            <w:tcW w:w="3405" w:type="dxa"/>
            <w:noWrap/>
            <w:vAlign w:val="bottom"/>
          </w:tcPr>
          <w:p w:rsidR="00DA49AC" w:rsidRPr="00D86156" w:rsidRDefault="00DA49AC" w:rsidP="00EB2178">
            <w:pPr>
              <w:spacing w:line="240" w:lineRule="auto"/>
              <w:jc w:val="center"/>
              <w:rPr>
                <w:color w:val="000000"/>
              </w:rPr>
            </w:pPr>
            <w:r>
              <w:rPr>
                <w:color w:val="000000"/>
              </w:rPr>
              <w:t>3.3</w:t>
            </w:r>
          </w:p>
        </w:tc>
        <w:tc>
          <w:tcPr>
            <w:tcW w:w="3406" w:type="dxa"/>
            <w:noWrap/>
            <w:vAlign w:val="bottom"/>
          </w:tcPr>
          <w:p w:rsidR="00DA49AC" w:rsidRPr="00D86156" w:rsidRDefault="00DA49AC" w:rsidP="00EB2178">
            <w:pPr>
              <w:spacing w:line="240" w:lineRule="auto"/>
              <w:jc w:val="center"/>
              <w:rPr>
                <w:color w:val="000000"/>
              </w:rPr>
            </w:pPr>
            <w:r>
              <w:rPr>
                <w:color w:val="000000"/>
              </w:rPr>
              <w:t>4.7</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Women-Widow</w:t>
            </w:r>
          </w:p>
        </w:tc>
        <w:tc>
          <w:tcPr>
            <w:tcW w:w="3405" w:type="dxa"/>
            <w:noWrap/>
            <w:vAlign w:val="bottom"/>
          </w:tcPr>
          <w:p w:rsidR="00DA49AC" w:rsidRPr="00D86156" w:rsidRDefault="00DA49AC" w:rsidP="00EB2178">
            <w:pPr>
              <w:spacing w:line="240" w:lineRule="auto"/>
              <w:jc w:val="center"/>
              <w:rPr>
                <w:color w:val="000000"/>
              </w:rPr>
            </w:pPr>
            <w:r>
              <w:rPr>
                <w:color w:val="000000"/>
              </w:rPr>
              <w:t>3.5</w:t>
            </w:r>
          </w:p>
        </w:tc>
        <w:tc>
          <w:tcPr>
            <w:tcW w:w="3406" w:type="dxa"/>
            <w:noWrap/>
            <w:vAlign w:val="bottom"/>
          </w:tcPr>
          <w:p w:rsidR="00DA49AC" w:rsidRPr="00D86156" w:rsidRDefault="00DA49AC" w:rsidP="00EB2178">
            <w:pPr>
              <w:spacing w:line="240" w:lineRule="auto"/>
              <w:jc w:val="center"/>
              <w:rPr>
                <w:color w:val="000000"/>
              </w:rPr>
            </w:pPr>
            <w:r>
              <w:rPr>
                <w:color w:val="000000"/>
              </w:rPr>
              <w:t>5.3</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Working-Skilled</w:t>
            </w:r>
          </w:p>
        </w:tc>
        <w:tc>
          <w:tcPr>
            <w:tcW w:w="3405" w:type="dxa"/>
            <w:noWrap/>
            <w:vAlign w:val="bottom"/>
          </w:tcPr>
          <w:p w:rsidR="00DA49AC" w:rsidRPr="00D86156" w:rsidRDefault="00DA49AC" w:rsidP="00EB2178">
            <w:pPr>
              <w:spacing w:line="240" w:lineRule="auto"/>
              <w:jc w:val="center"/>
              <w:rPr>
                <w:color w:val="000000"/>
              </w:rPr>
            </w:pPr>
            <w:r>
              <w:rPr>
                <w:color w:val="000000"/>
              </w:rPr>
              <w:t>0.2</w:t>
            </w:r>
          </w:p>
        </w:tc>
        <w:tc>
          <w:tcPr>
            <w:tcW w:w="3406" w:type="dxa"/>
            <w:noWrap/>
            <w:vAlign w:val="bottom"/>
          </w:tcPr>
          <w:p w:rsidR="00DA49AC" w:rsidRPr="00D86156" w:rsidRDefault="00DA49AC" w:rsidP="00EB2178">
            <w:pPr>
              <w:spacing w:line="240" w:lineRule="auto"/>
              <w:jc w:val="center"/>
              <w:rPr>
                <w:color w:val="000000"/>
              </w:rPr>
            </w:pPr>
            <w:r>
              <w:rPr>
                <w:color w:val="000000"/>
              </w:rPr>
              <w:t>0.3</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Working-Unskilled</w:t>
            </w:r>
          </w:p>
        </w:tc>
        <w:tc>
          <w:tcPr>
            <w:tcW w:w="3405" w:type="dxa"/>
            <w:noWrap/>
            <w:vAlign w:val="bottom"/>
          </w:tcPr>
          <w:p w:rsidR="00DA49AC" w:rsidRPr="00D86156" w:rsidRDefault="00DA49AC" w:rsidP="00EB2178">
            <w:pPr>
              <w:spacing w:line="240" w:lineRule="auto"/>
              <w:jc w:val="center"/>
              <w:rPr>
                <w:color w:val="000000"/>
              </w:rPr>
            </w:pPr>
            <w:r>
              <w:rPr>
                <w:color w:val="000000"/>
              </w:rPr>
              <w:t>0.0</w:t>
            </w:r>
          </w:p>
        </w:tc>
        <w:tc>
          <w:tcPr>
            <w:tcW w:w="3406" w:type="dxa"/>
            <w:noWrap/>
            <w:vAlign w:val="bottom"/>
          </w:tcPr>
          <w:p w:rsidR="00DA49AC" w:rsidRPr="00D86156" w:rsidRDefault="00DA49AC" w:rsidP="00EB2178">
            <w:pPr>
              <w:spacing w:line="240" w:lineRule="auto"/>
              <w:jc w:val="center"/>
              <w:rPr>
                <w:color w:val="000000"/>
              </w:rPr>
            </w:pPr>
            <w:r>
              <w:rPr>
                <w:color w:val="000000"/>
              </w:rPr>
              <w:t>0.0</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Politician</w:t>
            </w:r>
          </w:p>
        </w:tc>
        <w:tc>
          <w:tcPr>
            <w:tcW w:w="3405" w:type="dxa"/>
            <w:noWrap/>
            <w:vAlign w:val="bottom"/>
          </w:tcPr>
          <w:p w:rsidR="00DA49AC" w:rsidRPr="00D86156" w:rsidRDefault="00DA49AC" w:rsidP="00FC3E0E">
            <w:pPr>
              <w:spacing w:line="240" w:lineRule="auto"/>
              <w:jc w:val="center"/>
              <w:rPr>
                <w:color w:val="000000"/>
              </w:rPr>
            </w:pPr>
            <w:r>
              <w:rPr>
                <w:color w:val="000000"/>
              </w:rPr>
              <w:t>0.3</w:t>
            </w:r>
          </w:p>
        </w:tc>
        <w:tc>
          <w:tcPr>
            <w:tcW w:w="3406" w:type="dxa"/>
            <w:noWrap/>
            <w:vAlign w:val="bottom"/>
          </w:tcPr>
          <w:p w:rsidR="00DA49AC" w:rsidRPr="00D86156" w:rsidRDefault="00DA49AC" w:rsidP="00FC3E0E">
            <w:pPr>
              <w:spacing w:line="240" w:lineRule="auto"/>
              <w:jc w:val="center"/>
              <w:rPr>
                <w:color w:val="000000"/>
              </w:rPr>
            </w:pPr>
            <w:r>
              <w:rPr>
                <w:color w:val="000000"/>
              </w:rPr>
              <w:t>0.4</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Pr>
                <w:color w:val="000000"/>
              </w:rPr>
              <w:t xml:space="preserve">Executor / </w:t>
            </w:r>
            <w:r w:rsidRPr="00D86156">
              <w:rPr>
                <w:color w:val="000000"/>
              </w:rPr>
              <w:t>Trust</w:t>
            </w:r>
          </w:p>
        </w:tc>
        <w:tc>
          <w:tcPr>
            <w:tcW w:w="3405" w:type="dxa"/>
            <w:noWrap/>
            <w:vAlign w:val="bottom"/>
          </w:tcPr>
          <w:p w:rsidR="00DA49AC" w:rsidRPr="00D86156" w:rsidRDefault="00DA49AC" w:rsidP="00EB2178">
            <w:pPr>
              <w:spacing w:line="240" w:lineRule="auto"/>
              <w:jc w:val="center"/>
              <w:rPr>
                <w:color w:val="000000"/>
              </w:rPr>
            </w:pPr>
            <w:r>
              <w:rPr>
                <w:color w:val="000000"/>
              </w:rPr>
              <w:t>0.8</w:t>
            </w:r>
          </w:p>
        </w:tc>
        <w:tc>
          <w:tcPr>
            <w:tcW w:w="3406" w:type="dxa"/>
            <w:noWrap/>
            <w:vAlign w:val="bottom"/>
          </w:tcPr>
          <w:p w:rsidR="00DA49AC" w:rsidRPr="00D86156" w:rsidRDefault="00DA49AC" w:rsidP="00EB2178">
            <w:pPr>
              <w:spacing w:line="240" w:lineRule="auto"/>
              <w:jc w:val="center"/>
              <w:rPr>
                <w:color w:val="000000"/>
              </w:rPr>
            </w:pPr>
            <w:r>
              <w:rPr>
                <w:color w:val="000000"/>
              </w:rPr>
              <w:t>0.2</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Unknown</w:t>
            </w:r>
            <w:r>
              <w:rPr>
                <w:color w:val="000000"/>
              </w:rPr>
              <w:t xml:space="preserve"> (male)</w:t>
            </w:r>
          </w:p>
        </w:tc>
        <w:tc>
          <w:tcPr>
            <w:tcW w:w="3405" w:type="dxa"/>
            <w:noWrap/>
            <w:vAlign w:val="bottom"/>
          </w:tcPr>
          <w:p w:rsidR="00DA49AC" w:rsidRPr="00D86156" w:rsidRDefault="00DA49AC" w:rsidP="00EB2178">
            <w:pPr>
              <w:spacing w:line="240" w:lineRule="auto"/>
              <w:jc w:val="center"/>
              <w:rPr>
                <w:color w:val="000000"/>
              </w:rPr>
            </w:pPr>
            <w:r>
              <w:rPr>
                <w:color w:val="000000"/>
              </w:rPr>
              <w:t>3.2</w:t>
            </w:r>
          </w:p>
        </w:tc>
        <w:tc>
          <w:tcPr>
            <w:tcW w:w="3406" w:type="dxa"/>
            <w:noWrap/>
            <w:vAlign w:val="bottom"/>
          </w:tcPr>
          <w:p w:rsidR="00DA49AC" w:rsidRPr="00D86156" w:rsidRDefault="00DA49AC" w:rsidP="00EB2178">
            <w:pPr>
              <w:spacing w:line="240" w:lineRule="auto"/>
              <w:jc w:val="center"/>
              <w:rPr>
                <w:color w:val="000000"/>
              </w:rPr>
            </w:pPr>
            <w:r>
              <w:rPr>
                <w:color w:val="000000"/>
              </w:rPr>
              <w:t>2.8</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p>
        </w:tc>
        <w:tc>
          <w:tcPr>
            <w:tcW w:w="3405" w:type="dxa"/>
            <w:noWrap/>
            <w:vAlign w:val="bottom"/>
          </w:tcPr>
          <w:p w:rsidR="00DA49AC" w:rsidRPr="00D86156" w:rsidRDefault="00DA49AC" w:rsidP="00EB2178">
            <w:pPr>
              <w:spacing w:line="240" w:lineRule="auto"/>
              <w:jc w:val="center"/>
              <w:rPr>
                <w:color w:val="000000"/>
              </w:rPr>
            </w:pPr>
          </w:p>
        </w:tc>
        <w:tc>
          <w:tcPr>
            <w:tcW w:w="3406" w:type="dxa"/>
            <w:noWrap/>
            <w:vAlign w:val="bottom"/>
          </w:tcPr>
          <w:p w:rsidR="00DA49AC" w:rsidRPr="00D86156" w:rsidRDefault="00DA49AC" w:rsidP="00EB2178">
            <w:pPr>
              <w:spacing w:line="240" w:lineRule="auto"/>
              <w:jc w:val="center"/>
              <w:rPr>
                <w:color w:val="000000"/>
              </w:rPr>
            </w:pP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r w:rsidRPr="00D86156">
              <w:rPr>
                <w:color w:val="000000"/>
              </w:rPr>
              <w:t>Total</w:t>
            </w:r>
          </w:p>
        </w:tc>
        <w:tc>
          <w:tcPr>
            <w:tcW w:w="3405" w:type="dxa"/>
            <w:noWrap/>
            <w:vAlign w:val="bottom"/>
          </w:tcPr>
          <w:p w:rsidR="00DA49AC" w:rsidRPr="00D86156" w:rsidRDefault="00DA49AC" w:rsidP="00EB2178">
            <w:pPr>
              <w:spacing w:line="240" w:lineRule="auto"/>
              <w:jc w:val="center"/>
              <w:rPr>
                <w:color w:val="000000"/>
              </w:rPr>
            </w:pPr>
            <w:r>
              <w:rPr>
                <w:color w:val="000000"/>
              </w:rPr>
              <w:t>100.0</w:t>
            </w:r>
          </w:p>
        </w:tc>
        <w:tc>
          <w:tcPr>
            <w:tcW w:w="3406" w:type="dxa"/>
            <w:noWrap/>
            <w:vAlign w:val="bottom"/>
          </w:tcPr>
          <w:p w:rsidR="00DA49AC" w:rsidRPr="00D86156" w:rsidRDefault="00DA49AC" w:rsidP="00EB2178">
            <w:pPr>
              <w:spacing w:line="240" w:lineRule="auto"/>
              <w:jc w:val="center"/>
              <w:rPr>
                <w:color w:val="000000"/>
              </w:rPr>
            </w:pPr>
            <w:r>
              <w:rPr>
                <w:color w:val="000000"/>
              </w:rPr>
              <w:t>100.0</w:t>
            </w:r>
          </w:p>
        </w:tc>
      </w:tr>
      <w:tr w:rsidR="00DA49AC" w:rsidRPr="003301F4" w:rsidTr="00EB2178">
        <w:trPr>
          <w:trHeight w:val="307"/>
        </w:trPr>
        <w:tc>
          <w:tcPr>
            <w:tcW w:w="2369" w:type="dxa"/>
            <w:noWrap/>
            <w:vAlign w:val="bottom"/>
          </w:tcPr>
          <w:p w:rsidR="00DA49AC" w:rsidRPr="00D86156" w:rsidRDefault="00DA49AC" w:rsidP="00FC3E0E">
            <w:pPr>
              <w:spacing w:line="240" w:lineRule="auto"/>
              <w:rPr>
                <w:color w:val="000000"/>
              </w:rPr>
            </w:pPr>
          </w:p>
        </w:tc>
        <w:tc>
          <w:tcPr>
            <w:tcW w:w="3405" w:type="dxa"/>
            <w:noWrap/>
            <w:vAlign w:val="bottom"/>
          </w:tcPr>
          <w:p w:rsidR="00DA49AC" w:rsidRPr="00D86156" w:rsidRDefault="00DA49AC" w:rsidP="00EB2178">
            <w:pPr>
              <w:spacing w:line="240" w:lineRule="auto"/>
              <w:jc w:val="center"/>
              <w:rPr>
                <w:color w:val="000000"/>
              </w:rPr>
            </w:pPr>
          </w:p>
        </w:tc>
        <w:tc>
          <w:tcPr>
            <w:tcW w:w="3406" w:type="dxa"/>
            <w:noWrap/>
            <w:vAlign w:val="bottom"/>
          </w:tcPr>
          <w:p w:rsidR="00DA49AC" w:rsidRPr="00D86156" w:rsidRDefault="00DA49AC" w:rsidP="00EB2178">
            <w:pPr>
              <w:spacing w:line="240" w:lineRule="auto"/>
              <w:jc w:val="center"/>
              <w:rPr>
                <w:color w:val="000000"/>
              </w:rPr>
            </w:pPr>
          </w:p>
        </w:tc>
      </w:tr>
      <w:tr w:rsidR="00DA49AC" w:rsidRPr="003301F4" w:rsidTr="001C642D">
        <w:trPr>
          <w:trHeight w:val="307"/>
        </w:trPr>
        <w:tc>
          <w:tcPr>
            <w:tcW w:w="2369" w:type="dxa"/>
            <w:tcBorders>
              <w:bottom w:val="nil"/>
            </w:tcBorders>
            <w:noWrap/>
            <w:vAlign w:val="bottom"/>
          </w:tcPr>
          <w:p w:rsidR="00DA49AC" w:rsidRPr="00D86156" w:rsidRDefault="00DA49AC" w:rsidP="00FC3E0E">
            <w:pPr>
              <w:spacing w:line="240" w:lineRule="auto"/>
              <w:rPr>
                <w:color w:val="000000"/>
              </w:rPr>
            </w:pPr>
            <w:r w:rsidRPr="00D86156">
              <w:rPr>
                <w:color w:val="000000"/>
              </w:rPr>
              <w:t>Companies</w:t>
            </w:r>
          </w:p>
        </w:tc>
        <w:tc>
          <w:tcPr>
            <w:tcW w:w="3405" w:type="dxa"/>
            <w:tcBorders>
              <w:bottom w:val="nil"/>
            </w:tcBorders>
            <w:noWrap/>
            <w:vAlign w:val="bottom"/>
          </w:tcPr>
          <w:p w:rsidR="00DA49AC" w:rsidRPr="00D86156" w:rsidRDefault="00DA49AC" w:rsidP="00EB2178">
            <w:pPr>
              <w:spacing w:line="240" w:lineRule="auto"/>
              <w:jc w:val="center"/>
              <w:rPr>
                <w:color w:val="000000"/>
              </w:rPr>
            </w:pPr>
            <w:r w:rsidRPr="00D86156">
              <w:rPr>
                <w:color w:val="000000"/>
              </w:rPr>
              <w:t>48</w:t>
            </w:r>
          </w:p>
        </w:tc>
        <w:tc>
          <w:tcPr>
            <w:tcW w:w="3406" w:type="dxa"/>
            <w:tcBorders>
              <w:bottom w:val="nil"/>
            </w:tcBorders>
            <w:noWrap/>
            <w:vAlign w:val="bottom"/>
          </w:tcPr>
          <w:p w:rsidR="00DA49AC" w:rsidRPr="00D86156" w:rsidRDefault="00DA49AC" w:rsidP="00EB2178">
            <w:pPr>
              <w:spacing w:line="240" w:lineRule="auto"/>
              <w:jc w:val="center"/>
              <w:rPr>
                <w:color w:val="000000"/>
              </w:rPr>
            </w:pPr>
            <w:r w:rsidRPr="00D86156">
              <w:rPr>
                <w:color w:val="000000"/>
              </w:rPr>
              <w:t>48</w:t>
            </w:r>
          </w:p>
        </w:tc>
      </w:tr>
      <w:tr w:rsidR="00DA49AC" w:rsidRPr="003301F4" w:rsidTr="001C642D">
        <w:trPr>
          <w:trHeight w:val="307"/>
        </w:trPr>
        <w:tc>
          <w:tcPr>
            <w:tcW w:w="2369" w:type="dxa"/>
            <w:tcBorders>
              <w:top w:val="nil"/>
              <w:bottom w:val="single" w:sz="4" w:space="0" w:color="auto"/>
            </w:tcBorders>
            <w:noWrap/>
            <w:vAlign w:val="bottom"/>
          </w:tcPr>
          <w:p w:rsidR="00DA49AC" w:rsidRPr="00D86156" w:rsidRDefault="00DA49AC" w:rsidP="00FC3E0E">
            <w:pPr>
              <w:spacing w:line="240" w:lineRule="auto"/>
              <w:rPr>
                <w:color w:val="000000"/>
              </w:rPr>
            </w:pPr>
          </w:p>
        </w:tc>
        <w:tc>
          <w:tcPr>
            <w:tcW w:w="3405" w:type="dxa"/>
            <w:tcBorders>
              <w:top w:val="nil"/>
              <w:bottom w:val="single" w:sz="4" w:space="0" w:color="auto"/>
            </w:tcBorders>
            <w:noWrap/>
            <w:vAlign w:val="bottom"/>
          </w:tcPr>
          <w:p w:rsidR="00DA49AC" w:rsidRPr="00D86156" w:rsidRDefault="00DA49AC" w:rsidP="00FC3E0E">
            <w:pPr>
              <w:spacing w:line="240" w:lineRule="auto"/>
              <w:jc w:val="right"/>
              <w:rPr>
                <w:color w:val="000000"/>
              </w:rPr>
            </w:pPr>
          </w:p>
        </w:tc>
        <w:tc>
          <w:tcPr>
            <w:tcW w:w="3406" w:type="dxa"/>
            <w:tcBorders>
              <w:top w:val="nil"/>
              <w:bottom w:val="single" w:sz="4" w:space="0" w:color="auto"/>
            </w:tcBorders>
            <w:noWrap/>
            <w:vAlign w:val="bottom"/>
          </w:tcPr>
          <w:p w:rsidR="00DA49AC" w:rsidRPr="00D86156" w:rsidRDefault="00DA49AC" w:rsidP="00FC3E0E">
            <w:pPr>
              <w:spacing w:line="240" w:lineRule="auto"/>
              <w:jc w:val="right"/>
              <w:rPr>
                <w:color w:val="000000"/>
              </w:rPr>
            </w:pPr>
          </w:p>
        </w:tc>
      </w:tr>
    </w:tbl>
    <w:p w:rsidR="00DA49AC" w:rsidRDefault="00DA49AC" w:rsidP="001C642D">
      <w:pPr>
        <w:spacing w:line="240" w:lineRule="auto"/>
      </w:pPr>
      <w:r w:rsidRPr="006D587B">
        <w:rPr>
          <w:i/>
        </w:rPr>
        <w:t>Sources</w:t>
      </w:r>
      <w:r>
        <w:t>: See text</w:t>
      </w:r>
    </w:p>
    <w:p w:rsidR="00DA49AC" w:rsidRDefault="00DA49AC" w:rsidP="001C642D">
      <w:pPr>
        <w:spacing w:line="240" w:lineRule="auto"/>
        <w:jc w:val="both"/>
      </w:pPr>
      <w:r w:rsidRPr="006D587B">
        <w:rPr>
          <w:i/>
        </w:rPr>
        <w:t>Notes</w:t>
      </w:r>
      <w:r>
        <w:t xml:space="preserve">: See text for definitions of occupations.  </w:t>
      </w:r>
    </w:p>
    <w:p w:rsidR="00DA49AC" w:rsidRPr="00775062" w:rsidRDefault="00DA49AC" w:rsidP="0020692F">
      <w:pPr>
        <w:spacing w:line="240" w:lineRule="auto"/>
        <w:jc w:val="both"/>
        <w:rPr>
          <w:sz w:val="24"/>
          <w:szCs w:val="24"/>
        </w:rPr>
      </w:pPr>
    </w:p>
    <w:p w:rsidR="00DA49AC" w:rsidRPr="00775062" w:rsidRDefault="00DA49AC" w:rsidP="0020692F">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Default="00DA49AC" w:rsidP="007A761D">
      <w:pPr>
        <w:spacing w:line="240" w:lineRule="auto"/>
        <w:jc w:val="both"/>
        <w:rPr>
          <w:sz w:val="24"/>
          <w:szCs w:val="24"/>
        </w:rPr>
      </w:pPr>
    </w:p>
    <w:p w:rsidR="00DA49AC" w:rsidRPr="003230F4" w:rsidRDefault="00DA49AC" w:rsidP="003230F4">
      <w:pPr>
        <w:spacing w:line="240" w:lineRule="auto"/>
        <w:jc w:val="both"/>
        <w:rPr>
          <w:sz w:val="24"/>
          <w:szCs w:val="24"/>
        </w:rPr>
      </w:pPr>
      <w:r>
        <w:rPr>
          <w:i/>
          <w:sz w:val="24"/>
          <w:szCs w:val="24"/>
        </w:rPr>
        <w:t>Table 7</w:t>
      </w:r>
      <w:r w:rsidRPr="003230F4">
        <w:rPr>
          <w:sz w:val="24"/>
          <w:szCs w:val="24"/>
        </w:rPr>
        <w:t xml:space="preserve">. </w:t>
      </w:r>
      <w:r>
        <w:rPr>
          <w:sz w:val="24"/>
          <w:szCs w:val="24"/>
        </w:rPr>
        <w:tab/>
      </w:r>
      <w:r w:rsidRPr="003230F4">
        <w:rPr>
          <w:sz w:val="24"/>
          <w:szCs w:val="24"/>
        </w:rPr>
        <w:t>Proportion of capital contribu</w:t>
      </w:r>
      <w:r>
        <w:rPr>
          <w:sz w:val="24"/>
          <w:szCs w:val="24"/>
        </w:rPr>
        <w:t xml:space="preserve">ted by each occupational group, </w:t>
      </w:r>
      <w:r w:rsidRPr="003230F4">
        <w:rPr>
          <w:sz w:val="24"/>
          <w:szCs w:val="24"/>
        </w:rPr>
        <w:t>by lo</w:t>
      </w:r>
      <w:r>
        <w:rPr>
          <w:sz w:val="24"/>
          <w:szCs w:val="24"/>
        </w:rPr>
        <w:t>cation of head office and stock-</w:t>
      </w:r>
      <w:r w:rsidRPr="003230F4">
        <w:rPr>
          <w:sz w:val="24"/>
          <w:szCs w:val="24"/>
        </w:rPr>
        <w:t>market listing</w:t>
      </w:r>
    </w:p>
    <w:tbl>
      <w:tblPr>
        <w:tblW w:w="5000" w:type="pct"/>
        <w:tblBorders>
          <w:top w:val="double" w:sz="4" w:space="0" w:color="auto"/>
          <w:bottom w:val="double" w:sz="4" w:space="0" w:color="auto"/>
        </w:tblBorders>
        <w:tblLook w:val="00A0"/>
      </w:tblPr>
      <w:tblGrid>
        <w:gridCol w:w="2468"/>
        <w:gridCol w:w="1065"/>
        <w:gridCol w:w="1257"/>
        <w:gridCol w:w="1067"/>
        <w:gridCol w:w="1067"/>
        <w:gridCol w:w="1257"/>
        <w:gridCol w:w="1061"/>
      </w:tblGrid>
      <w:tr w:rsidR="00DA49AC" w:rsidRPr="003301F4" w:rsidTr="001C642D">
        <w:trPr>
          <w:trHeight w:val="608"/>
        </w:trPr>
        <w:tc>
          <w:tcPr>
            <w:tcW w:w="1335" w:type="pct"/>
            <w:tcBorders>
              <w:top w:val="single" w:sz="4" w:space="0" w:color="auto"/>
              <w:bottom w:val="nil"/>
            </w:tcBorders>
            <w:noWrap/>
            <w:vAlign w:val="center"/>
          </w:tcPr>
          <w:p w:rsidR="00DA49AC" w:rsidRPr="00FC3E0E" w:rsidRDefault="00DA49AC" w:rsidP="00FC3E0E">
            <w:pPr>
              <w:spacing w:line="240" w:lineRule="auto"/>
              <w:rPr>
                <w:color w:val="000000"/>
              </w:rPr>
            </w:pPr>
            <w:r w:rsidRPr="00FC3E0E">
              <w:rPr>
                <w:color w:val="000000"/>
              </w:rPr>
              <w:t>Head Office:</w:t>
            </w:r>
          </w:p>
        </w:tc>
        <w:tc>
          <w:tcPr>
            <w:tcW w:w="1256" w:type="pct"/>
            <w:gridSpan w:val="2"/>
            <w:tcBorders>
              <w:top w:val="single" w:sz="4" w:space="0" w:color="auto"/>
              <w:bottom w:val="nil"/>
            </w:tcBorders>
            <w:noWrap/>
            <w:vAlign w:val="center"/>
          </w:tcPr>
          <w:p w:rsidR="00DA49AC" w:rsidRPr="00FC3E0E" w:rsidRDefault="00DA49AC" w:rsidP="00FC3E0E">
            <w:pPr>
              <w:spacing w:line="240" w:lineRule="auto"/>
              <w:jc w:val="center"/>
              <w:rPr>
                <w:color w:val="000000"/>
              </w:rPr>
            </w:pPr>
            <w:r w:rsidRPr="00FC3E0E">
              <w:rPr>
                <w:color w:val="000000"/>
              </w:rPr>
              <w:t>London</w:t>
            </w:r>
          </w:p>
        </w:tc>
        <w:tc>
          <w:tcPr>
            <w:tcW w:w="577" w:type="pct"/>
            <w:tcBorders>
              <w:top w:val="single" w:sz="4" w:space="0" w:color="auto"/>
              <w:bottom w:val="nil"/>
            </w:tcBorders>
            <w:vAlign w:val="center"/>
          </w:tcPr>
          <w:p w:rsidR="00DA49AC" w:rsidRPr="00FC3E0E" w:rsidRDefault="00DA49AC" w:rsidP="00FC3E0E">
            <w:pPr>
              <w:spacing w:line="240" w:lineRule="auto"/>
              <w:jc w:val="center"/>
              <w:rPr>
                <w:color w:val="000000"/>
              </w:rPr>
            </w:pPr>
          </w:p>
        </w:tc>
        <w:tc>
          <w:tcPr>
            <w:tcW w:w="1831" w:type="pct"/>
            <w:gridSpan w:val="3"/>
            <w:tcBorders>
              <w:top w:val="single" w:sz="4" w:space="0" w:color="auto"/>
              <w:bottom w:val="nil"/>
            </w:tcBorders>
            <w:noWrap/>
            <w:vAlign w:val="center"/>
          </w:tcPr>
          <w:p w:rsidR="00DA49AC" w:rsidRPr="00FC3E0E" w:rsidRDefault="00DA49AC" w:rsidP="00FC3E0E">
            <w:pPr>
              <w:spacing w:line="240" w:lineRule="auto"/>
              <w:jc w:val="center"/>
              <w:rPr>
                <w:color w:val="000000"/>
              </w:rPr>
            </w:pPr>
            <w:r w:rsidRPr="00FC3E0E">
              <w:rPr>
                <w:color w:val="000000"/>
              </w:rPr>
              <w:t>Regional</w:t>
            </w:r>
          </w:p>
        </w:tc>
      </w:tr>
      <w:tr w:rsidR="00DA49AC" w:rsidRPr="003301F4" w:rsidTr="001C642D">
        <w:trPr>
          <w:trHeight w:val="692"/>
        </w:trPr>
        <w:tc>
          <w:tcPr>
            <w:tcW w:w="1335" w:type="pct"/>
            <w:tcBorders>
              <w:top w:val="nil"/>
            </w:tcBorders>
            <w:noWrap/>
            <w:vAlign w:val="center"/>
          </w:tcPr>
          <w:p w:rsidR="00DA49AC" w:rsidRPr="00FC3E0E" w:rsidRDefault="00DA49AC" w:rsidP="00FC3E0E">
            <w:pPr>
              <w:spacing w:line="240" w:lineRule="auto"/>
              <w:rPr>
                <w:color w:val="000000"/>
              </w:rPr>
            </w:pPr>
            <w:r w:rsidRPr="00FC3E0E">
              <w:rPr>
                <w:color w:val="000000"/>
              </w:rPr>
              <w:t>Stock Exchanges:</w:t>
            </w:r>
          </w:p>
        </w:tc>
        <w:tc>
          <w:tcPr>
            <w:tcW w:w="576" w:type="pct"/>
            <w:tcBorders>
              <w:top w:val="nil"/>
              <w:bottom w:val="single" w:sz="4" w:space="0" w:color="auto"/>
            </w:tcBorders>
            <w:noWrap/>
            <w:vAlign w:val="center"/>
          </w:tcPr>
          <w:p w:rsidR="00DA49AC" w:rsidRPr="00FC3E0E" w:rsidRDefault="00DA49AC" w:rsidP="00FC3E0E">
            <w:pPr>
              <w:spacing w:line="240" w:lineRule="auto"/>
              <w:jc w:val="center"/>
              <w:rPr>
                <w:color w:val="000000"/>
              </w:rPr>
            </w:pPr>
            <w:r w:rsidRPr="00FC3E0E">
              <w:rPr>
                <w:color w:val="000000"/>
              </w:rPr>
              <w:t>London</w:t>
            </w:r>
          </w:p>
          <w:p w:rsidR="00DA49AC" w:rsidRPr="00FC3E0E" w:rsidRDefault="00DA49AC" w:rsidP="00FC3E0E">
            <w:pPr>
              <w:spacing w:line="240" w:lineRule="auto"/>
              <w:jc w:val="center"/>
              <w:rPr>
                <w:color w:val="000000"/>
              </w:rPr>
            </w:pPr>
            <w:r>
              <w:rPr>
                <w:color w:val="000000"/>
              </w:rPr>
              <w:t>o</w:t>
            </w:r>
            <w:r w:rsidRPr="00FC3E0E">
              <w:rPr>
                <w:color w:val="000000"/>
              </w:rPr>
              <w:t>nly</w:t>
            </w:r>
          </w:p>
        </w:tc>
        <w:tc>
          <w:tcPr>
            <w:tcW w:w="680" w:type="pct"/>
            <w:tcBorders>
              <w:top w:val="nil"/>
              <w:bottom w:val="single" w:sz="4" w:space="0" w:color="auto"/>
            </w:tcBorders>
            <w:noWrap/>
            <w:vAlign w:val="center"/>
          </w:tcPr>
          <w:p w:rsidR="00DA49AC" w:rsidRPr="00FC3E0E" w:rsidRDefault="00DA49AC" w:rsidP="00FC3E0E">
            <w:pPr>
              <w:spacing w:line="240" w:lineRule="auto"/>
              <w:jc w:val="center"/>
              <w:rPr>
                <w:color w:val="000000"/>
              </w:rPr>
            </w:pPr>
            <w:r w:rsidRPr="00FC3E0E">
              <w:rPr>
                <w:color w:val="000000"/>
              </w:rPr>
              <w:t>London and</w:t>
            </w:r>
          </w:p>
          <w:p w:rsidR="00DA49AC" w:rsidRPr="00FC3E0E" w:rsidRDefault="00DA49AC" w:rsidP="00FC3E0E">
            <w:pPr>
              <w:spacing w:line="240" w:lineRule="auto"/>
              <w:jc w:val="center"/>
              <w:rPr>
                <w:color w:val="000000"/>
              </w:rPr>
            </w:pPr>
            <w:r>
              <w:rPr>
                <w:color w:val="000000"/>
              </w:rPr>
              <w:t>provincial</w:t>
            </w:r>
          </w:p>
        </w:tc>
        <w:tc>
          <w:tcPr>
            <w:tcW w:w="577" w:type="pct"/>
            <w:tcBorders>
              <w:top w:val="nil"/>
              <w:bottom w:val="nil"/>
            </w:tcBorders>
            <w:vAlign w:val="center"/>
          </w:tcPr>
          <w:p w:rsidR="00DA49AC" w:rsidRPr="00FC3E0E" w:rsidRDefault="00DA49AC" w:rsidP="00FC3E0E">
            <w:pPr>
              <w:spacing w:line="240" w:lineRule="auto"/>
              <w:jc w:val="center"/>
              <w:rPr>
                <w:color w:val="000000"/>
              </w:rPr>
            </w:pPr>
          </w:p>
        </w:tc>
        <w:tc>
          <w:tcPr>
            <w:tcW w:w="577" w:type="pct"/>
            <w:tcBorders>
              <w:top w:val="nil"/>
              <w:bottom w:val="single" w:sz="4" w:space="0" w:color="auto"/>
            </w:tcBorders>
            <w:noWrap/>
            <w:vAlign w:val="center"/>
          </w:tcPr>
          <w:p w:rsidR="00DA49AC" w:rsidRPr="00FC3E0E" w:rsidRDefault="00DA49AC" w:rsidP="00FC3E0E">
            <w:pPr>
              <w:spacing w:line="240" w:lineRule="auto"/>
              <w:jc w:val="center"/>
              <w:rPr>
                <w:color w:val="000000"/>
              </w:rPr>
            </w:pPr>
            <w:r w:rsidRPr="00FC3E0E">
              <w:rPr>
                <w:color w:val="000000"/>
              </w:rPr>
              <w:t>London</w:t>
            </w:r>
          </w:p>
          <w:p w:rsidR="00DA49AC" w:rsidRPr="00FC3E0E" w:rsidRDefault="00DA49AC" w:rsidP="00FC3E0E">
            <w:pPr>
              <w:spacing w:line="240" w:lineRule="auto"/>
              <w:jc w:val="center"/>
              <w:rPr>
                <w:color w:val="000000"/>
              </w:rPr>
            </w:pPr>
            <w:r>
              <w:rPr>
                <w:color w:val="000000"/>
              </w:rPr>
              <w:t>o</w:t>
            </w:r>
            <w:r w:rsidRPr="00FC3E0E">
              <w:rPr>
                <w:color w:val="000000"/>
              </w:rPr>
              <w:t>nly</w:t>
            </w:r>
          </w:p>
        </w:tc>
        <w:tc>
          <w:tcPr>
            <w:tcW w:w="680" w:type="pct"/>
            <w:tcBorders>
              <w:top w:val="nil"/>
              <w:bottom w:val="single" w:sz="4" w:space="0" w:color="auto"/>
            </w:tcBorders>
            <w:noWrap/>
            <w:vAlign w:val="center"/>
          </w:tcPr>
          <w:p w:rsidR="00DA49AC" w:rsidRPr="00FC3E0E" w:rsidRDefault="00DA49AC" w:rsidP="00FC3E0E">
            <w:pPr>
              <w:spacing w:line="240" w:lineRule="auto"/>
              <w:jc w:val="center"/>
              <w:rPr>
                <w:color w:val="000000"/>
              </w:rPr>
            </w:pPr>
            <w:r w:rsidRPr="00FC3E0E">
              <w:rPr>
                <w:color w:val="000000"/>
              </w:rPr>
              <w:t>London and</w:t>
            </w:r>
          </w:p>
          <w:p w:rsidR="00DA49AC" w:rsidRPr="00FC3E0E" w:rsidRDefault="00DA49AC" w:rsidP="00FC3E0E">
            <w:pPr>
              <w:spacing w:line="240" w:lineRule="auto"/>
              <w:jc w:val="center"/>
              <w:rPr>
                <w:color w:val="000000"/>
              </w:rPr>
            </w:pPr>
            <w:r>
              <w:rPr>
                <w:color w:val="000000"/>
              </w:rPr>
              <w:t>provincial</w:t>
            </w:r>
          </w:p>
        </w:tc>
        <w:tc>
          <w:tcPr>
            <w:tcW w:w="574" w:type="pct"/>
            <w:tcBorders>
              <w:top w:val="nil"/>
              <w:bottom w:val="single" w:sz="4" w:space="0" w:color="auto"/>
            </w:tcBorders>
            <w:noWrap/>
            <w:vAlign w:val="center"/>
          </w:tcPr>
          <w:p w:rsidR="00DA49AC" w:rsidRPr="00FC3E0E" w:rsidRDefault="00DA49AC" w:rsidP="00FC3E0E">
            <w:pPr>
              <w:spacing w:line="240" w:lineRule="auto"/>
              <w:jc w:val="center"/>
              <w:rPr>
                <w:color w:val="000000"/>
              </w:rPr>
            </w:pPr>
            <w:r>
              <w:rPr>
                <w:color w:val="000000"/>
              </w:rPr>
              <w:t>Provincial</w:t>
            </w:r>
          </w:p>
          <w:p w:rsidR="00DA49AC" w:rsidRPr="00FC3E0E" w:rsidRDefault="00DA49AC" w:rsidP="00FC3E0E">
            <w:pPr>
              <w:spacing w:line="240" w:lineRule="auto"/>
              <w:jc w:val="center"/>
              <w:rPr>
                <w:color w:val="000000"/>
              </w:rPr>
            </w:pPr>
            <w:r>
              <w:rPr>
                <w:color w:val="000000"/>
              </w:rPr>
              <w:t>o</w:t>
            </w:r>
            <w:r w:rsidRPr="00FC3E0E">
              <w:rPr>
                <w:color w:val="000000"/>
              </w:rPr>
              <w:t>nly</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p>
        </w:tc>
        <w:tc>
          <w:tcPr>
            <w:tcW w:w="576" w:type="pct"/>
            <w:tcBorders>
              <w:top w:val="single" w:sz="4" w:space="0" w:color="auto"/>
            </w:tcBorders>
            <w:noWrap/>
            <w:vAlign w:val="bottom"/>
          </w:tcPr>
          <w:p w:rsidR="00DA49AC" w:rsidRPr="000F6792" w:rsidRDefault="00DA49AC" w:rsidP="00FC3E0E">
            <w:pPr>
              <w:spacing w:line="240" w:lineRule="auto"/>
              <w:rPr>
                <w:color w:val="000000"/>
              </w:rPr>
            </w:pPr>
          </w:p>
        </w:tc>
        <w:tc>
          <w:tcPr>
            <w:tcW w:w="680" w:type="pct"/>
            <w:tcBorders>
              <w:top w:val="single" w:sz="4" w:space="0" w:color="auto"/>
            </w:tcBorders>
            <w:noWrap/>
            <w:vAlign w:val="bottom"/>
          </w:tcPr>
          <w:p w:rsidR="00DA49AC" w:rsidRPr="000F6792" w:rsidRDefault="00DA49AC" w:rsidP="00FC3E0E">
            <w:pPr>
              <w:spacing w:line="240" w:lineRule="auto"/>
              <w:rPr>
                <w:color w:val="000000"/>
              </w:rPr>
            </w:pPr>
          </w:p>
        </w:tc>
        <w:tc>
          <w:tcPr>
            <w:tcW w:w="577" w:type="pct"/>
            <w:tcBorders>
              <w:top w:val="nil"/>
              <w:bottom w:val="nil"/>
            </w:tcBorders>
          </w:tcPr>
          <w:p w:rsidR="00DA49AC" w:rsidRPr="000F6792" w:rsidRDefault="00DA49AC" w:rsidP="00FC3E0E">
            <w:pPr>
              <w:spacing w:line="240" w:lineRule="auto"/>
              <w:rPr>
                <w:color w:val="000000"/>
              </w:rPr>
            </w:pPr>
          </w:p>
        </w:tc>
        <w:tc>
          <w:tcPr>
            <w:tcW w:w="577" w:type="pct"/>
            <w:tcBorders>
              <w:top w:val="single" w:sz="4" w:space="0" w:color="auto"/>
            </w:tcBorders>
            <w:noWrap/>
            <w:vAlign w:val="bottom"/>
          </w:tcPr>
          <w:p w:rsidR="00DA49AC" w:rsidRPr="000F6792" w:rsidRDefault="00DA49AC" w:rsidP="00FC3E0E">
            <w:pPr>
              <w:spacing w:line="240" w:lineRule="auto"/>
              <w:rPr>
                <w:color w:val="000000"/>
              </w:rPr>
            </w:pPr>
          </w:p>
        </w:tc>
        <w:tc>
          <w:tcPr>
            <w:tcW w:w="680" w:type="pct"/>
            <w:tcBorders>
              <w:top w:val="single" w:sz="4" w:space="0" w:color="auto"/>
            </w:tcBorders>
            <w:noWrap/>
            <w:vAlign w:val="bottom"/>
          </w:tcPr>
          <w:p w:rsidR="00DA49AC" w:rsidRPr="000F6792" w:rsidRDefault="00DA49AC" w:rsidP="00FC3E0E">
            <w:pPr>
              <w:spacing w:line="240" w:lineRule="auto"/>
              <w:rPr>
                <w:color w:val="000000"/>
              </w:rPr>
            </w:pPr>
          </w:p>
        </w:tc>
        <w:tc>
          <w:tcPr>
            <w:tcW w:w="574" w:type="pct"/>
            <w:tcBorders>
              <w:top w:val="single" w:sz="4" w:space="0" w:color="auto"/>
            </w:tcBorders>
            <w:noWrap/>
            <w:vAlign w:val="bottom"/>
          </w:tcPr>
          <w:p w:rsidR="00DA49AC" w:rsidRPr="000F6792" w:rsidRDefault="00DA49AC" w:rsidP="00FC3E0E">
            <w:pPr>
              <w:spacing w:line="240" w:lineRule="auto"/>
              <w:rPr>
                <w:color w:val="000000"/>
              </w:rPr>
            </w:pP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Agriculture</w:t>
            </w:r>
          </w:p>
        </w:tc>
        <w:tc>
          <w:tcPr>
            <w:tcW w:w="576" w:type="pct"/>
            <w:noWrap/>
            <w:vAlign w:val="bottom"/>
          </w:tcPr>
          <w:p w:rsidR="00DA49AC" w:rsidRPr="000F6792" w:rsidRDefault="00DA49AC" w:rsidP="00FC3E0E">
            <w:pPr>
              <w:spacing w:line="240" w:lineRule="auto"/>
              <w:jc w:val="center"/>
              <w:rPr>
                <w:color w:val="000000"/>
              </w:rPr>
            </w:pPr>
            <w:r>
              <w:rPr>
                <w:color w:val="000000"/>
              </w:rPr>
              <w:t>0.4</w:t>
            </w:r>
          </w:p>
        </w:tc>
        <w:tc>
          <w:tcPr>
            <w:tcW w:w="680" w:type="pct"/>
            <w:noWrap/>
            <w:vAlign w:val="bottom"/>
          </w:tcPr>
          <w:p w:rsidR="00DA49AC" w:rsidRPr="000F6792" w:rsidRDefault="00DA49AC" w:rsidP="00FC3E0E">
            <w:pPr>
              <w:spacing w:line="240" w:lineRule="auto"/>
              <w:jc w:val="center"/>
              <w:rPr>
                <w:color w:val="000000"/>
              </w:rPr>
            </w:pPr>
            <w:r>
              <w:rPr>
                <w:color w:val="000000"/>
              </w:rPr>
              <w:t>0.3</w:t>
            </w:r>
          </w:p>
        </w:tc>
        <w:tc>
          <w:tcPr>
            <w:tcW w:w="577" w:type="pct"/>
            <w:tcBorders>
              <w:top w:val="nil"/>
            </w:tcBorders>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0.1</w:t>
            </w:r>
          </w:p>
        </w:tc>
        <w:tc>
          <w:tcPr>
            <w:tcW w:w="680" w:type="pct"/>
            <w:noWrap/>
            <w:vAlign w:val="bottom"/>
          </w:tcPr>
          <w:p w:rsidR="00DA49AC" w:rsidRPr="000F6792" w:rsidRDefault="00DA49AC" w:rsidP="00FC3E0E">
            <w:pPr>
              <w:spacing w:line="240" w:lineRule="auto"/>
              <w:jc w:val="center"/>
              <w:rPr>
                <w:color w:val="000000"/>
              </w:rPr>
            </w:pPr>
            <w:r>
              <w:rPr>
                <w:color w:val="000000"/>
              </w:rPr>
              <w:t>0.4</w:t>
            </w:r>
          </w:p>
        </w:tc>
        <w:tc>
          <w:tcPr>
            <w:tcW w:w="574" w:type="pct"/>
            <w:noWrap/>
            <w:vAlign w:val="bottom"/>
          </w:tcPr>
          <w:p w:rsidR="00DA49AC" w:rsidRPr="000F6792" w:rsidRDefault="00DA49AC" w:rsidP="00FC3E0E">
            <w:pPr>
              <w:spacing w:line="240" w:lineRule="auto"/>
              <w:jc w:val="center"/>
              <w:rPr>
                <w:color w:val="000000"/>
              </w:rPr>
            </w:pPr>
            <w:r>
              <w:rPr>
                <w:color w:val="000000"/>
              </w:rPr>
              <w:t>3.0</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Business-Manufacturing</w:t>
            </w:r>
          </w:p>
        </w:tc>
        <w:tc>
          <w:tcPr>
            <w:tcW w:w="576" w:type="pct"/>
            <w:noWrap/>
            <w:vAlign w:val="bottom"/>
          </w:tcPr>
          <w:p w:rsidR="00DA49AC" w:rsidRPr="000F6792" w:rsidRDefault="00DA49AC" w:rsidP="00FC3E0E">
            <w:pPr>
              <w:spacing w:line="240" w:lineRule="auto"/>
              <w:jc w:val="center"/>
              <w:rPr>
                <w:color w:val="000000"/>
              </w:rPr>
            </w:pPr>
            <w:r>
              <w:rPr>
                <w:color w:val="000000"/>
              </w:rPr>
              <w:t>1.9</w:t>
            </w:r>
          </w:p>
        </w:tc>
        <w:tc>
          <w:tcPr>
            <w:tcW w:w="680" w:type="pct"/>
            <w:noWrap/>
            <w:vAlign w:val="bottom"/>
          </w:tcPr>
          <w:p w:rsidR="00DA49AC" w:rsidRPr="000F6792" w:rsidRDefault="00DA49AC" w:rsidP="00FC3E0E">
            <w:pPr>
              <w:spacing w:line="240" w:lineRule="auto"/>
              <w:jc w:val="center"/>
              <w:rPr>
                <w:color w:val="000000"/>
              </w:rPr>
            </w:pPr>
            <w:r>
              <w:rPr>
                <w:color w:val="000000"/>
              </w:rPr>
              <w:t>2.7</w:t>
            </w:r>
          </w:p>
        </w:tc>
        <w:tc>
          <w:tcPr>
            <w:tcW w:w="577" w:type="pct"/>
            <w:tcBorders>
              <w:top w:val="nil"/>
            </w:tcBorders>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17.1</w:t>
            </w:r>
          </w:p>
        </w:tc>
        <w:tc>
          <w:tcPr>
            <w:tcW w:w="680" w:type="pct"/>
            <w:noWrap/>
            <w:vAlign w:val="bottom"/>
          </w:tcPr>
          <w:p w:rsidR="00DA49AC" w:rsidRPr="000F6792" w:rsidRDefault="00DA49AC" w:rsidP="00FC3E0E">
            <w:pPr>
              <w:spacing w:line="240" w:lineRule="auto"/>
              <w:jc w:val="center"/>
              <w:rPr>
                <w:color w:val="000000"/>
              </w:rPr>
            </w:pPr>
            <w:r>
              <w:rPr>
                <w:color w:val="000000"/>
              </w:rPr>
              <w:t>7.9</w:t>
            </w:r>
          </w:p>
        </w:tc>
        <w:tc>
          <w:tcPr>
            <w:tcW w:w="574" w:type="pct"/>
            <w:noWrap/>
            <w:vAlign w:val="bottom"/>
          </w:tcPr>
          <w:p w:rsidR="00DA49AC" w:rsidRPr="000F6792" w:rsidRDefault="00DA49AC" w:rsidP="00FC3E0E">
            <w:pPr>
              <w:spacing w:line="240" w:lineRule="auto"/>
              <w:jc w:val="center"/>
              <w:rPr>
                <w:color w:val="000000"/>
              </w:rPr>
            </w:pPr>
            <w:r>
              <w:rPr>
                <w:color w:val="000000"/>
              </w:rPr>
              <w:t>11.1</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Business-Merchant</w:t>
            </w:r>
          </w:p>
        </w:tc>
        <w:tc>
          <w:tcPr>
            <w:tcW w:w="576" w:type="pct"/>
            <w:noWrap/>
            <w:vAlign w:val="bottom"/>
          </w:tcPr>
          <w:p w:rsidR="00DA49AC" w:rsidRPr="000F6792" w:rsidRDefault="00DA49AC" w:rsidP="00FC3E0E">
            <w:pPr>
              <w:spacing w:line="240" w:lineRule="auto"/>
              <w:jc w:val="center"/>
              <w:rPr>
                <w:color w:val="000000"/>
              </w:rPr>
            </w:pPr>
            <w:r>
              <w:rPr>
                <w:color w:val="000000"/>
              </w:rPr>
              <w:t>8.6</w:t>
            </w:r>
          </w:p>
        </w:tc>
        <w:tc>
          <w:tcPr>
            <w:tcW w:w="680" w:type="pct"/>
            <w:noWrap/>
            <w:vAlign w:val="bottom"/>
          </w:tcPr>
          <w:p w:rsidR="00DA49AC" w:rsidRPr="000F6792" w:rsidRDefault="00DA49AC" w:rsidP="00FC3E0E">
            <w:pPr>
              <w:spacing w:line="240" w:lineRule="auto"/>
              <w:jc w:val="center"/>
              <w:rPr>
                <w:color w:val="000000"/>
              </w:rPr>
            </w:pPr>
            <w:r>
              <w:rPr>
                <w:color w:val="000000"/>
              </w:rPr>
              <w:t>10.3</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9.6</w:t>
            </w:r>
          </w:p>
        </w:tc>
        <w:tc>
          <w:tcPr>
            <w:tcW w:w="680" w:type="pct"/>
            <w:noWrap/>
            <w:vAlign w:val="bottom"/>
          </w:tcPr>
          <w:p w:rsidR="00DA49AC" w:rsidRPr="000F6792" w:rsidRDefault="00DA49AC" w:rsidP="00FC3E0E">
            <w:pPr>
              <w:spacing w:line="240" w:lineRule="auto"/>
              <w:jc w:val="center"/>
              <w:rPr>
                <w:color w:val="000000"/>
              </w:rPr>
            </w:pPr>
            <w:r>
              <w:rPr>
                <w:color w:val="000000"/>
              </w:rPr>
              <w:t>23.1</w:t>
            </w:r>
          </w:p>
        </w:tc>
        <w:tc>
          <w:tcPr>
            <w:tcW w:w="574" w:type="pct"/>
            <w:noWrap/>
            <w:vAlign w:val="bottom"/>
          </w:tcPr>
          <w:p w:rsidR="00DA49AC" w:rsidRPr="000F6792" w:rsidRDefault="00DA49AC" w:rsidP="00FC3E0E">
            <w:pPr>
              <w:spacing w:line="240" w:lineRule="auto"/>
              <w:jc w:val="center"/>
              <w:rPr>
                <w:color w:val="000000"/>
              </w:rPr>
            </w:pPr>
            <w:r>
              <w:rPr>
                <w:color w:val="000000"/>
              </w:rPr>
              <w:t>12.5</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Business-Retail</w:t>
            </w:r>
          </w:p>
        </w:tc>
        <w:tc>
          <w:tcPr>
            <w:tcW w:w="576" w:type="pct"/>
            <w:noWrap/>
            <w:vAlign w:val="bottom"/>
          </w:tcPr>
          <w:p w:rsidR="00DA49AC" w:rsidRPr="000F6792" w:rsidRDefault="00DA49AC" w:rsidP="00FC3E0E">
            <w:pPr>
              <w:spacing w:line="240" w:lineRule="auto"/>
              <w:jc w:val="center"/>
              <w:rPr>
                <w:color w:val="000000"/>
              </w:rPr>
            </w:pPr>
            <w:r>
              <w:rPr>
                <w:color w:val="000000"/>
              </w:rPr>
              <w:t>1.2</w:t>
            </w:r>
          </w:p>
        </w:tc>
        <w:tc>
          <w:tcPr>
            <w:tcW w:w="680" w:type="pct"/>
            <w:noWrap/>
            <w:vAlign w:val="bottom"/>
          </w:tcPr>
          <w:p w:rsidR="00DA49AC" w:rsidRPr="000F6792" w:rsidRDefault="00DA49AC" w:rsidP="00FC3E0E">
            <w:pPr>
              <w:spacing w:line="240" w:lineRule="auto"/>
              <w:jc w:val="center"/>
              <w:rPr>
                <w:color w:val="000000"/>
              </w:rPr>
            </w:pPr>
            <w:r>
              <w:rPr>
                <w:color w:val="000000"/>
              </w:rPr>
              <w:t>0.6</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0.7</w:t>
            </w:r>
          </w:p>
        </w:tc>
        <w:tc>
          <w:tcPr>
            <w:tcW w:w="680" w:type="pct"/>
            <w:noWrap/>
            <w:vAlign w:val="bottom"/>
          </w:tcPr>
          <w:p w:rsidR="00DA49AC" w:rsidRPr="000F6792" w:rsidRDefault="00DA49AC" w:rsidP="00FC3E0E">
            <w:pPr>
              <w:spacing w:line="240" w:lineRule="auto"/>
              <w:jc w:val="center"/>
              <w:rPr>
                <w:color w:val="000000"/>
              </w:rPr>
            </w:pPr>
            <w:r>
              <w:rPr>
                <w:color w:val="000000"/>
              </w:rPr>
              <w:t>2.5</w:t>
            </w:r>
          </w:p>
        </w:tc>
        <w:tc>
          <w:tcPr>
            <w:tcW w:w="574" w:type="pct"/>
            <w:noWrap/>
            <w:vAlign w:val="bottom"/>
          </w:tcPr>
          <w:p w:rsidR="00DA49AC" w:rsidRPr="000F6792" w:rsidRDefault="00DA49AC" w:rsidP="00FC3E0E">
            <w:pPr>
              <w:spacing w:line="240" w:lineRule="auto"/>
              <w:jc w:val="center"/>
              <w:rPr>
                <w:color w:val="000000"/>
              </w:rPr>
            </w:pPr>
            <w:r>
              <w:rPr>
                <w:color w:val="000000"/>
              </w:rPr>
              <w:t>3.9</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Company</w:t>
            </w:r>
          </w:p>
        </w:tc>
        <w:tc>
          <w:tcPr>
            <w:tcW w:w="576" w:type="pct"/>
            <w:noWrap/>
            <w:vAlign w:val="bottom"/>
          </w:tcPr>
          <w:p w:rsidR="00DA49AC" w:rsidRPr="000F6792" w:rsidRDefault="00DA49AC" w:rsidP="00FC3E0E">
            <w:pPr>
              <w:spacing w:line="240" w:lineRule="auto"/>
              <w:jc w:val="center"/>
              <w:rPr>
                <w:color w:val="000000"/>
              </w:rPr>
            </w:pPr>
            <w:r>
              <w:rPr>
                <w:color w:val="000000"/>
              </w:rPr>
              <w:t>0.3</w:t>
            </w:r>
          </w:p>
        </w:tc>
        <w:tc>
          <w:tcPr>
            <w:tcW w:w="680" w:type="pct"/>
            <w:noWrap/>
            <w:vAlign w:val="bottom"/>
          </w:tcPr>
          <w:p w:rsidR="00DA49AC" w:rsidRPr="000F6792" w:rsidRDefault="00DA49AC" w:rsidP="00FC3E0E">
            <w:pPr>
              <w:spacing w:line="240" w:lineRule="auto"/>
              <w:jc w:val="center"/>
              <w:rPr>
                <w:color w:val="000000"/>
              </w:rPr>
            </w:pPr>
            <w:r w:rsidRPr="000F6792">
              <w:rPr>
                <w:color w:val="000000"/>
              </w:rPr>
              <w:t>0.2</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0.0</w:t>
            </w:r>
          </w:p>
        </w:tc>
        <w:tc>
          <w:tcPr>
            <w:tcW w:w="680" w:type="pct"/>
            <w:noWrap/>
            <w:vAlign w:val="bottom"/>
          </w:tcPr>
          <w:p w:rsidR="00DA49AC" w:rsidRPr="000F6792" w:rsidRDefault="00DA49AC" w:rsidP="00FC3E0E">
            <w:pPr>
              <w:spacing w:line="240" w:lineRule="auto"/>
              <w:jc w:val="center"/>
              <w:rPr>
                <w:color w:val="000000"/>
              </w:rPr>
            </w:pPr>
            <w:r>
              <w:rPr>
                <w:color w:val="000000"/>
              </w:rPr>
              <w:t>0.0</w:t>
            </w:r>
          </w:p>
        </w:tc>
        <w:tc>
          <w:tcPr>
            <w:tcW w:w="574" w:type="pct"/>
            <w:noWrap/>
            <w:vAlign w:val="bottom"/>
          </w:tcPr>
          <w:p w:rsidR="00DA49AC" w:rsidRPr="000F6792" w:rsidRDefault="00DA49AC" w:rsidP="00FC3E0E">
            <w:pPr>
              <w:spacing w:line="240" w:lineRule="auto"/>
              <w:jc w:val="center"/>
              <w:rPr>
                <w:color w:val="000000"/>
              </w:rPr>
            </w:pPr>
            <w:r>
              <w:rPr>
                <w:color w:val="000000"/>
              </w:rPr>
              <w:t>0.2</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Pr>
                <w:color w:val="000000"/>
              </w:rPr>
              <w:t>Investment trust</w:t>
            </w:r>
          </w:p>
        </w:tc>
        <w:tc>
          <w:tcPr>
            <w:tcW w:w="576" w:type="pct"/>
            <w:noWrap/>
            <w:vAlign w:val="bottom"/>
          </w:tcPr>
          <w:p w:rsidR="00DA49AC" w:rsidRPr="000F6792" w:rsidRDefault="00DA49AC" w:rsidP="00FC3E0E">
            <w:pPr>
              <w:spacing w:line="240" w:lineRule="auto"/>
              <w:jc w:val="center"/>
              <w:rPr>
                <w:color w:val="000000"/>
              </w:rPr>
            </w:pPr>
            <w:r>
              <w:rPr>
                <w:color w:val="000000"/>
              </w:rPr>
              <w:t>1.5</w:t>
            </w:r>
          </w:p>
        </w:tc>
        <w:tc>
          <w:tcPr>
            <w:tcW w:w="680" w:type="pct"/>
            <w:noWrap/>
            <w:vAlign w:val="bottom"/>
          </w:tcPr>
          <w:p w:rsidR="00DA49AC" w:rsidRPr="000F6792" w:rsidRDefault="00DA49AC" w:rsidP="00FC3E0E">
            <w:pPr>
              <w:spacing w:line="240" w:lineRule="auto"/>
              <w:jc w:val="center"/>
              <w:rPr>
                <w:color w:val="000000"/>
              </w:rPr>
            </w:pPr>
            <w:r>
              <w:rPr>
                <w:color w:val="000000"/>
              </w:rPr>
              <w:t>1.6</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0.1</w:t>
            </w:r>
          </w:p>
        </w:tc>
        <w:tc>
          <w:tcPr>
            <w:tcW w:w="680" w:type="pct"/>
            <w:noWrap/>
            <w:vAlign w:val="bottom"/>
          </w:tcPr>
          <w:p w:rsidR="00DA49AC" w:rsidRPr="000F6792" w:rsidRDefault="00DA49AC" w:rsidP="00FC3E0E">
            <w:pPr>
              <w:spacing w:line="240" w:lineRule="auto"/>
              <w:jc w:val="center"/>
              <w:rPr>
                <w:color w:val="000000"/>
              </w:rPr>
            </w:pPr>
            <w:r>
              <w:rPr>
                <w:color w:val="000000"/>
              </w:rPr>
              <w:t>0.3</w:t>
            </w:r>
          </w:p>
        </w:tc>
        <w:tc>
          <w:tcPr>
            <w:tcW w:w="574" w:type="pct"/>
            <w:noWrap/>
            <w:vAlign w:val="bottom"/>
          </w:tcPr>
          <w:p w:rsidR="00DA49AC" w:rsidRPr="000F6792" w:rsidRDefault="00DA49AC" w:rsidP="00FC3E0E">
            <w:pPr>
              <w:spacing w:line="240" w:lineRule="auto"/>
              <w:jc w:val="center"/>
              <w:rPr>
                <w:color w:val="000000"/>
              </w:rPr>
            </w:pPr>
            <w:r>
              <w:rPr>
                <w:color w:val="000000"/>
              </w:rPr>
              <w:t>0.0</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Finance-Banker</w:t>
            </w:r>
          </w:p>
        </w:tc>
        <w:tc>
          <w:tcPr>
            <w:tcW w:w="576" w:type="pct"/>
            <w:noWrap/>
            <w:vAlign w:val="bottom"/>
          </w:tcPr>
          <w:p w:rsidR="00DA49AC" w:rsidRPr="000F6792" w:rsidRDefault="00DA49AC" w:rsidP="00FC3E0E">
            <w:pPr>
              <w:spacing w:line="240" w:lineRule="auto"/>
              <w:jc w:val="center"/>
              <w:rPr>
                <w:color w:val="000000"/>
              </w:rPr>
            </w:pPr>
            <w:r>
              <w:rPr>
                <w:color w:val="000000"/>
              </w:rPr>
              <w:t>1.3</w:t>
            </w:r>
          </w:p>
        </w:tc>
        <w:tc>
          <w:tcPr>
            <w:tcW w:w="680" w:type="pct"/>
            <w:noWrap/>
            <w:vAlign w:val="bottom"/>
          </w:tcPr>
          <w:p w:rsidR="00DA49AC" w:rsidRPr="000F6792" w:rsidRDefault="00DA49AC" w:rsidP="00FC3E0E">
            <w:pPr>
              <w:spacing w:line="240" w:lineRule="auto"/>
              <w:jc w:val="center"/>
              <w:rPr>
                <w:color w:val="000000"/>
              </w:rPr>
            </w:pPr>
            <w:r>
              <w:rPr>
                <w:color w:val="000000"/>
              </w:rPr>
              <w:t>2.7</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2.2</w:t>
            </w:r>
          </w:p>
        </w:tc>
        <w:tc>
          <w:tcPr>
            <w:tcW w:w="680" w:type="pct"/>
            <w:noWrap/>
            <w:vAlign w:val="bottom"/>
          </w:tcPr>
          <w:p w:rsidR="00DA49AC" w:rsidRPr="000F6792" w:rsidRDefault="00DA49AC" w:rsidP="00FC3E0E">
            <w:pPr>
              <w:spacing w:line="240" w:lineRule="auto"/>
              <w:jc w:val="center"/>
              <w:rPr>
                <w:color w:val="000000"/>
              </w:rPr>
            </w:pPr>
            <w:r>
              <w:rPr>
                <w:color w:val="000000"/>
              </w:rPr>
              <w:t>3.8</w:t>
            </w:r>
          </w:p>
        </w:tc>
        <w:tc>
          <w:tcPr>
            <w:tcW w:w="574" w:type="pct"/>
            <w:noWrap/>
            <w:vAlign w:val="bottom"/>
          </w:tcPr>
          <w:p w:rsidR="00DA49AC" w:rsidRPr="000F6792" w:rsidRDefault="00DA49AC" w:rsidP="00FC3E0E">
            <w:pPr>
              <w:spacing w:line="240" w:lineRule="auto"/>
              <w:jc w:val="center"/>
              <w:rPr>
                <w:color w:val="000000"/>
              </w:rPr>
            </w:pPr>
            <w:r>
              <w:rPr>
                <w:color w:val="000000"/>
              </w:rPr>
              <w:t>1.7</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Finance-Other Finance</w:t>
            </w:r>
          </w:p>
        </w:tc>
        <w:tc>
          <w:tcPr>
            <w:tcW w:w="576" w:type="pct"/>
            <w:noWrap/>
            <w:vAlign w:val="bottom"/>
          </w:tcPr>
          <w:p w:rsidR="00DA49AC" w:rsidRPr="000F6792" w:rsidRDefault="00DA49AC" w:rsidP="00FC3E0E">
            <w:pPr>
              <w:spacing w:line="240" w:lineRule="auto"/>
              <w:jc w:val="center"/>
              <w:rPr>
                <w:color w:val="000000"/>
              </w:rPr>
            </w:pPr>
            <w:r>
              <w:rPr>
                <w:color w:val="000000"/>
              </w:rPr>
              <w:t>0.4</w:t>
            </w:r>
          </w:p>
        </w:tc>
        <w:tc>
          <w:tcPr>
            <w:tcW w:w="680" w:type="pct"/>
            <w:noWrap/>
            <w:vAlign w:val="bottom"/>
          </w:tcPr>
          <w:p w:rsidR="00DA49AC" w:rsidRPr="000F6792" w:rsidRDefault="00DA49AC" w:rsidP="00FC3E0E">
            <w:pPr>
              <w:spacing w:line="240" w:lineRule="auto"/>
              <w:jc w:val="center"/>
              <w:rPr>
                <w:color w:val="000000"/>
              </w:rPr>
            </w:pPr>
            <w:r>
              <w:rPr>
                <w:color w:val="000000"/>
              </w:rPr>
              <w:t>0.6</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0.1</w:t>
            </w:r>
          </w:p>
        </w:tc>
        <w:tc>
          <w:tcPr>
            <w:tcW w:w="680" w:type="pct"/>
            <w:noWrap/>
            <w:vAlign w:val="bottom"/>
          </w:tcPr>
          <w:p w:rsidR="00DA49AC" w:rsidRPr="000F6792" w:rsidRDefault="00DA49AC" w:rsidP="00FC3E0E">
            <w:pPr>
              <w:spacing w:line="240" w:lineRule="auto"/>
              <w:jc w:val="center"/>
              <w:rPr>
                <w:color w:val="000000"/>
              </w:rPr>
            </w:pPr>
            <w:r>
              <w:rPr>
                <w:color w:val="000000"/>
              </w:rPr>
              <w:t>1.8</w:t>
            </w:r>
          </w:p>
        </w:tc>
        <w:tc>
          <w:tcPr>
            <w:tcW w:w="574" w:type="pct"/>
            <w:noWrap/>
            <w:vAlign w:val="bottom"/>
          </w:tcPr>
          <w:p w:rsidR="00DA49AC" w:rsidRPr="000F6792" w:rsidRDefault="00DA49AC" w:rsidP="00FC3E0E">
            <w:pPr>
              <w:spacing w:line="240" w:lineRule="auto"/>
              <w:jc w:val="center"/>
              <w:rPr>
                <w:color w:val="000000"/>
              </w:rPr>
            </w:pPr>
            <w:r>
              <w:rPr>
                <w:color w:val="000000"/>
              </w:rPr>
              <w:t>0.9</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Finance-Stockbroker</w:t>
            </w:r>
          </w:p>
        </w:tc>
        <w:tc>
          <w:tcPr>
            <w:tcW w:w="576" w:type="pct"/>
            <w:noWrap/>
            <w:vAlign w:val="bottom"/>
          </w:tcPr>
          <w:p w:rsidR="00DA49AC" w:rsidRPr="000F6792" w:rsidRDefault="00DA49AC" w:rsidP="00FC3E0E">
            <w:pPr>
              <w:spacing w:line="240" w:lineRule="auto"/>
              <w:jc w:val="center"/>
              <w:rPr>
                <w:color w:val="000000"/>
              </w:rPr>
            </w:pPr>
            <w:r>
              <w:rPr>
                <w:color w:val="000000"/>
              </w:rPr>
              <w:t>1.0</w:t>
            </w:r>
          </w:p>
        </w:tc>
        <w:tc>
          <w:tcPr>
            <w:tcW w:w="680" w:type="pct"/>
            <w:noWrap/>
            <w:vAlign w:val="bottom"/>
          </w:tcPr>
          <w:p w:rsidR="00DA49AC" w:rsidRPr="000F6792" w:rsidRDefault="00DA49AC" w:rsidP="00FC3E0E">
            <w:pPr>
              <w:spacing w:line="240" w:lineRule="auto"/>
              <w:jc w:val="center"/>
              <w:rPr>
                <w:color w:val="000000"/>
              </w:rPr>
            </w:pPr>
            <w:r>
              <w:rPr>
                <w:color w:val="000000"/>
              </w:rPr>
              <w:t>1.7</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0.0</w:t>
            </w:r>
          </w:p>
        </w:tc>
        <w:tc>
          <w:tcPr>
            <w:tcW w:w="680" w:type="pct"/>
            <w:noWrap/>
            <w:vAlign w:val="bottom"/>
          </w:tcPr>
          <w:p w:rsidR="00DA49AC" w:rsidRPr="000F6792" w:rsidRDefault="00DA49AC" w:rsidP="00FC3E0E">
            <w:pPr>
              <w:spacing w:line="240" w:lineRule="auto"/>
              <w:jc w:val="center"/>
              <w:rPr>
                <w:color w:val="000000"/>
              </w:rPr>
            </w:pPr>
            <w:r>
              <w:rPr>
                <w:color w:val="000000"/>
              </w:rPr>
              <w:t>3.8</w:t>
            </w:r>
          </w:p>
        </w:tc>
        <w:tc>
          <w:tcPr>
            <w:tcW w:w="574" w:type="pct"/>
            <w:noWrap/>
            <w:vAlign w:val="bottom"/>
          </w:tcPr>
          <w:p w:rsidR="00DA49AC" w:rsidRPr="000F6792" w:rsidRDefault="00DA49AC" w:rsidP="00FC3E0E">
            <w:pPr>
              <w:spacing w:line="240" w:lineRule="auto"/>
              <w:jc w:val="center"/>
              <w:rPr>
                <w:color w:val="000000"/>
              </w:rPr>
            </w:pPr>
            <w:r>
              <w:rPr>
                <w:color w:val="000000"/>
              </w:rPr>
              <w:t>1.3</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Pr>
                <w:color w:val="000000"/>
              </w:rPr>
              <w:t>Middle-</w:t>
            </w:r>
            <w:r w:rsidRPr="000F6792">
              <w:rPr>
                <w:color w:val="000000"/>
              </w:rPr>
              <w:t>Legal Profession</w:t>
            </w:r>
          </w:p>
        </w:tc>
        <w:tc>
          <w:tcPr>
            <w:tcW w:w="576" w:type="pct"/>
            <w:noWrap/>
            <w:vAlign w:val="bottom"/>
          </w:tcPr>
          <w:p w:rsidR="00DA49AC" w:rsidRPr="000F6792" w:rsidRDefault="00DA49AC" w:rsidP="00FC3E0E">
            <w:pPr>
              <w:spacing w:line="240" w:lineRule="auto"/>
              <w:jc w:val="center"/>
              <w:rPr>
                <w:color w:val="000000"/>
              </w:rPr>
            </w:pPr>
            <w:r>
              <w:rPr>
                <w:color w:val="000000"/>
              </w:rPr>
              <w:t>3.7</w:t>
            </w:r>
          </w:p>
        </w:tc>
        <w:tc>
          <w:tcPr>
            <w:tcW w:w="680" w:type="pct"/>
            <w:noWrap/>
            <w:vAlign w:val="bottom"/>
          </w:tcPr>
          <w:p w:rsidR="00DA49AC" w:rsidRPr="000F6792" w:rsidRDefault="00DA49AC" w:rsidP="00FC3E0E">
            <w:pPr>
              <w:spacing w:line="240" w:lineRule="auto"/>
              <w:jc w:val="center"/>
              <w:rPr>
                <w:color w:val="000000"/>
              </w:rPr>
            </w:pPr>
            <w:r>
              <w:rPr>
                <w:color w:val="000000"/>
              </w:rPr>
              <w:t>2.1</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7.0</w:t>
            </w:r>
          </w:p>
        </w:tc>
        <w:tc>
          <w:tcPr>
            <w:tcW w:w="680" w:type="pct"/>
            <w:noWrap/>
            <w:vAlign w:val="bottom"/>
          </w:tcPr>
          <w:p w:rsidR="00DA49AC" w:rsidRPr="000F6792" w:rsidRDefault="00DA49AC" w:rsidP="00FC3E0E">
            <w:pPr>
              <w:spacing w:line="240" w:lineRule="auto"/>
              <w:jc w:val="center"/>
              <w:rPr>
                <w:color w:val="000000"/>
              </w:rPr>
            </w:pPr>
            <w:r>
              <w:rPr>
                <w:color w:val="000000"/>
              </w:rPr>
              <w:t>2.9</w:t>
            </w:r>
          </w:p>
        </w:tc>
        <w:tc>
          <w:tcPr>
            <w:tcW w:w="574" w:type="pct"/>
            <w:noWrap/>
            <w:vAlign w:val="bottom"/>
          </w:tcPr>
          <w:p w:rsidR="00DA49AC" w:rsidRPr="000F6792" w:rsidRDefault="00DA49AC" w:rsidP="00FC3E0E">
            <w:pPr>
              <w:spacing w:line="240" w:lineRule="auto"/>
              <w:jc w:val="center"/>
              <w:rPr>
                <w:color w:val="000000"/>
              </w:rPr>
            </w:pPr>
            <w:r>
              <w:rPr>
                <w:color w:val="000000"/>
              </w:rPr>
              <w:t>3.3</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Middle-Clergy</w:t>
            </w:r>
          </w:p>
        </w:tc>
        <w:tc>
          <w:tcPr>
            <w:tcW w:w="576" w:type="pct"/>
            <w:noWrap/>
            <w:vAlign w:val="bottom"/>
          </w:tcPr>
          <w:p w:rsidR="00DA49AC" w:rsidRPr="000F6792" w:rsidRDefault="00DA49AC" w:rsidP="00FC3E0E">
            <w:pPr>
              <w:spacing w:line="240" w:lineRule="auto"/>
              <w:jc w:val="center"/>
              <w:rPr>
                <w:color w:val="000000"/>
              </w:rPr>
            </w:pPr>
            <w:r>
              <w:rPr>
                <w:color w:val="000000"/>
              </w:rPr>
              <w:t>2.1</w:t>
            </w:r>
          </w:p>
        </w:tc>
        <w:tc>
          <w:tcPr>
            <w:tcW w:w="680" w:type="pct"/>
            <w:noWrap/>
            <w:vAlign w:val="bottom"/>
          </w:tcPr>
          <w:p w:rsidR="00DA49AC" w:rsidRPr="000F6792" w:rsidRDefault="00DA49AC" w:rsidP="00FC3E0E">
            <w:pPr>
              <w:spacing w:line="240" w:lineRule="auto"/>
              <w:jc w:val="center"/>
              <w:rPr>
                <w:color w:val="000000"/>
              </w:rPr>
            </w:pPr>
            <w:r>
              <w:rPr>
                <w:color w:val="000000"/>
              </w:rPr>
              <w:t>1.5</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1.1</w:t>
            </w:r>
          </w:p>
        </w:tc>
        <w:tc>
          <w:tcPr>
            <w:tcW w:w="680" w:type="pct"/>
            <w:noWrap/>
            <w:vAlign w:val="bottom"/>
          </w:tcPr>
          <w:p w:rsidR="00DA49AC" w:rsidRPr="000F6792" w:rsidRDefault="00DA49AC" w:rsidP="00FC3E0E">
            <w:pPr>
              <w:spacing w:line="240" w:lineRule="auto"/>
              <w:jc w:val="center"/>
              <w:rPr>
                <w:color w:val="000000"/>
              </w:rPr>
            </w:pPr>
            <w:r>
              <w:rPr>
                <w:color w:val="000000"/>
              </w:rPr>
              <w:t>1.3</w:t>
            </w:r>
          </w:p>
        </w:tc>
        <w:tc>
          <w:tcPr>
            <w:tcW w:w="574" w:type="pct"/>
            <w:noWrap/>
            <w:vAlign w:val="bottom"/>
          </w:tcPr>
          <w:p w:rsidR="00DA49AC" w:rsidRPr="000F6792" w:rsidRDefault="00DA49AC" w:rsidP="00FC3E0E">
            <w:pPr>
              <w:spacing w:line="240" w:lineRule="auto"/>
              <w:jc w:val="center"/>
              <w:rPr>
                <w:color w:val="000000"/>
              </w:rPr>
            </w:pPr>
            <w:r>
              <w:rPr>
                <w:color w:val="000000"/>
              </w:rPr>
              <w:t>1.6</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Middle-Professional</w:t>
            </w:r>
          </w:p>
        </w:tc>
        <w:tc>
          <w:tcPr>
            <w:tcW w:w="576" w:type="pct"/>
            <w:noWrap/>
            <w:vAlign w:val="bottom"/>
          </w:tcPr>
          <w:p w:rsidR="00DA49AC" w:rsidRPr="000F6792" w:rsidRDefault="00DA49AC" w:rsidP="00FC3E0E">
            <w:pPr>
              <w:spacing w:line="240" w:lineRule="auto"/>
              <w:jc w:val="center"/>
              <w:rPr>
                <w:color w:val="000000"/>
              </w:rPr>
            </w:pPr>
            <w:r>
              <w:rPr>
                <w:color w:val="000000"/>
              </w:rPr>
              <w:t>2.8</w:t>
            </w:r>
          </w:p>
        </w:tc>
        <w:tc>
          <w:tcPr>
            <w:tcW w:w="680" w:type="pct"/>
            <w:noWrap/>
            <w:vAlign w:val="bottom"/>
          </w:tcPr>
          <w:p w:rsidR="00DA49AC" w:rsidRPr="000F6792" w:rsidRDefault="00DA49AC" w:rsidP="00FC3E0E">
            <w:pPr>
              <w:spacing w:line="240" w:lineRule="auto"/>
              <w:jc w:val="center"/>
              <w:rPr>
                <w:color w:val="000000"/>
              </w:rPr>
            </w:pPr>
            <w:r>
              <w:rPr>
                <w:color w:val="000000"/>
              </w:rPr>
              <w:t>6.3</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2.4</w:t>
            </w:r>
          </w:p>
        </w:tc>
        <w:tc>
          <w:tcPr>
            <w:tcW w:w="680" w:type="pct"/>
            <w:noWrap/>
            <w:vAlign w:val="bottom"/>
          </w:tcPr>
          <w:p w:rsidR="00DA49AC" w:rsidRPr="000F6792" w:rsidRDefault="00DA49AC" w:rsidP="00FC3E0E">
            <w:pPr>
              <w:spacing w:line="240" w:lineRule="auto"/>
              <w:jc w:val="center"/>
              <w:rPr>
                <w:color w:val="000000"/>
              </w:rPr>
            </w:pPr>
            <w:r>
              <w:rPr>
                <w:color w:val="000000"/>
              </w:rPr>
              <w:t>3.6</w:t>
            </w:r>
          </w:p>
        </w:tc>
        <w:tc>
          <w:tcPr>
            <w:tcW w:w="574" w:type="pct"/>
            <w:noWrap/>
            <w:vAlign w:val="bottom"/>
          </w:tcPr>
          <w:p w:rsidR="00DA49AC" w:rsidRPr="000F6792" w:rsidRDefault="00DA49AC" w:rsidP="00FC3E0E">
            <w:pPr>
              <w:spacing w:line="240" w:lineRule="auto"/>
              <w:jc w:val="center"/>
              <w:rPr>
                <w:color w:val="000000"/>
              </w:rPr>
            </w:pPr>
            <w:r>
              <w:rPr>
                <w:color w:val="000000"/>
              </w:rPr>
              <w:t>5.2</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Middle-White Collar</w:t>
            </w:r>
          </w:p>
        </w:tc>
        <w:tc>
          <w:tcPr>
            <w:tcW w:w="576" w:type="pct"/>
            <w:noWrap/>
            <w:vAlign w:val="bottom"/>
          </w:tcPr>
          <w:p w:rsidR="00DA49AC" w:rsidRPr="000F6792" w:rsidRDefault="00DA49AC" w:rsidP="00FC3E0E">
            <w:pPr>
              <w:spacing w:line="240" w:lineRule="auto"/>
              <w:jc w:val="center"/>
              <w:rPr>
                <w:color w:val="000000"/>
              </w:rPr>
            </w:pPr>
            <w:r>
              <w:rPr>
                <w:color w:val="000000"/>
              </w:rPr>
              <w:t>1.5</w:t>
            </w:r>
          </w:p>
        </w:tc>
        <w:tc>
          <w:tcPr>
            <w:tcW w:w="680" w:type="pct"/>
            <w:noWrap/>
            <w:vAlign w:val="bottom"/>
          </w:tcPr>
          <w:p w:rsidR="00DA49AC" w:rsidRPr="000F6792" w:rsidRDefault="00DA49AC" w:rsidP="00FC3E0E">
            <w:pPr>
              <w:spacing w:line="240" w:lineRule="auto"/>
              <w:jc w:val="center"/>
              <w:rPr>
                <w:color w:val="000000"/>
              </w:rPr>
            </w:pPr>
            <w:r>
              <w:rPr>
                <w:color w:val="000000"/>
              </w:rPr>
              <w:t>1.4</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0.4</w:t>
            </w:r>
          </w:p>
        </w:tc>
        <w:tc>
          <w:tcPr>
            <w:tcW w:w="680" w:type="pct"/>
            <w:noWrap/>
            <w:vAlign w:val="bottom"/>
          </w:tcPr>
          <w:p w:rsidR="00DA49AC" w:rsidRPr="000F6792" w:rsidRDefault="00DA49AC" w:rsidP="00FC3E0E">
            <w:pPr>
              <w:spacing w:line="240" w:lineRule="auto"/>
              <w:jc w:val="center"/>
              <w:rPr>
                <w:color w:val="000000"/>
              </w:rPr>
            </w:pPr>
            <w:r>
              <w:rPr>
                <w:color w:val="000000"/>
              </w:rPr>
              <w:t>2.0</w:t>
            </w:r>
          </w:p>
        </w:tc>
        <w:tc>
          <w:tcPr>
            <w:tcW w:w="574" w:type="pct"/>
            <w:noWrap/>
            <w:vAlign w:val="bottom"/>
          </w:tcPr>
          <w:p w:rsidR="00DA49AC" w:rsidRPr="000F6792" w:rsidRDefault="00DA49AC" w:rsidP="00FC3E0E">
            <w:pPr>
              <w:spacing w:line="240" w:lineRule="auto"/>
              <w:jc w:val="center"/>
              <w:rPr>
                <w:color w:val="000000"/>
              </w:rPr>
            </w:pPr>
            <w:r>
              <w:rPr>
                <w:color w:val="000000"/>
              </w:rPr>
              <w:t>2.9</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Upper-ArmyNavy</w:t>
            </w:r>
          </w:p>
        </w:tc>
        <w:tc>
          <w:tcPr>
            <w:tcW w:w="576" w:type="pct"/>
            <w:noWrap/>
            <w:vAlign w:val="bottom"/>
          </w:tcPr>
          <w:p w:rsidR="00DA49AC" w:rsidRPr="000F6792" w:rsidRDefault="00DA49AC" w:rsidP="00FC3E0E">
            <w:pPr>
              <w:spacing w:line="240" w:lineRule="auto"/>
              <w:jc w:val="center"/>
              <w:rPr>
                <w:color w:val="000000"/>
              </w:rPr>
            </w:pPr>
            <w:r>
              <w:rPr>
                <w:color w:val="000000"/>
              </w:rPr>
              <w:t>3.6</w:t>
            </w:r>
          </w:p>
        </w:tc>
        <w:tc>
          <w:tcPr>
            <w:tcW w:w="680" w:type="pct"/>
            <w:noWrap/>
            <w:vAlign w:val="bottom"/>
          </w:tcPr>
          <w:p w:rsidR="00DA49AC" w:rsidRPr="000F6792" w:rsidRDefault="00DA49AC" w:rsidP="00FC3E0E">
            <w:pPr>
              <w:spacing w:line="240" w:lineRule="auto"/>
              <w:jc w:val="center"/>
              <w:rPr>
                <w:color w:val="000000"/>
              </w:rPr>
            </w:pPr>
            <w:r>
              <w:rPr>
                <w:color w:val="000000"/>
              </w:rPr>
              <w:t>2.3</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2.1</w:t>
            </w:r>
          </w:p>
        </w:tc>
        <w:tc>
          <w:tcPr>
            <w:tcW w:w="680" w:type="pct"/>
            <w:noWrap/>
            <w:vAlign w:val="bottom"/>
          </w:tcPr>
          <w:p w:rsidR="00DA49AC" w:rsidRPr="000F6792" w:rsidRDefault="00DA49AC" w:rsidP="00FC3E0E">
            <w:pPr>
              <w:spacing w:line="240" w:lineRule="auto"/>
              <w:jc w:val="center"/>
              <w:rPr>
                <w:color w:val="000000"/>
              </w:rPr>
            </w:pPr>
            <w:r>
              <w:rPr>
                <w:color w:val="000000"/>
              </w:rPr>
              <w:t>0.8</w:t>
            </w:r>
          </w:p>
        </w:tc>
        <w:tc>
          <w:tcPr>
            <w:tcW w:w="574" w:type="pct"/>
            <w:noWrap/>
            <w:vAlign w:val="bottom"/>
          </w:tcPr>
          <w:p w:rsidR="00DA49AC" w:rsidRPr="000F6792" w:rsidRDefault="00DA49AC" w:rsidP="00FC3E0E">
            <w:pPr>
              <w:spacing w:line="240" w:lineRule="auto"/>
              <w:jc w:val="center"/>
              <w:rPr>
                <w:color w:val="000000"/>
              </w:rPr>
            </w:pPr>
            <w:r>
              <w:rPr>
                <w:color w:val="000000"/>
              </w:rPr>
              <w:t>1.1</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Upper-Esquire</w:t>
            </w:r>
          </w:p>
        </w:tc>
        <w:tc>
          <w:tcPr>
            <w:tcW w:w="576" w:type="pct"/>
            <w:noWrap/>
            <w:vAlign w:val="bottom"/>
          </w:tcPr>
          <w:p w:rsidR="00DA49AC" w:rsidRPr="000F6792" w:rsidRDefault="00DA49AC" w:rsidP="00FC3E0E">
            <w:pPr>
              <w:spacing w:line="240" w:lineRule="auto"/>
              <w:jc w:val="center"/>
              <w:rPr>
                <w:color w:val="000000"/>
              </w:rPr>
            </w:pPr>
            <w:r w:rsidRPr="000F6792">
              <w:rPr>
                <w:color w:val="000000"/>
              </w:rPr>
              <w:t>21.3</w:t>
            </w:r>
          </w:p>
        </w:tc>
        <w:tc>
          <w:tcPr>
            <w:tcW w:w="680" w:type="pct"/>
            <w:noWrap/>
            <w:vAlign w:val="bottom"/>
          </w:tcPr>
          <w:p w:rsidR="00DA49AC" w:rsidRPr="000F6792" w:rsidRDefault="00DA49AC" w:rsidP="00FC3E0E">
            <w:pPr>
              <w:spacing w:line="240" w:lineRule="auto"/>
              <w:jc w:val="center"/>
              <w:rPr>
                <w:color w:val="000000"/>
              </w:rPr>
            </w:pPr>
            <w:r>
              <w:rPr>
                <w:color w:val="000000"/>
              </w:rPr>
              <w:t>19.9</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sidRPr="000F6792">
              <w:rPr>
                <w:color w:val="000000"/>
              </w:rPr>
              <w:t>18.6</w:t>
            </w:r>
          </w:p>
        </w:tc>
        <w:tc>
          <w:tcPr>
            <w:tcW w:w="680" w:type="pct"/>
            <w:noWrap/>
            <w:vAlign w:val="bottom"/>
          </w:tcPr>
          <w:p w:rsidR="00DA49AC" w:rsidRPr="000F6792" w:rsidRDefault="00DA49AC" w:rsidP="00FC3E0E">
            <w:pPr>
              <w:spacing w:line="240" w:lineRule="auto"/>
              <w:jc w:val="center"/>
              <w:rPr>
                <w:color w:val="000000"/>
              </w:rPr>
            </w:pPr>
            <w:r>
              <w:rPr>
                <w:color w:val="000000"/>
              </w:rPr>
              <w:t>19.0</w:t>
            </w:r>
          </w:p>
        </w:tc>
        <w:tc>
          <w:tcPr>
            <w:tcW w:w="574" w:type="pct"/>
            <w:noWrap/>
            <w:vAlign w:val="bottom"/>
          </w:tcPr>
          <w:p w:rsidR="00DA49AC" w:rsidRPr="000F6792" w:rsidRDefault="00DA49AC" w:rsidP="00FC3E0E">
            <w:pPr>
              <w:spacing w:line="240" w:lineRule="auto"/>
              <w:jc w:val="center"/>
              <w:rPr>
                <w:color w:val="000000"/>
              </w:rPr>
            </w:pPr>
            <w:r>
              <w:rPr>
                <w:color w:val="000000"/>
              </w:rPr>
              <w:t>5.6</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Upper-Gentleman</w:t>
            </w:r>
          </w:p>
        </w:tc>
        <w:tc>
          <w:tcPr>
            <w:tcW w:w="576" w:type="pct"/>
            <w:noWrap/>
            <w:vAlign w:val="bottom"/>
          </w:tcPr>
          <w:p w:rsidR="00DA49AC" w:rsidRPr="000F6792" w:rsidRDefault="00DA49AC" w:rsidP="00FC3E0E">
            <w:pPr>
              <w:spacing w:line="240" w:lineRule="auto"/>
              <w:jc w:val="center"/>
              <w:rPr>
                <w:color w:val="000000"/>
              </w:rPr>
            </w:pPr>
            <w:r>
              <w:rPr>
                <w:color w:val="000000"/>
              </w:rPr>
              <w:t>33.8</w:t>
            </w:r>
          </w:p>
        </w:tc>
        <w:tc>
          <w:tcPr>
            <w:tcW w:w="680" w:type="pct"/>
            <w:noWrap/>
            <w:vAlign w:val="bottom"/>
          </w:tcPr>
          <w:p w:rsidR="00DA49AC" w:rsidRPr="000F6792" w:rsidRDefault="00DA49AC" w:rsidP="00FC3E0E">
            <w:pPr>
              <w:spacing w:line="240" w:lineRule="auto"/>
              <w:jc w:val="center"/>
              <w:rPr>
                <w:color w:val="000000"/>
              </w:rPr>
            </w:pPr>
            <w:r>
              <w:rPr>
                <w:color w:val="000000"/>
              </w:rPr>
              <w:t>32.0</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22.5</w:t>
            </w:r>
          </w:p>
        </w:tc>
        <w:tc>
          <w:tcPr>
            <w:tcW w:w="680" w:type="pct"/>
            <w:noWrap/>
            <w:vAlign w:val="bottom"/>
          </w:tcPr>
          <w:p w:rsidR="00DA49AC" w:rsidRPr="000F6792" w:rsidRDefault="00DA49AC" w:rsidP="00FC3E0E">
            <w:pPr>
              <w:spacing w:line="240" w:lineRule="auto"/>
              <w:jc w:val="center"/>
              <w:rPr>
                <w:color w:val="000000"/>
              </w:rPr>
            </w:pPr>
            <w:r>
              <w:rPr>
                <w:color w:val="000000"/>
              </w:rPr>
              <w:t>16.3</w:t>
            </w:r>
          </w:p>
        </w:tc>
        <w:tc>
          <w:tcPr>
            <w:tcW w:w="574" w:type="pct"/>
            <w:noWrap/>
            <w:vAlign w:val="bottom"/>
          </w:tcPr>
          <w:p w:rsidR="00DA49AC" w:rsidRPr="000F6792" w:rsidRDefault="00DA49AC" w:rsidP="00FC3E0E">
            <w:pPr>
              <w:spacing w:line="240" w:lineRule="auto"/>
              <w:jc w:val="center"/>
              <w:rPr>
                <w:color w:val="000000"/>
              </w:rPr>
            </w:pPr>
            <w:r w:rsidRPr="000F6792">
              <w:rPr>
                <w:color w:val="000000"/>
              </w:rPr>
              <w:t>18.8</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Upper-Nobility</w:t>
            </w:r>
          </w:p>
        </w:tc>
        <w:tc>
          <w:tcPr>
            <w:tcW w:w="576" w:type="pct"/>
            <w:noWrap/>
            <w:vAlign w:val="bottom"/>
          </w:tcPr>
          <w:p w:rsidR="00DA49AC" w:rsidRPr="000F6792" w:rsidRDefault="00DA49AC" w:rsidP="00FC3E0E">
            <w:pPr>
              <w:spacing w:line="240" w:lineRule="auto"/>
              <w:jc w:val="center"/>
              <w:rPr>
                <w:color w:val="000000"/>
              </w:rPr>
            </w:pPr>
            <w:r>
              <w:rPr>
                <w:color w:val="000000"/>
              </w:rPr>
              <w:t>1.3</w:t>
            </w:r>
          </w:p>
        </w:tc>
        <w:tc>
          <w:tcPr>
            <w:tcW w:w="680" w:type="pct"/>
            <w:noWrap/>
            <w:vAlign w:val="bottom"/>
          </w:tcPr>
          <w:p w:rsidR="00DA49AC" w:rsidRPr="000F6792" w:rsidRDefault="00DA49AC" w:rsidP="00FC3E0E">
            <w:pPr>
              <w:spacing w:line="240" w:lineRule="auto"/>
              <w:jc w:val="center"/>
              <w:rPr>
                <w:color w:val="000000"/>
              </w:rPr>
            </w:pPr>
            <w:r>
              <w:rPr>
                <w:color w:val="000000"/>
              </w:rPr>
              <w:t>1.6</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1.7</w:t>
            </w:r>
          </w:p>
        </w:tc>
        <w:tc>
          <w:tcPr>
            <w:tcW w:w="680" w:type="pct"/>
            <w:noWrap/>
            <w:vAlign w:val="bottom"/>
          </w:tcPr>
          <w:p w:rsidR="00DA49AC" w:rsidRPr="000F6792" w:rsidRDefault="00DA49AC" w:rsidP="00FC3E0E">
            <w:pPr>
              <w:spacing w:line="240" w:lineRule="auto"/>
              <w:jc w:val="center"/>
              <w:rPr>
                <w:color w:val="000000"/>
              </w:rPr>
            </w:pPr>
            <w:r>
              <w:rPr>
                <w:color w:val="000000"/>
              </w:rPr>
              <w:t>0.5</w:t>
            </w:r>
          </w:p>
        </w:tc>
        <w:tc>
          <w:tcPr>
            <w:tcW w:w="574" w:type="pct"/>
            <w:noWrap/>
            <w:vAlign w:val="bottom"/>
          </w:tcPr>
          <w:p w:rsidR="00DA49AC" w:rsidRPr="000F6792" w:rsidRDefault="00DA49AC" w:rsidP="00FC3E0E">
            <w:pPr>
              <w:spacing w:line="240" w:lineRule="auto"/>
              <w:jc w:val="center"/>
              <w:rPr>
                <w:color w:val="000000"/>
              </w:rPr>
            </w:pPr>
            <w:r>
              <w:rPr>
                <w:color w:val="000000"/>
              </w:rPr>
              <w:t>2.8</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Pr>
                <w:color w:val="000000"/>
              </w:rPr>
              <w:t>Women-Married</w:t>
            </w:r>
          </w:p>
        </w:tc>
        <w:tc>
          <w:tcPr>
            <w:tcW w:w="576" w:type="pct"/>
            <w:noWrap/>
            <w:vAlign w:val="bottom"/>
          </w:tcPr>
          <w:p w:rsidR="00DA49AC" w:rsidRPr="000F6792" w:rsidRDefault="00DA49AC" w:rsidP="00FC3E0E">
            <w:pPr>
              <w:spacing w:line="240" w:lineRule="auto"/>
              <w:jc w:val="center"/>
              <w:rPr>
                <w:color w:val="000000"/>
              </w:rPr>
            </w:pPr>
            <w:r>
              <w:rPr>
                <w:color w:val="000000"/>
              </w:rPr>
              <w:t>1.8</w:t>
            </w:r>
          </w:p>
        </w:tc>
        <w:tc>
          <w:tcPr>
            <w:tcW w:w="680" w:type="pct"/>
            <w:noWrap/>
            <w:vAlign w:val="bottom"/>
          </w:tcPr>
          <w:p w:rsidR="00DA49AC" w:rsidRPr="000F6792" w:rsidRDefault="00DA49AC" w:rsidP="00FC3E0E">
            <w:pPr>
              <w:spacing w:line="240" w:lineRule="auto"/>
              <w:jc w:val="center"/>
              <w:rPr>
                <w:color w:val="000000"/>
              </w:rPr>
            </w:pPr>
            <w:r>
              <w:rPr>
                <w:color w:val="000000"/>
              </w:rPr>
              <w:t>1.7</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1.8</w:t>
            </w:r>
          </w:p>
        </w:tc>
        <w:tc>
          <w:tcPr>
            <w:tcW w:w="680" w:type="pct"/>
            <w:noWrap/>
            <w:vAlign w:val="bottom"/>
          </w:tcPr>
          <w:p w:rsidR="00DA49AC" w:rsidRPr="000F6792" w:rsidRDefault="00DA49AC" w:rsidP="00FC3E0E">
            <w:pPr>
              <w:spacing w:line="240" w:lineRule="auto"/>
              <w:jc w:val="center"/>
              <w:rPr>
                <w:color w:val="000000"/>
              </w:rPr>
            </w:pPr>
            <w:r>
              <w:rPr>
                <w:color w:val="000000"/>
              </w:rPr>
              <w:t>1.3</w:t>
            </w:r>
          </w:p>
        </w:tc>
        <w:tc>
          <w:tcPr>
            <w:tcW w:w="574" w:type="pct"/>
            <w:noWrap/>
            <w:vAlign w:val="bottom"/>
          </w:tcPr>
          <w:p w:rsidR="00DA49AC" w:rsidRPr="000F6792" w:rsidRDefault="00DA49AC" w:rsidP="00FC3E0E">
            <w:pPr>
              <w:spacing w:line="240" w:lineRule="auto"/>
              <w:jc w:val="center"/>
              <w:rPr>
                <w:color w:val="000000"/>
              </w:rPr>
            </w:pPr>
            <w:r>
              <w:rPr>
                <w:color w:val="000000"/>
              </w:rPr>
              <w:t>2.3</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Women-Spinster</w:t>
            </w:r>
          </w:p>
        </w:tc>
        <w:tc>
          <w:tcPr>
            <w:tcW w:w="576" w:type="pct"/>
            <w:noWrap/>
            <w:vAlign w:val="bottom"/>
          </w:tcPr>
          <w:p w:rsidR="00DA49AC" w:rsidRPr="000F6792" w:rsidRDefault="00DA49AC" w:rsidP="00FC3E0E">
            <w:pPr>
              <w:spacing w:line="240" w:lineRule="auto"/>
              <w:jc w:val="center"/>
              <w:rPr>
                <w:color w:val="000000"/>
              </w:rPr>
            </w:pPr>
            <w:r>
              <w:rPr>
                <w:color w:val="000000"/>
              </w:rPr>
              <w:t>4.5</w:t>
            </w:r>
          </w:p>
        </w:tc>
        <w:tc>
          <w:tcPr>
            <w:tcW w:w="680" w:type="pct"/>
            <w:noWrap/>
            <w:vAlign w:val="bottom"/>
          </w:tcPr>
          <w:p w:rsidR="00DA49AC" w:rsidRPr="000F6792" w:rsidRDefault="00DA49AC" w:rsidP="00FC3E0E">
            <w:pPr>
              <w:spacing w:line="240" w:lineRule="auto"/>
              <w:jc w:val="center"/>
              <w:rPr>
                <w:color w:val="000000"/>
              </w:rPr>
            </w:pPr>
            <w:r>
              <w:rPr>
                <w:color w:val="000000"/>
              </w:rPr>
              <w:t>3.4</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9.9</w:t>
            </w:r>
          </w:p>
        </w:tc>
        <w:tc>
          <w:tcPr>
            <w:tcW w:w="680" w:type="pct"/>
            <w:noWrap/>
            <w:vAlign w:val="bottom"/>
          </w:tcPr>
          <w:p w:rsidR="00DA49AC" w:rsidRPr="000F6792" w:rsidRDefault="00DA49AC" w:rsidP="00FC3E0E">
            <w:pPr>
              <w:spacing w:line="240" w:lineRule="auto"/>
              <w:jc w:val="center"/>
              <w:rPr>
                <w:color w:val="000000"/>
              </w:rPr>
            </w:pPr>
            <w:r>
              <w:rPr>
                <w:color w:val="000000"/>
              </w:rPr>
              <w:t>2.5</w:t>
            </w:r>
          </w:p>
        </w:tc>
        <w:tc>
          <w:tcPr>
            <w:tcW w:w="574" w:type="pct"/>
            <w:noWrap/>
            <w:vAlign w:val="bottom"/>
          </w:tcPr>
          <w:p w:rsidR="00DA49AC" w:rsidRPr="000F6792" w:rsidRDefault="00DA49AC" w:rsidP="00FC3E0E">
            <w:pPr>
              <w:spacing w:line="240" w:lineRule="auto"/>
              <w:jc w:val="center"/>
              <w:rPr>
                <w:color w:val="000000"/>
              </w:rPr>
            </w:pPr>
            <w:r>
              <w:rPr>
                <w:color w:val="000000"/>
              </w:rPr>
              <w:t>8.8</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Women-Widow</w:t>
            </w:r>
          </w:p>
        </w:tc>
        <w:tc>
          <w:tcPr>
            <w:tcW w:w="576" w:type="pct"/>
            <w:noWrap/>
            <w:vAlign w:val="bottom"/>
          </w:tcPr>
          <w:p w:rsidR="00DA49AC" w:rsidRPr="000F6792" w:rsidRDefault="00DA49AC" w:rsidP="00FC3E0E">
            <w:pPr>
              <w:spacing w:line="240" w:lineRule="auto"/>
              <w:jc w:val="center"/>
              <w:rPr>
                <w:color w:val="000000"/>
              </w:rPr>
            </w:pPr>
            <w:r>
              <w:rPr>
                <w:color w:val="000000"/>
              </w:rPr>
              <w:t>4.0</w:t>
            </w:r>
          </w:p>
        </w:tc>
        <w:tc>
          <w:tcPr>
            <w:tcW w:w="680" w:type="pct"/>
            <w:noWrap/>
            <w:vAlign w:val="bottom"/>
          </w:tcPr>
          <w:p w:rsidR="00DA49AC" w:rsidRPr="000F6792" w:rsidRDefault="00DA49AC" w:rsidP="00FC3E0E">
            <w:pPr>
              <w:spacing w:line="240" w:lineRule="auto"/>
              <w:jc w:val="center"/>
              <w:rPr>
                <w:color w:val="000000"/>
              </w:rPr>
            </w:pPr>
            <w:r>
              <w:rPr>
                <w:color w:val="000000"/>
              </w:rPr>
              <w:t>3.1</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1.4</w:t>
            </w:r>
          </w:p>
        </w:tc>
        <w:tc>
          <w:tcPr>
            <w:tcW w:w="680" w:type="pct"/>
            <w:noWrap/>
            <w:vAlign w:val="bottom"/>
          </w:tcPr>
          <w:p w:rsidR="00DA49AC" w:rsidRPr="000F6792" w:rsidRDefault="00DA49AC" w:rsidP="00FC3E0E">
            <w:pPr>
              <w:spacing w:line="240" w:lineRule="auto"/>
              <w:jc w:val="center"/>
              <w:rPr>
                <w:color w:val="000000"/>
              </w:rPr>
            </w:pPr>
            <w:r>
              <w:rPr>
                <w:color w:val="000000"/>
              </w:rPr>
              <w:t>4.4</w:t>
            </w:r>
          </w:p>
        </w:tc>
        <w:tc>
          <w:tcPr>
            <w:tcW w:w="574" w:type="pct"/>
            <w:noWrap/>
            <w:vAlign w:val="bottom"/>
          </w:tcPr>
          <w:p w:rsidR="00DA49AC" w:rsidRPr="000F6792" w:rsidRDefault="00DA49AC" w:rsidP="00FC3E0E">
            <w:pPr>
              <w:spacing w:line="240" w:lineRule="auto"/>
              <w:jc w:val="center"/>
              <w:rPr>
                <w:color w:val="000000"/>
              </w:rPr>
            </w:pPr>
            <w:r>
              <w:rPr>
                <w:color w:val="000000"/>
              </w:rPr>
              <w:t>5.5</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Working-Skilled</w:t>
            </w:r>
          </w:p>
        </w:tc>
        <w:tc>
          <w:tcPr>
            <w:tcW w:w="576" w:type="pct"/>
            <w:noWrap/>
            <w:vAlign w:val="bottom"/>
          </w:tcPr>
          <w:p w:rsidR="00DA49AC" w:rsidRPr="000F6792" w:rsidRDefault="00DA49AC" w:rsidP="00FC3E0E">
            <w:pPr>
              <w:spacing w:line="240" w:lineRule="auto"/>
              <w:jc w:val="center"/>
              <w:rPr>
                <w:color w:val="000000"/>
              </w:rPr>
            </w:pPr>
            <w:r>
              <w:rPr>
                <w:color w:val="000000"/>
              </w:rPr>
              <w:t>0.2</w:t>
            </w:r>
          </w:p>
        </w:tc>
        <w:tc>
          <w:tcPr>
            <w:tcW w:w="680" w:type="pct"/>
            <w:noWrap/>
            <w:vAlign w:val="bottom"/>
          </w:tcPr>
          <w:p w:rsidR="00DA49AC" w:rsidRPr="000F6792" w:rsidRDefault="00DA49AC" w:rsidP="00FC3E0E">
            <w:pPr>
              <w:spacing w:line="240" w:lineRule="auto"/>
              <w:jc w:val="center"/>
              <w:rPr>
                <w:color w:val="000000"/>
              </w:rPr>
            </w:pPr>
            <w:r>
              <w:rPr>
                <w:color w:val="000000"/>
              </w:rPr>
              <w:t>0.2</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0.2</w:t>
            </w:r>
          </w:p>
        </w:tc>
        <w:tc>
          <w:tcPr>
            <w:tcW w:w="680" w:type="pct"/>
            <w:noWrap/>
            <w:vAlign w:val="bottom"/>
          </w:tcPr>
          <w:p w:rsidR="00DA49AC" w:rsidRPr="000F6792" w:rsidRDefault="00DA49AC" w:rsidP="00FC3E0E">
            <w:pPr>
              <w:spacing w:line="240" w:lineRule="auto"/>
              <w:jc w:val="center"/>
              <w:rPr>
                <w:color w:val="000000"/>
              </w:rPr>
            </w:pPr>
            <w:r>
              <w:rPr>
                <w:color w:val="000000"/>
              </w:rPr>
              <w:t>0.3</w:t>
            </w:r>
          </w:p>
        </w:tc>
        <w:tc>
          <w:tcPr>
            <w:tcW w:w="574" w:type="pct"/>
            <w:noWrap/>
            <w:vAlign w:val="bottom"/>
          </w:tcPr>
          <w:p w:rsidR="00DA49AC" w:rsidRPr="000F6792" w:rsidRDefault="00DA49AC" w:rsidP="00FC3E0E">
            <w:pPr>
              <w:spacing w:line="240" w:lineRule="auto"/>
              <w:jc w:val="center"/>
              <w:rPr>
                <w:color w:val="000000"/>
              </w:rPr>
            </w:pPr>
            <w:r>
              <w:rPr>
                <w:color w:val="000000"/>
              </w:rPr>
              <w:t>0.8</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Working-Unskilled</w:t>
            </w:r>
          </w:p>
        </w:tc>
        <w:tc>
          <w:tcPr>
            <w:tcW w:w="576" w:type="pct"/>
            <w:noWrap/>
            <w:vAlign w:val="bottom"/>
          </w:tcPr>
          <w:p w:rsidR="00DA49AC" w:rsidRPr="000F6792" w:rsidRDefault="00DA49AC" w:rsidP="00FC3E0E">
            <w:pPr>
              <w:spacing w:line="240" w:lineRule="auto"/>
              <w:jc w:val="center"/>
              <w:rPr>
                <w:color w:val="000000"/>
              </w:rPr>
            </w:pPr>
            <w:r>
              <w:rPr>
                <w:color w:val="000000"/>
              </w:rPr>
              <w:t>0.0</w:t>
            </w:r>
          </w:p>
        </w:tc>
        <w:tc>
          <w:tcPr>
            <w:tcW w:w="680" w:type="pct"/>
            <w:noWrap/>
            <w:vAlign w:val="bottom"/>
          </w:tcPr>
          <w:p w:rsidR="00DA49AC" w:rsidRPr="000F6792" w:rsidRDefault="00DA49AC" w:rsidP="00FC3E0E">
            <w:pPr>
              <w:spacing w:line="240" w:lineRule="auto"/>
              <w:jc w:val="center"/>
              <w:rPr>
                <w:color w:val="000000"/>
              </w:rPr>
            </w:pPr>
            <w:r>
              <w:rPr>
                <w:color w:val="000000"/>
              </w:rPr>
              <w:t>0.0</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0.0</w:t>
            </w:r>
          </w:p>
        </w:tc>
        <w:tc>
          <w:tcPr>
            <w:tcW w:w="680" w:type="pct"/>
            <w:noWrap/>
            <w:vAlign w:val="bottom"/>
          </w:tcPr>
          <w:p w:rsidR="00DA49AC" w:rsidRPr="000F6792" w:rsidRDefault="00DA49AC" w:rsidP="00FC3E0E">
            <w:pPr>
              <w:spacing w:line="240" w:lineRule="auto"/>
              <w:jc w:val="center"/>
              <w:rPr>
                <w:color w:val="000000"/>
              </w:rPr>
            </w:pPr>
            <w:r>
              <w:rPr>
                <w:color w:val="000000"/>
              </w:rPr>
              <w:t>0.0</w:t>
            </w:r>
          </w:p>
        </w:tc>
        <w:tc>
          <w:tcPr>
            <w:tcW w:w="574" w:type="pct"/>
            <w:noWrap/>
            <w:vAlign w:val="bottom"/>
          </w:tcPr>
          <w:p w:rsidR="00DA49AC" w:rsidRPr="000F6792" w:rsidRDefault="00DA49AC" w:rsidP="00FC3E0E">
            <w:pPr>
              <w:spacing w:line="240" w:lineRule="auto"/>
              <w:jc w:val="center"/>
              <w:rPr>
                <w:color w:val="000000"/>
              </w:rPr>
            </w:pPr>
            <w:r>
              <w:rPr>
                <w:color w:val="000000"/>
              </w:rPr>
              <w:t>0.1</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Politician</w:t>
            </w:r>
          </w:p>
        </w:tc>
        <w:tc>
          <w:tcPr>
            <w:tcW w:w="576" w:type="pct"/>
            <w:noWrap/>
            <w:vAlign w:val="bottom"/>
          </w:tcPr>
          <w:p w:rsidR="00DA49AC" w:rsidRPr="000F6792" w:rsidRDefault="00DA49AC" w:rsidP="00FC3E0E">
            <w:pPr>
              <w:spacing w:line="240" w:lineRule="auto"/>
              <w:jc w:val="center"/>
              <w:rPr>
                <w:color w:val="000000"/>
              </w:rPr>
            </w:pPr>
            <w:r>
              <w:rPr>
                <w:color w:val="000000"/>
              </w:rPr>
              <w:t>0.7</w:t>
            </w:r>
          </w:p>
        </w:tc>
        <w:tc>
          <w:tcPr>
            <w:tcW w:w="680" w:type="pct"/>
            <w:noWrap/>
            <w:vAlign w:val="bottom"/>
          </w:tcPr>
          <w:p w:rsidR="00DA49AC" w:rsidRPr="000F6792" w:rsidRDefault="00DA49AC" w:rsidP="00FC3E0E">
            <w:pPr>
              <w:spacing w:line="240" w:lineRule="auto"/>
              <w:jc w:val="center"/>
              <w:rPr>
                <w:color w:val="000000"/>
              </w:rPr>
            </w:pPr>
            <w:r>
              <w:rPr>
                <w:color w:val="000000"/>
              </w:rPr>
              <w:t>1.2</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0.1</w:t>
            </w:r>
          </w:p>
        </w:tc>
        <w:tc>
          <w:tcPr>
            <w:tcW w:w="680" w:type="pct"/>
            <w:noWrap/>
            <w:vAlign w:val="bottom"/>
          </w:tcPr>
          <w:p w:rsidR="00DA49AC" w:rsidRPr="000F6792" w:rsidRDefault="00DA49AC" w:rsidP="00FC3E0E">
            <w:pPr>
              <w:spacing w:line="240" w:lineRule="auto"/>
              <w:jc w:val="center"/>
              <w:rPr>
                <w:color w:val="000000"/>
              </w:rPr>
            </w:pPr>
            <w:r>
              <w:rPr>
                <w:color w:val="000000"/>
              </w:rPr>
              <w:t>0.3</w:t>
            </w:r>
          </w:p>
        </w:tc>
        <w:tc>
          <w:tcPr>
            <w:tcW w:w="574" w:type="pct"/>
            <w:noWrap/>
            <w:vAlign w:val="bottom"/>
          </w:tcPr>
          <w:p w:rsidR="00DA49AC" w:rsidRPr="000F6792" w:rsidRDefault="00DA49AC" w:rsidP="00FC3E0E">
            <w:pPr>
              <w:spacing w:line="240" w:lineRule="auto"/>
              <w:jc w:val="center"/>
              <w:rPr>
                <w:color w:val="000000"/>
              </w:rPr>
            </w:pPr>
            <w:r>
              <w:rPr>
                <w:color w:val="000000"/>
              </w:rPr>
              <w:t>0.2</w:t>
            </w:r>
          </w:p>
        </w:tc>
      </w:tr>
      <w:tr w:rsidR="00DA49AC" w:rsidRPr="003301F4" w:rsidTr="00FC3E0E">
        <w:trPr>
          <w:trHeight w:val="300"/>
        </w:trPr>
        <w:tc>
          <w:tcPr>
            <w:tcW w:w="1335" w:type="pct"/>
            <w:noWrap/>
            <w:vAlign w:val="bottom"/>
          </w:tcPr>
          <w:p w:rsidR="00DA49AC" w:rsidRPr="00D86156" w:rsidRDefault="00DA49AC" w:rsidP="00FC3E0E">
            <w:pPr>
              <w:spacing w:line="240" w:lineRule="auto"/>
              <w:rPr>
                <w:color w:val="000000"/>
              </w:rPr>
            </w:pPr>
            <w:r>
              <w:rPr>
                <w:color w:val="000000"/>
              </w:rPr>
              <w:t xml:space="preserve">Executor / </w:t>
            </w:r>
            <w:r w:rsidRPr="00D86156">
              <w:rPr>
                <w:color w:val="000000"/>
              </w:rPr>
              <w:t>Trust</w:t>
            </w:r>
          </w:p>
        </w:tc>
        <w:tc>
          <w:tcPr>
            <w:tcW w:w="576" w:type="pct"/>
            <w:noWrap/>
            <w:vAlign w:val="bottom"/>
          </w:tcPr>
          <w:p w:rsidR="00DA49AC" w:rsidRPr="000F6792" w:rsidRDefault="00DA49AC" w:rsidP="00FC3E0E">
            <w:pPr>
              <w:spacing w:line="240" w:lineRule="auto"/>
              <w:jc w:val="center"/>
              <w:rPr>
                <w:color w:val="000000"/>
              </w:rPr>
            </w:pPr>
            <w:r>
              <w:rPr>
                <w:color w:val="000000"/>
              </w:rPr>
              <w:t>0.9</w:t>
            </w:r>
          </w:p>
        </w:tc>
        <w:tc>
          <w:tcPr>
            <w:tcW w:w="680" w:type="pct"/>
            <w:noWrap/>
            <w:vAlign w:val="bottom"/>
          </w:tcPr>
          <w:p w:rsidR="00DA49AC" w:rsidRPr="000F6792" w:rsidRDefault="00DA49AC" w:rsidP="00FC3E0E">
            <w:pPr>
              <w:spacing w:line="240" w:lineRule="auto"/>
              <w:jc w:val="center"/>
              <w:rPr>
                <w:color w:val="000000"/>
              </w:rPr>
            </w:pPr>
            <w:r>
              <w:rPr>
                <w:color w:val="000000"/>
              </w:rPr>
              <w:t>0.8</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0.4</w:t>
            </w:r>
          </w:p>
        </w:tc>
        <w:tc>
          <w:tcPr>
            <w:tcW w:w="680" w:type="pct"/>
            <w:noWrap/>
            <w:vAlign w:val="bottom"/>
          </w:tcPr>
          <w:p w:rsidR="00DA49AC" w:rsidRPr="000F6792" w:rsidRDefault="00DA49AC" w:rsidP="00FC3E0E">
            <w:pPr>
              <w:spacing w:line="240" w:lineRule="auto"/>
              <w:jc w:val="center"/>
              <w:rPr>
                <w:color w:val="000000"/>
              </w:rPr>
            </w:pPr>
            <w:r>
              <w:rPr>
                <w:color w:val="000000"/>
              </w:rPr>
              <w:t>0.6</w:t>
            </w:r>
          </w:p>
        </w:tc>
        <w:tc>
          <w:tcPr>
            <w:tcW w:w="574" w:type="pct"/>
            <w:noWrap/>
            <w:vAlign w:val="bottom"/>
          </w:tcPr>
          <w:p w:rsidR="00DA49AC" w:rsidRPr="000F6792" w:rsidRDefault="00DA49AC" w:rsidP="00FC3E0E">
            <w:pPr>
              <w:spacing w:line="240" w:lineRule="auto"/>
              <w:jc w:val="center"/>
              <w:rPr>
                <w:color w:val="000000"/>
              </w:rPr>
            </w:pPr>
            <w:r>
              <w:rPr>
                <w:color w:val="000000"/>
              </w:rPr>
              <w:t>4.4</w:t>
            </w:r>
          </w:p>
        </w:tc>
      </w:tr>
      <w:tr w:rsidR="00DA49AC" w:rsidRPr="003301F4" w:rsidTr="00FC3E0E">
        <w:trPr>
          <w:trHeight w:val="300"/>
        </w:trPr>
        <w:tc>
          <w:tcPr>
            <w:tcW w:w="1335" w:type="pct"/>
            <w:noWrap/>
            <w:vAlign w:val="bottom"/>
          </w:tcPr>
          <w:p w:rsidR="00DA49AC" w:rsidRPr="00D86156" w:rsidRDefault="00DA49AC" w:rsidP="00FC3E0E">
            <w:pPr>
              <w:spacing w:line="240" w:lineRule="auto"/>
              <w:rPr>
                <w:color w:val="000000"/>
              </w:rPr>
            </w:pPr>
            <w:r w:rsidRPr="00D86156">
              <w:rPr>
                <w:color w:val="000000"/>
              </w:rPr>
              <w:t>Unknown</w:t>
            </w:r>
            <w:r>
              <w:rPr>
                <w:color w:val="000000"/>
              </w:rPr>
              <w:t xml:space="preserve"> (male)</w:t>
            </w:r>
          </w:p>
        </w:tc>
        <w:tc>
          <w:tcPr>
            <w:tcW w:w="576" w:type="pct"/>
            <w:noWrap/>
            <w:vAlign w:val="bottom"/>
          </w:tcPr>
          <w:p w:rsidR="00DA49AC" w:rsidRPr="000F6792" w:rsidRDefault="00DA49AC" w:rsidP="00FC3E0E">
            <w:pPr>
              <w:spacing w:line="240" w:lineRule="auto"/>
              <w:jc w:val="center"/>
              <w:rPr>
                <w:color w:val="000000"/>
              </w:rPr>
            </w:pPr>
            <w:r>
              <w:rPr>
                <w:color w:val="000000"/>
              </w:rPr>
              <w:t>1.0</w:t>
            </w:r>
          </w:p>
        </w:tc>
        <w:tc>
          <w:tcPr>
            <w:tcW w:w="680" w:type="pct"/>
            <w:noWrap/>
            <w:vAlign w:val="bottom"/>
          </w:tcPr>
          <w:p w:rsidR="00DA49AC" w:rsidRPr="000F6792" w:rsidRDefault="00DA49AC" w:rsidP="00FC3E0E">
            <w:pPr>
              <w:spacing w:line="240" w:lineRule="auto"/>
              <w:jc w:val="center"/>
              <w:rPr>
                <w:color w:val="000000"/>
              </w:rPr>
            </w:pPr>
            <w:r>
              <w:rPr>
                <w:color w:val="000000"/>
              </w:rPr>
              <w:t>1.7</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0.7</w:t>
            </w:r>
          </w:p>
        </w:tc>
        <w:tc>
          <w:tcPr>
            <w:tcW w:w="680" w:type="pct"/>
            <w:noWrap/>
            <w:vAlign w:val="bottom"/>
          </w:tcPr>
          <w:p w:rsidR="00DA49AC" w:rsidRPr="000F6792" w:rsidRDefault="00DA49AC" w:rsidP="00FC3E0E">
            <w:pPr>
              <w:spacing w:line="240" w:lineRule="auto"/>
              <w:jc w:val="center"/>
              <w:rPr>
                <w:color w:val="000000"/>
              </w:rPr>
            </w:pPr>
            <w:r>
              <w:rPr>
                <w:color w:val="000000"/>
              </w:rPr>
              <w:t>0.5</w:t>
            </w:r>
          </w:p>
        </w:tc>
        <w:tc>
          <w:tcPr>
            <w:tcW w:w="574" w:type="pct"/>
            <w:noWrap/>
            <w:vAlign w:val="bottom"/>
          </w:tcPr>
          <w:p w:rsidR="00DA49AC" w:rsidRPr="000F6792" w:rsidRDefault="00DA49AC" w:rsidP="00FC3E0E">
            <w:pPr>
              <w:spacing w:line="240" w:lineRule="auto"/>
              <w:jc w:val="center"/>
              <w:rPr>
                <w:color w:val="000000"/>
              </w:rPr>
            </w:pPr>
            <w:r>
              <w:rPr>
                <w:color w:val="000000"/>
              </w:rPr>
              <w:t>2.0</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p>
        </w:tc>
        <w:tc>
          <w:tcPr>
            <w:tcW w:w="576" w:type="pct"/>
            <w:noWrap/>
            <w:vAlign w:val="bottom"/>
          </w:tcPr>
          <w:p w:rsidR="00DA49AC" w:rsidRPr="000F6792" w:rsidRDefault="00DA49AC" w:rsidP="00FC3E0E">
            <w:pPr>
              <w:spacing w:line="240" w:lineRule="auto"/>
              <w:jc w:val="center"/>
              <w:rPr>
                <w:color w:val="000000"/>
              </w:rPr>
            </w:pPr>
          </w:p>
        </w:tc>
        <w:tc>
          <w:tcPr>
            <w:tcW w:w="680" w:type="pct"/>
            <w:noWrap/>
            <w:vAlign w:val="bottom"/>
          </w:tcPr>
          <w:p w:rsidR="00DA49AC" w:rsidRPr="000F6792" w:rsidRDefault="00DA49AC" w:rsidP="00FC3E0E">
            <w:pPr>
              <w:spacing w:line="240" w:lineRule="auto"/>
              <w:jc w:val="center"/>
              <w:rPr>
                <w:color w:val="000000"/>
              </w:rPr>
            </w:pP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p>
        </w:tc>
        <w:tc>
          <w:tcPr>
            <w:tcW w:w="680" w:type="pct"/>
            <w:noWrap/>
            <w:vAlign w:val="bottom"/>
          </w:tcPr>
          <w:p w:rsidR="00DA49AC" w:rsidRPr="000F6792" w:rsidRDefault="00DA49AC" w:rsidP="00FC3E0E">
            <w:pPr>
              <w:spacing w:line="240" w:lineRule="auto"/>
              <w:jc w:val="center"/>
              <w:rPr>
                <w:color w:val="000000"/>
              </w:rPr>
            </w:pPr>
          </w:p>
        </w:tc>
        <w:tc>
          <w:tcPr>
            <w:tcW w:w="574" w:type="pct"/>
            <w:noWrap/>
            <w:vAlign w:val="bottom"/>
          </w:tcPr>
          <w:p w:rsidR="00DA49AC" w:rsidRPr="000F6792" w:rsidRDefault="00DA49AC" w:rsidP="00FC3E0E">
            <w:pPr>
              <w:spacing w:line="240" w:lineRule="auto"/>
              <w:jc w:val="center"/>
              <w:rPr>
                <w:color w:val="000000"/>
              </w:rPr>
            </w:pP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r w:rsidRPr="000F6792">
              <w:rPr>
                <w:color w:val="000000"/>
              </w:rPr>
              <w:t>Total</w:t>
            </w:r>
          </w:p>
        </w:tc>
        <w:tc>
          <w:tcPr>
            <w:tcW w:w="576" w:type="pct"/>
            <w:noWrap/>
            <w:vAlign w:val="bottom"/>
          </w:tcPr>
          <w:p w:rsidR="00DA49AC" w:rsidRPr="000F6792" w:rsidRDefault="00DA49AC" w:rsidP="00FC3E0E">
            <w:pPr>
              <w:spacing w:line="240" w:lineRule="auto"/>
              <w:jc w:val="center"/>
              <w:rPr>
                <w:color w:val="000000"/>
              </w:rPr>
            </w:pPr>
            <w:r>
              <w:rPr>
                <w:color w:val="000000"/>
              </w:rPr>
              <w:t>100.0</w:t>
            </w:r>
          </w:p>
        </w:tc>
        <w:tc>
          <w:tcPr>
            <w:tcW w:w="680" w:type="pct"/>
            <w:noWrap/>
            <w:vAlign w:val="bottom"/>
          </w:tcPr>
          <w:p w:rsidR="00DA49AC" w:rsidRPr="000F6792" w:rsidRDefault="00DA49AC" w:rsidP="00FC3E0E">
            <w:pPr>
              <w:spacing w:line="240" w:lineRule="auto"/>
              <w:jc w:val="center"/>
              <w:rPr>
                <w:color w:val="000000"/>
              </w:rPr>
            </w:pPr>
            <w:r>
              <w:rPr>
                <w:color w:val="000000"/>
              </w:rPr>
              <w:t>100.0</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Pr>
                <w:color w:val="000000"/>
              </w:rPr>
              <w:t>100.0</w:t>
            </w:r>
          </w:p>
        </w:tc>
        <w:tc>
          <w:tcPr>
            <w:tcW w:w="680" w:type="pct"/>
            <w:noWrap/>
            <w:vAlign w:val="bottom"/>
          </w:tcPr>
          <w:p w:rsidR="00DA49AC" w:rsidRPr="000F6792" w:rsidRDefault="00DA49AC" w:rsidP="00FC3E0E">
            <w:pPr>
              <w:spacing w:line="240" w:lineRule="auto"/>
              <w:jc w:val="center"/>
              <w:rPr>
                <w:color w:val="000000"/>
              </w:rPr>
            </w:pPr>
            <w:r>
              <w:rPr>
                <w:color w:val="000000"/>
              </w:rPr>
              <w:t>100.0</w:t>
            </w:r>
          </w:p>
        </w:tc>
        <w:tc>
          <w:tcPr>
            <w:tcW w:w="574" w:type="pct"/>
            <w:noWrap/>
            <w:vAlign w:val="bottom"/>
          </w:tcPr>
          <w:p w:rsidR="00DA49AC" w:rsidRPr="000F6792" w:rsidRDefault="00DA49AC" w:rsidP="00FC3E0E">
            <w:pPr>
              <w:spacing w:line="240" w:lineRule="auto"/>
              <w:jc w:val="center"/>
              <w:rPr>
                <w:color w:val="000000"/>
              </w:rPr>
            </w:pPr>
            <w:r>
              <w:rPr>
                <w:color w:val="000000"/>
              </w:rPr>
              <w:t>100.0</w:t>
            </w:r>
          </w:p>
        </w:tc>
      </w:tr>
      <w:tr w:rsidR="00DA49AC" w:rsidRPr="003301F4" w:rsidTr="00FC3E0E">
        <w:trPr>
          <w:trHeight w:val="300"/>
        </w:trPr>
        <w:tc>
          <w:tcPr>
            <w:tcW w:w="1335" w:type="pct"/>
            <w:noWrap/>
            <w:vAlign w:val="bottom"/>
          </w:tcPr>
          <w:p w:rsidR="00DA49AC" w:rsidRPr="000F6792" w:rsidRDefault="00DA49AC" w:rsidP="00FC3E0E">
            <w:pPr>
              <w:spacing w:line="240" w:lineRule="auto"/>
              <w:rPr>
                <w:color w:val="000000"/>
              </w:rPr>
            </w:pPr>
          </w:p>
        </w:tc>
        <w:tc>
          <w:tcPr>
            <w:tcW w:w="576" w:type="pct"/>
            <w:noWrap/>
            <w:vAlign w:val="bottom"/>
          </w:tcPr>
          <w:p w:rsidR="00DA49AC" w:rsidRPr="000F6792" w:rsidRDefault="00DA49AC" w:rsidP="00FC3E0E">
            <w:pPr>
              <w:spacing w:line="240" w:lineRule="auto"/>
              <w:jc w:val="center"/>
              <w:rPr>
                <w:color w:val="000000"/>
              </w:rPr>
            </w:pPr>
          </w:p>
        </w:tc>
        <w:tc>
          <w:tcPr>
            <w:tcW w:w="680" w:type="pct"/>
            <w:noWrap/>
            <w:vAlign w:val="bottom"/>
          </w:tcPr>
          <w:p w:rsidR="00DA49AC" w:rsidRPr="000F6792" w:rsidRDefault="00DA49AC" w:rsidP="00FC3E0E">
            <w:pPr>
              <w:spacing w:line="240" w:lineRule="auto"/>
              <w:jc w:val="center"/>
              <w:rPr>
                <w:color w:val="000000"/>
              </w:rPr>
            </w:pP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p>
        </w:tc>
        <w:tc>
          <w:tcPr>
            <w:tcW w:w="680" w:type="pct"/>
            <w:noWrap/>
            <w:vAlign w:val="bottom"/>
          </w:tcPr>
          <w:p w:rsidR="00DA49AC" w:rsidRPr="000F6792" w:rsidRDefault="00DA49AC" w:rsidP="00FC3E0E">
            <w:pPr>
              <w:spacing w:line="240" w:lineRule="auto"/>
              <w:jc w:val="center"/>
              <w:rPr>
                <w:color w:val="000000"/>
              </w:rPr>
            </w:pPr>
          </w:p>
        </w:tc>
        <w:tc>
          <w:tcPr>
            <w:tcW w:w="574" w:type="pct"/>
            <w:noWrap/>
            <w:vAlign w:val="bottom"/>
          </w:tcPr>
          <w:p w:rsidR="00DA49AC" w:rsidRPr="000F6792" w:rsidRDefault="00DA49AC" w:rsidP="00FC3E0E">
            <w:pPr>
              <w:spacing w:line="240" w:lineRule="auto"/>
              <w:jc w:val="center"/>
              <w:rPr>
                <w:color w:val="000000"/>
              </w:rPr>
            </w:pPr>
          </w:p>
        </w:tc>
      </w:tr>
      <w:tr w:rsidR="00DA49AC" w:rsidRPr="003301F4" w:rsidTr="00FC3E0E">
        <w:trPr>
          <w:trHeight w:val="300"/>
        </w:trPr>
        <w:tc>
          <w:tcPr>
            <w:tcW w:w="1335" w:type="pct"/>
            <w:noWrap/>
            <w:vAlign w:val="bottom"/>
          </w:tcPr>
          <w:p w:rsidR="00DA49AC" w:rsidRPr="00D86156" w:rsidRDefault="00DA49AC" w:rsidP="00FC3E0E">
            <w:pPr>
              <w:spacing w:line="240" w:lineRule="auto"/>
              <w:rPr>
                <w:color w:val="000000"/>
              </w:rPr>
            </w:pPr>
            <w:r>
              <w:rPr>
                <w:color w:val="000000"/>
              </w:rPr>
              <w:t>No. of company-years</w:t>
            </w:r>
          </w:p>
        </w:tc>
        <w:tc>
          <w:tcPr>
            <w:tcW w:w="576" w:type="pct"/>
            <w:noWrap/>
            <w:vAlign w:val="bottom"/>
          </w:tcPr>
          <w:p w:rsidR="00DA49AC" w:rsidRPr="000F6792" w:rsidRDefault="00DA49AC" w:rsidP="00FC3E0E">
            <w:pPr>
              <w:spacing w:line="240" w:lineRule="auto"/>
              <w:jc w:val="center"/>
              <w:rPr>
                <w:color w:val="000000"/>
              </w:rPr>
            </w:pPr>
            <w:r w:rsidRPr="000F6792">
              <w:rPr>
                <w:color w:val="000000"/>
              </w:rPr>
              <w:t>130</w:t>
            </w:r>
          </w:p>
        </w:tc>
        <w:tc>
          <w:tcPr>
            <w:tcW w:w="680" w:type="pct"/>
            <w:noWrap/>
            <w:vAlign w:val="bottom"/>
          </w:tcPr>
          <w:p w:rsidR="00DA49AC" w:rsidRPr="000F6792" w:rsidRDefault="00DA49AC" w:rsidP="00FC3E0E">
            <w:pPr>
              <w:spacing w:line="240" w:lineRule="auto"/>
              <w:jc w:val="center"/>
              <w:rPr>
                <w:color w:val="000000"/>
              </w:rPr>
            </w:pPr>
            <w:r w:rsidRPr="000F6792">
              <w:rPr>
                <w:color w:val="000000"/>
              </w:rPr>
              <w:t>36</w:t>
            </w:r>
          </w:p>
        </w:tc>
        <w:tc>
          <w:tcPr>
            <w:tcW w:w="577" w:type="pct"/>
          </w:tcPr>
          <w:p w:rsidR="00DA49AC" w:rsidRPr="000F6792" w:rsidRDefault="00DA49AC" w:rsidP="00FC3E0E">
            <w:pPr>
              <w:spacing w:line="240" w:lineRule="auto"/>
              <w:jc w:val="center"/>
              <w:rPr>
                <w:color w:val="000000"/>
              </w:rPr>
            </w:pPr>
          </w:p>
        </w:tc>
        <w:tc>
          <w:tcPr>
            <w:tcW w:w="577" w:type="pct"/>
            <w:noWrap/>
            <w:vAlign w:val="bottom"/>
          </w:tcPr>
          <w:p w:rsidR="00DA49AC" w:rsidRPr="000F6792" w:rsidRDefault="00DA49AC" w:rsidP="00FC3E0E">
            <w:pPr>
              <w:spacing w:line="240" w:lineRule="auto"/>
              <w:jc w:val="center"/>
              <w:rPr>
                <w:color w:val="000000"/>
              </w:rPr>
            </w:pPr>
            <w:r w:rsidRPr="000F6792">
              <w:rPr>
                <w:color w:val="000000"/>
              </w:rPr>
              <w:t>9</w:t>
            </w:r>
          </w:p>
        </w:tc>
        <w:tc>
          <w:tcPr>
            <w:tcW w:w="680" w:type="pct"/>
            <w:noWrap/>
            <w:vAlign w:val="bottom"/>
          </w:tcPr>
          <w:p w:rsidR="00DA49AC" w:rsidRPr="000F6792" w:rsidRDefault="00DA49AC" w:rsidP="00FC3E0E">
            <w:pPr>
              <w:spacing w:line="240" w:lineRule="auto"/>
              <w:jc w:val="center"/>
              <w:rPr>
                <w:color w:val="000000"/>
              </w:rPr>
            </w:pPr>
            <w:r w:rsidRPr="000F6792">
              <w:rPr>
                <w:color w:val="000000"/>
              </w:rPr>
              <w:t>11</w:t>
            </w:r>
          </w:p>
        </w:tc>
        <w:tc>
          <w:tcPr>
            <w:tcW w:w="574" w:type="pct"/>
            <w:noWrap/>
            <w:vAlign w:val="bottom"/>
          </w:tcPr>
          <w:p w:rsidR="00DA49AC" w:rsidRPr="000F6792" w:rsidRDefault="00DA49AC" w:rsidP="00FC3E0E">
            <w:pPr>
              <w:spacing w:line="240" w:lineRule="auto"/>
              <w:jc w:val="center"/>
              <w:rPr>
                <w:color w:val="000000"/>
              </w:rPr>
            </w:pPr>
            <w:r w:rsidRPr="000F6792">
              <w:rPr>
                <w:color w:val="000000"/>
              </w:rPr>
              <w:t>126</w:t>
            </w:r>
          </w:p>
        </w:tc>
      </w:tr>
      <w:tr w:rsidR="00DA49AC" w:rsidRPr="003301F4" w:rsidTr="001C642D">
        <w:trPr>
          <w:trHeight w:val="300"/>
        </w:trPr>
        <w:tc>
          <w:tcPr>
            <w:tcW w:w="1335" w:type="pct"/>
            <w:tcBorders>
              <w:bottom w:val="nil"/>
            </w:tcBorders>
            <w:noWrap/>
            <w:vAlign w:val="bottom"/>
          </w:tcPr>
          <w:p w:rsidR="00DA49AC" w:rsidRPr="00D86156" w:rsidRDefault="00DA49AC" w:rsidP="002A7ADE">
            <w:pPr>
              <w:spacing w:line="240" w:lineRule="auto"/>
              <w:rPr>
                <w:color w:val="000000"/>
              </w:rPr>
            </w:pPr>
            <w:r>
              <w:rPr>
                <w:color w:val="000000"/>
              </w:rPr>
              <w:t>No. of securities</w:t>
            </w:r>
          </w:p>
        </w:tc>
        <w:tc>
          <w:tcPr>
            <w:tcW w:w="576" w:type="pct"/>
            <w:tcBorders>
              <w:bottom w:val="nil"/>
            </w:tcBorders>
            <w:noWrap/>
            <w:vAlign w:val="bottom"/>
          </w:tcPr>
          <w:p w:rsidR="00DA49AC" w:rsidRPr="000F6792" w:rsidRDefault="00DA49AC" w:rsidP="00FC3E0E">
            <w:pPr>
              <w:spacing w:line="240" w:lineRule="auto"/>
              <w:jc w:val="center"/>
              <w:rPr>
                <w:color w:val="000000"/>
              </w:rPr>
            </w:pPr>
            <w:r w:rsidRPr="000F6792">
              <w:rPr>
                <w:color w:val="000000"/>
              </w:rPr>
              <w:t>159</w:t>
            </w:r>
          </w:p>
        </w:tc>
        <w:tc>
          <w:tcPr>
            <w:tcW w:w="680" w:type="pct"/>
            <w:tcBorders>
              <w:bottom w:val="nil"/>
            </w:tcBorders>
            <w:noWrap/>
            <w:vAlign w:val="bottom"/>
          </w:tcPr>
          <w:p w:rsidR="00DA49AC" w:rsidRPr="000F6792" w:rsidRDefault="00DA49AC" w:rsidP="00FC3E0E">
            <w:pPr>
              <w:spacing w:line="240" w:lineRule="auto"/>
              <w:jc w:val="center"/>
              <w:rPr>
                <w:color w:val="000000"/>
              </w:rPr>
            </w:pPr>
            <w:r w:rsidRPr="000F6792">
              <w:rPr>
                <w:color w:val="000000"/>
              </w:rPr>
              <w:t>48</w:t>
            </w:r>
          </w:p>
        </w:tc>
        <w:tc>
          <w:tcPr>
            <w:tcW w:w="577" w:type="pct"/>
            <w:tcBorders>
              <w:bottom w:val="nil"/>
            </w:tcBorders>
          </w:tcPr>
          <w:p w:rsidR="00DA49AC" w:rsidRPr="000F6792" w:rsidRDefault="00DA49AC" w:rsidP="00FC3E0E">
            <w:pPr>
              <w:spacing w:line="240" w:lineRule="auto"/>
              <w:jc w:val="center"/>
              <w:rPr>
                <w:color w:val="000000"/>
              </w:rPr>
            </w:pPr>
          </w:p>
        </w:tc>
        <w:tc>
          <w:tcPr>
            <w:tcW w:w="577" w:type="pct"/>
            <w:tcBorders>
              <w:bottom w:val="nil"/>
            </w:tcBorders>
            <w:noWrap/>
            <w:vAlign w:val="bottom"/>
          </w:tcPr>
          <w:p w:rsidR="00DA49AC" w:rsidRPr="000F6792" w:rsidRDefault="00DA49AC" w:rsidP="00FC3E0E">
            <w:pPr>
              <w:spacing w:line="240" w:lineRule="auto"/>
              <w:jc w:val="center"/>
              <w:rPr>
                <w:color w:val="000000"/>
              </w:rPr>
            </w:pPr>
            <w:r w:rsidRPr="000F6792">
              <w:rPr>
                <w:color w:val="000000"/>
              </w:rPr>
              <w:t>11</w:t>
            </w:r>
          </w:p>
        </w:tc>
        <w:tc>
          <w:tcPr>
            <w:tcW w:w="680" w:type="pct"/>
            <w:tcBorders>
              <w:bottom w:val="nil"/>
            </w:tcBorders>
            <w:noWrap/>
            <w:vAlign w:val="bottom"/>
          </w:tcPr>
          <w:p w:rsidR="00DA49AC" w:rsidRPr="000F6792" w:rsidRDefault="00DA49AC" w:rsidP="00FC3E0E">
            <w:pPr>
              <w:spacing w:line="240" w:lineRule="auto"/>
              <w:jc w:val="center"/>
              <w:rPr>
                <w:color w:val="000000"/>
              </w:rPr>
            </w:pPr>
            <w:r w:rsidRPr="000F6792">
              <w:rPr>
                <w:color w:val="000000"/>
              </w:rPr>
              <w:t>15</w:t>
            </w:r>
          </w:p>
        </w:tc>
        <w:tc>
          <w:tcPr>
            <w:tcW w:w="574" w:type="pct"/>
            <w:tcBorders>
              <w:bottom w:val="nil"/>
            </w:tcBorders>
            <w:noWrap/>
            <w:vAlign w:val="bottom"/>
          </w:tcPr>
          <w:p w:rsidR="00DA49AC" w:rsidRPr="000F6792" w:rsidRDefault="00DA49AC" w:rsidP="00FC3E0E">
            <w:pPr>
              <w:spacing w:line="240" w:lineRule="auto"/>
              <w:jc w:val="center"/>
              <w:rPr>
                <w:color w:val="000000"/>
              </w:rPr>
            </w:pPr>
            <w:r w:rsidRPr="000F6792">
              <w:rPr>
                <w:color w:val="000000"/>
              </w:rPr>
              <w:t>146</w:t>
            </w:r>
          </w:p>
        </w:tc>
      </w:tr>
      <w:tr w:rsidR="00DA49AC" w:rsidRPr="003301F4" w:rsidTr="001C642D">
        <w:trPr>
          <w:trHeight w:val="300"/>
        </w:trPr>
        <w:tc>
          <w:tcPr>
            <w:tcW w:w="1335" w:type="pct"/>
            <w:tcBorders>
              <w:top w:val="nil"/>
              <w:bottom w:val="single" w:sz="4" w:space="0" w:color="auto"/>
            </w:tcBorders>
            <w:noWrap/>
            <w:vAlign w:val="bottom"/>
          </w:tcPr>
          <w:p w:rsidR="00DA49AC" w:rsidRPr="000F6792" w:rsidRDefault="00DA49AC" w:rsidP="00FC3E0E">
            <w:pPr>
              <w:spacing w:line="240" w:lineRule="auto"/>
              <w:rPr>
                <w:color w:val="000000"/>
              </w:rPr>
            </w:pPr>
          </w:p>
        </w:tc>
        <w:tc>
          <w:tcPr>
            <w:tcW w:w="576" w:type="pct"/>
            <w:tcBorders>
              <w:top w:val="nil"/>
              <w:bottom w:val="single" w:sz="4" w:space="0" w:color="auto"/>
            </w:tcBorders>
            <w:noWrap/>
            <w:vAlign w:val="bottom"/>
          </w:tcPr>
          <w:p w:rsidR="00DA49AC" w:rsidRPr="000F6792" w:rsidRDefault="00DA49AC" w:rsidP="00FC3E0E">
            <w:pPr>
              <w:spacing w:line="240" w:lineRule="auto"/>
              <w:jc w:val="center"/>
              <w:rPr>
                <w:color w:val="000000"/>
              </w:rPr>
            </w:pPr>
          </w:p>
        </w:tc>
        <w:tc>
          <w:tcPr>
            <w:tcW w:w="680" w:type="pct"/>
            <w:tcBorders>
              <w:top w:val="nil"/>
              <w:bottom w:val="single" w:sz="4" w:space="0" w:color="auto"/>
            </w:tcBorders>
            <w:noWrap/>
            <w:vAlign w:val="bottom"/>
          </w:tcPr>
          <w:p w:rsidR="00DA49AC" w:rsidRPr="000F6792" w:rsidRDefault="00DA49AC" w:rsidP="00FC3E0E">
            <w:pPr>
              <w:spacing w:line="240" w:lineRule="auto"/>
              <w:jc w:val="center"/>
              <w:rPr>
                <w:color w:val="000000"/>
              </w:rPr>
            </w:pPr>
          </w:p>
        </w:tc>
        <w:tc>
          <w:tcPr>
            <w:tcW w:w="577" w:type="pct"/>
            <w:tcBorders>
              <w:top w:val="nil"/>
              <w:bottom w:val="single" w:sz="4" w:space="0" w:color="auto"/>
            </w:tcBorders>
          </w:tcPr>
          <w:p w:rsidR="00DA49AC" w:rsidRPr="000F6792" w:rsidRDefault="00DA49AC" w:rsidP="00FC3E0E">
            <w:pPr>
              <w:spacing w:line="240" w:lineRule="auto"/>
              <w:jc w:val="center"/>
              <w:rPr>
                <w:color w:val="000000"/>
              </w:rPr>
            </w:pPr>
          </w:p>
        </w:tc>
        <w:tc>
          <w:tcPr>
            <w:tcW w:w="577" w:type="pct"/>
            <w:tcBorders>
              <w:top w:val="nil"/>
              <w:bottom w:val="single" w:sz="4" w:space="0" w:color="auto"/>
            </w:tcBorders>
            <w:noWrap/>
            <w:vAlign w:val="bottom"/>
          </w:tcPr>
          <w:p w:rsidR="00DA49AC" w:rsidRPr="000F6792" w:rsidRDefault="00DA49AC" w:rsidP="00FC3E0E">
            <w:pPr>
              <w:spacing w:line="240" w:lineRule="auto"/>
              <w:jc w:val="center"/>
              <w:rPr>
                <w:color w:val="000000"/>
              </w:rPr>
            </w:pPr>
          </w:p>
        </w:tc>
        <w:tc>
          <w:tcPr>
            <w:tcW w:w="680" w:type="pct"/>
            <w:tcBorders>
              <w:top w:val="nil"/>
              <w:bottom w:val="single" w:sz="4" w:space="0" w:color="auto"/>
            </w:tcBorders>
            <w:noWrap/>
            <w:vAlign w:val="bottom"/>
          </w:tcPr>
          <w:p w:rsidR="00DA49AC" w:rsidRPr="000F6792" w:rsidRDefault="00DA49AC" w:rsidP="00FC3E0E">
            <w:pPr>
              <w:spacing w:line="240" w:lineRule="auto"/>
              <w:jc w:val="center"/>
              <w:rPr>
                <w:color w:val="000000"/>
              </w:rPr>
            </w:pPr>
          </w:p>
        </w:tc>
        <w:tc>
          <w:tcPr>
            <w:tcW w:w="574" w:type="pct"/>
            <w:tcBorders>
              <w:top w:val="nil"/>
              <w:bottom w:val="single" w:sz="4" w:space="0" w:color="auto"/>
            </w:tcBorders>
            <w:noWrap/>
            <w:vAlign w:val="bottom"/>
          </w:tcPr>
          <w:p w:rsidR="00DA49AC" w:rsidRPr="000F6792" w:rsidRDefault="00DA49AC" w:rsidP="00FC3E0E">
            <w:pPr>
              <w:spacing w:line="240" w:lineRule="auto"/>
              <w:jc w:val="center"/>
              <w:rPr>
                <w:color w:val="000000"/>
              </w:rPr>
            </w:pPr>
          </w:p>
        </w:tc>
      </w:tr>
    </w:tbl>
    <w:p w:rsidR="00DA49AC" w:rsidRDefault="00DA49AC" w:rsidP="001C642D">
      <w:pPr>
        <w:spacing w:line="240" w:lineRule="auto"/>
      </w:pPr>
      <w:r w:rsidRPr="006D587B">
        <w:rPr>
          <w:i/>
        </w:rPr>
        <w:t>Sources</w:t>
      </w:r>
      <w:r>
        <w:t>: See text</w:t>
      </w:r>
    </w:p>
    <w:p w:rsidR="00DA49AC" w:rsidRDefault="00DA49AC" w:rsidP="001C642D">
      <w:pPr>
        <w:spacing w:line="240" w:lineRule="auto"/>
        <w:jc w:val="both"/>
      </w:pPr>
      <w:r w:rsidRPr="006D587B">
        <w:rPr>
          <w:i/>
        </w:rPr>
        <w:t>Notes</w:t>
      </w:r>
      <w:r>
        <w:t xml:space="preserve">: See text for definitions of occupations.  The number of securities differs from the number of company-years because some companies issued both ordinary and preference shares. </w:t>
      </w:r>
    </w:p>
    <w:p w:rsidR="00DA49AC" w:rsidRDefault="00DA49AC" w:rsidP="007A761D">
      <w:pPr>
        <w:spacing w:line="240" w:lineRule="auto"/>
        <w:jc w:val="both"/>
        <w:rPr>
          <w:sz w:val="24"/>
          <w:szCs w:val="24"/>
        </w:rPr>
      </w:pPr>
    </w:p>
    <w:p w:rsidR="00DA49AC" w:rsidRDefault="00DA49AC">
      <w:pPr>
        <w:spacing w:line="276" w:lineRule="auto"/>
        <w:rPr>
          <w:sz w:val="24"/>
          <w:szCs w:val="24"/>
        </w:rPr>
      </w:pPr>
      <w:r>
        <w:rPr>
          <w:sz w:val="24"/>
          <w:szCs w:val="24"/>
        </w:rPr>
        <w:br w:type="page"/>
      </w:r>
    </w:p>
    <w:p w:rsidR="00DA49AC" w:rsidRDefault="00DA49AC" w:rsidP="007A761D">
      <w:pPr>
        <w:spacing w:line="240" w:lineRule="auto"/>
        <w:jc w:val="both"/>
        <w:rPr>
          <w:sz w:val="24"/>
          <w:szCs w:val="24"/>
        </w:rPr>
      </w:pPr>
      <w:r>
        <w:rPr>
          <w:i/>
          <w:sz w:val="24"/>
          <w:szCs w:val="24"/>
        </w:rPr>
        <w:t>Table 8</w:t>
      </w:r>
      <w:r>
        <w:rPr>
          <w:sz w:val="24"/>
          <w:szCs w:val="24"/>
        </w:rPr>
        <w:t xml:space="preserve">. </w:t>
      </w:r>
      <w:r>
        <w:rPr>
          <w:sz w:val="24"/>
          <w:szCs w:val="24"/>
        </w:rPr>
        <w:tab/>
        <w:t>Descriptive statistics for dependent and independent variables</w:t>
      </w:r>
    </w:p>
    <w:tbl>
      <w:tblPr>
        <w:tblW w:w="9229" w:type="dxa"/>
        <w:tblInd w:w="93" w:type="dxa"/>
        <w:tblBorders>
          <w:top w:val="double" w:sz="4" w:space="0" w:color="auto"/>
          <w:bottom w:val="double" w:sz="4" w:space="0" w:color="auto"/>
        </w:tblBorders>
        <w:tblLayout w:type="fixed"/>
        <w:tblLook w:val="00A0"/>
      </w:tblPr>
      <w:tblGrid>
        <w:gridCol w:w="1858"/>
        <w:gridCol w:w="1134"/>
        <w:gridCol w:w="992"/>
        <w:gridCol w:w="1276"/>
        <w:gridCol w:w="1512"/>
        <w:gridCol w:w="1040"/>
        <w:gridCol w:w="1417"/>
      </w:tblGrid>
      <w:tr w:rsidR="00DA49AC" w:rsidRPr="003301F4" w:rsidTr="005448DD">
        <w:trPr>
          <w:trHeight w:val="300"/>
        </w:trPr>
        <w:tc>
          <w:tcPr>
            <w:tcW w:w="1858" w:type="dxa"/>
            <w:tcBorders>
              <w:top w:val="single" w:sz="4" w:space="0" w:color="auto"/>
            </w:tcBorders>
            <w:noWrap/>
            <w:vAlign w:val="bottom"/>
          </w:tcPr>
          <w:p w:rsidR="00DA49AC" w:rsidRPr="00EE5BB1" w:rsidRDefault="00DA49AC" w:rsidP="005448DD">
            <w:pPr>
              <w:spacing w:line="240" w:lineRule="auto"/>
              <w:rPr>
                <w:color w:val="000000"/>
              </w:rPr>
            </w:pPr>
          </w:p>
        </w:tc>
        <w:tc>
          <w:tcPr>
            <w:tcW w:w="1134" w:type="dxa"/>
            <w:tcBorders>
              <w:top w:val="single" w:sz="4" w:space="0" w:color="auto"/>
              <w:bottom w:val="single" w:sz="4" w:space="0" w:color="auto"/>
            </w:tcBorders>
            <w:noWrap/>
          </w:tcPr>
          <w:p w:rsidR="00DA49AC" w:rsidRPr="001C10E6" w:rsidRDefault="00DA49AC" w:rsidP="005448DD">
            <w:pPr>
              <w:spacing w:line="240" w:lineRule="auto"/>
              <w:jc w:val="center"/>
              <w:rPr>
                <w:color w:val="000000"/>
              </w:rPr>
            </w:pPr>
            <w:r w:rsidRPr="001C10E6">
              <w:rPr>
                <w:color w:val="000000"/>
              </w:rPr>
              <w:t>N</w:t>
            </w:r>
          </w:p>
        </w:tc>
        <w:tc>
          <w:tcPr>
            <w:tcW w:w="992" w:type="dxa"/>
            <w:tcBorders>
              <w:top w:val="single" w:sz="4" w:space="0" w:color="auto"/>
              <w:bottom w:val="single" w:sz="4" w:space="0" w:color="auto"/>
            </w:tcBorders>
            <w:noWrap/>
          </w:tcPr>
          <w:p w:rsidR="00DA49AC" w:rsidRPr="001C10E6" w:rsidRDefault="00DA49AC" w:rsidP="005448DD">
            <w:pPr>
              <w:spacing w:line="240" w:lineRule="auto"/>
              <w:jc w:val="center"/>
              <w:rPr>
                <w:color w:val="000000"/>
              </w:rPr>
            </w:pPr>
            <w:r w:rsidRPr="001C10E6">
              <w:rPr>
                <w:color w:val="000000"/>
              </w:rPr>
              <w:t>Mean</w:t>
            </w:r>
          </w:p>
        </w:tc>
        <w:tc>
          <w:tcPr>
            <w:tcW w:w="1276" w:type="dxa"/>
            <w:tcBorders>
              <w:top w:val="single" w:sz="4" w:space="0" w:color="auto"/>
              <w:bottom w:val="single" w:sz="4" w:space="0" w:color="auto"/>
            </w:tcBorders>
            <w:noWrap/>
          </w:tcPr>
          <w:p w:rsidR="00DA49AC" w:rsidRPr="001C10E6" w:rsidRDefault="00DA49AC" w:rsidP="005448DD">
            <w:pPr>
              <w:spacing w:line="240" w:lineRule="auto"/>
              <w:jc w:val="center"/>
              <w:rPr>
                <w:color w:val="000000"/>
              </w:rPr>
            </w:pPr>
            <w:r>
              <w:rPr>
                <w:color w:val="000000"/>
              </w:rPr>
              <w:t>Standard deviation</w:t>
            </w:r>
          </w:p>
        </w:tc>
        <w:tc>
          <w:tcPr>
            <w:tcW w:w="1512" w:type="dxa"/>
            <w:tcBorders>
              <w:top w:val="single" w:sz="4" w:space="0" w:color="auto"/>
              <w:bottom w:val="single" w:sz="4" w:space="0" w:color="auto"/>
            </w:tcBorders>
            <w:noWrap/>
          </w:tcPr>
          <w:p w:rsidR="00DA49AC" w:rsidRPr="001C10E6" w:rsidRDefault="00DA49AC" w:rsidP="005448DD">
            <w:pPr>
              <w:spacing w:line="240" w:lineRule="auto"/>
              <w:jc w:val="center"/>
              <w:rPr>
                <w:color w:val="000000"/>
              </w:rPr>
            </w:pPr>
            <w:r w:rsidRPr="001C10E6">
              <w:rPr>
                <w:color w:val="000000"/>
              </w:rPr>
              <w:t>1</w:t>
            </w:r>
            <w:r w:rsidRPr="001C10E6">
              <w:rPr>
                <w:color w:val="000000"/>
                <w:vertAlign w:val="superscript"/>
              </w:rPr>
              <w:t>st</w:t>
            </w:r>
            <w:r w:rsidRPr="001C10E6">
              <w:rPr>
                <w:color w:val="000000"/>
              </w:rPr>
              <w:t xml:space="preserve"> percentile</w:t>
            </w:r>
          </w:p>
        </w:tc>
        <w:tc>
          <w:tcPr>
            <w:tcW w:w="1040" w:type="dxa"/>
            <w:tcBorders>
              <w:top w:val="single" w:sz="4" w:space="0" w:color="auto"/>
              <w:bottom w:val="single" w:sz="4" w:space="0" w:color="auto"/>
            </w:tcBorders>
            <w:noWrap/>
          </w:tcPr>
          <w:p w:rsidR="00DA49AC" w:rsidRPr="001C10E6" w:rsidRDefault="00DA49AC" w:rsidP="005448DD">
            <w:pPr>
              <w:spacing w:line="240" w:lineRule="auto"/>
              <w:jc w:val="center"/>
              <w:rPr>
                <w:color w:val="000000"/>
              </w:rPr>
            </w:pPr>
            <w:r w:rsidRPr="001C10E6">
              <w:rPr>
                <w:color w:val="000000"/>
              </w:rPr>
              <w:t>Median</w:t>
            </w:r>
          </w:p>
        </w:tc>
        <w:tc>
          <w:tcPr>
            <w:tcW w:w="1417" w:type="dxa"/>
            <w:tcBorders>
              <w:top w:val="single" w:sz="4" w:space="0" w:color="auto"/>
              <w:bottom w:val="single" w:sz="4" w:space="0" w:color="auto"/>
            </w:tcBorders>
            <w:noWrap/>
          </w:tcPr>
          <w:p w:rsidR="00DA49AC" w:rsidRPr="001C10E6" w:rsidRDefault="00DA49AC" w:rsidP="005448DD">
            <w:pPr>
              <w:spacing w:line="240" w:lineRule="auto"/>
              <w:jc w:val="center"/>
              <w:rPr>
                <w:color w:val="000000"/>
              </w:rPr>
            </w:pPr>
            <w:r w:rsidRPr="001C10E6">
              <w:rPr>
                <w:color w:val="000000"/>
              </w:rPr>
              <w:t>99</w:t>
            </w:r>
            <w:r w:rsidRPr="001C10E6">
              <w:rPr>
                <w:color w:val="000000"/>
                <w:vertAlign w:val="superscript"/>
              </w:rPr>
              <w:t>th</w:t>
            </w:r>
            <w:r w:rsidRPr="001C10E6">
              <w:rPr>
                <w:color w:val="000000"/>
              </w:rPr>
              <w:t xml:space="preserve"> percentile</w:t>
            </w:r>
          </w:p>
        </w:tc>
      </w:tr>
      <w:tr w:rsidR="00DA49AC" w:rsidRPr="003301F4" w:rsidTr="005448DD">
        <w:trPr>
          <w:trHeight w:val="300"/>
        </w:trPr>
        <w:tc>
          <w:tcPr>
            <w:tcW w:w="1858" w:type="dxa"/>
            <w:noWrap/>
            <w:vAlign w:val="bottom"/>
          </w:tcPr>
          <w:p w:rsidR="00DA49AC" w:rsidRPr="00EE5BB1" w:rsidRDefault="00DA49AC" w:rsidP="005448DD">
            <w:pPr>
              <w:spacing w:line="240" w:lineRule="auto"/>
              <w:rPr>
                <w:color w:val="000000"/>
              </w:rPr>
            </w:pPr>
          </w:p>
        </w:tc>
        <w:tc>
          <w:tcPr>
            <w:tcW w:w="1134" w:type="dxa"/>
            <w:tcBorders>
              <w:top w:val="single" w:sz="4" w:space="0" w:color="auto"/>
            </w:tcBorders>
            <w:noWrap/>
            <w:vAlign w:val="bottom"/>
          </w:tcPr>
          <w:p w:rsidR="00DA49AC" w:rsidRPr="00EE5BB1" w:rsidRDefault="00DA49AC" w:rsidP="005448DD">
            <w:pPr>
              <w:spacing w:line="240" w:lineRule="auto"/>
              <w:rPr>
                <w:color w:val="000000"/>
              </w:rPr>
            </w:pPr>
          </w:p>
        </w:tc>
        <w:tc>
          <w:tcPr>
            <w:tcW w:w="992" w:type="dxa"/>
            <w:tcBorders>
              <w:top w:val="single" w:sz="4" w:space="0" w:color="auto"/>
            </w:tcBorders>
            <w:noWrap/>
            <w:vAlign w:val="bottom"/>
          </w:tcPr>
          <w:p w:rsidR="00DA49AC" w:rsidRPr="00EE5BB1" w:rsidRDefault="00DA49AC" w:rsidP="005448DD">
            <w:pPr>
              <w:spacing w:line="240" w:lineRule="auto"/>
              <w:rPr>
                <w:color w:val="000000"/>
              </w:rPr>
            </w:pPr>
          </w:p>
        </w:tc>
        <w:tc>
          <w:tcPr>
            <w:tcW w:w="1276" w:type="dxa"/>
            <w:tcBorders>
              <w:top w:val="single" w:sz="4" w:space="0" w:color="auto"/>
            </w:tcBorders>
            <w:noWrap/>
            <w:vAlign w:val="bottom"/>
          </w:tcPr>
          <w:p w:rsidR="00DA49AC" w:rsidRPr="00EE5BB1" w:rsidRDefault="00DA49AC" w:rsidP="005448DD">
            <w:pPr>
              <w:spacing w:line="240" w:lineRule="auto"/>
              <w:rPr>
                <w:color w:val="000000"/>
              </w:rPr>
            </w:pPr>
          </w:p>
        </w:tc>
        <w:tc>
          <w:tcPr>
            <w:tcW w:w="1512" w:type="dxa"/>
            <w:tcBorders>
              <w:top w:val="single" w:sz="4" w:space="0" w:color="auto"/>
            </w:tcBorders>
            <w:noWrap/>
            <w:vAlign w:val="bottom"/>
          </w:tcPr>
          <w:p w:rsidR="00DA49AC" w:rsidRPr="00EE5BB1" w:rsidRDefault="00DA49AC" w:rsidP="005448DD">
            <w:pPr>
              <w:spacing w:line="240" w:lineRule="auto"/>
              <w:rPr>
                <w:color w:val="000000"/>
              </w:rPr>
            </w:pPr>
          </w:p>
        </w:tc>
        <w:tc>
          <w:tcPr>
            <w:tcW w:w="1040" w:type="dxa"/>
            <w:tcBorders>
              <w:top w:val="single" w:sz="4" w:space="0" w:color="auto"/>
            </w:tcBorders>
            <w:noWrap/>
            <w:vAlign w:val="bottom"/>
          </w:tcPr>
          <w:p w:rsidR="00DA49AC" w:rsidRPr="00EE5BB1" w:rsidRDefault="00DA49AC" w:rsidP="005448DD">
            <w:pPr>
              <w:spacing w:line="240" w:lineRule="auto"/>
              <w:rPr>
                <w:color w:val="000000"/>
              </w:rPr>
            </w:pPr>
          </w:p>
        </w:tc>
        <w:tc>
          <w:tcPr>
            <w:tcW w:w="1417" w:type="dxa"/>
            <w:tcBorders>
              <w:top w:val="single" w:sz="4" w:space="0" w:color="auto"/>
            </w:tcBorders>
            <w:noWrap/>
            <w:vAlign w:val="bottom"/>
          </w:tcPr>
          <w:p w:rsidR="00DA49AC" w:rsidRPr="00EE5BB1" w:rsidRDefault="00DA49AC" w:rsidP="005448DD">
            <w:pPr>
              <w:spacing w:line="240" w:lineRule="auto"/>
              <w:rPr>
                <w:color w:val="000000"/>
              </w:rPr>
            </w:pP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BusinessProp</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24.9%</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21.1%</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19.2%</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84.4%</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Institution</w:t>
            </w:r>
            <w:r w:rsidRPr="00EE5BB1">
              <w:rPr>
                <w:color w:val="000000"/>
              </w:rPr>
              <w:t>Prop</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0.7%</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3.3%</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25.7%</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FinanceProp</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4.6%</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7.1%</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2.4%</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42.2%</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Upper</w:t>
            </w:r>
            <w:r w:rsidRPr="00EE5BB1">
              <w:rPr>
                <w:color w:val="000000"/>
              </w:rPr>
              <w:t>Prop</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40.4%</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23.9%</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37.7%</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94.5%</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Middle</w:t>
            </w:r>
            <w:r w:rsidRPr="00EE5BB1">
              <w:rPr>
                <w:color w:val="000000"/>
              </w:rPr>
              <w:t>Prop</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13.3%</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9.7%</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0.1%</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11.4%</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58.2%</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WomenProp</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10.2%</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9.4%</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7.6%</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41.0%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BusinessNum</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21.8%</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17.8%</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17.8%</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76.7%</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Institution</w:t>
            </w:r>
            <w:r w:rsidRPr="00EE5BB1">
              <w:rPr>
                <w:color w:val="000000"/>
              </w:rPr>
              <w:t>Num</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0.1%</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0.4%</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2.4%</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Finance</w:t>
            </w:r>
            <w:r w:rsidRPr="00EE5BB1">
              <w:rPr>
                <w:color w:val="000000"/>
              </w:rPr>
              <w:t>Num</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3.8%</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3.9%</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2.8%</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25.7%</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Upper</w:t>
            </w:r>
            <w:r w:rsidRPr="00EE5BB1">
              <w:rPr>
                <w:color w:val="000000"/>
              </w:rPr>
              <w:t>Num</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36.1%</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22.2%</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32.5%</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89.7%</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Middle</w:t>
            </w:r>
            <w:r w:rsidRPr="00EE5BB1">
              <w:rPr>
                <w:color w:val="000000"/>
              </w:rPr>
              <w:t>Num</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15.7%</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9.2%</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1.5%</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14.0%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65.2%</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WomenNum</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16.9%</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12.1%</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15.4%</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47.2%</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Age</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471</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17.58</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17.90</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11.00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72.00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CourtWoundup</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0.04</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0.19</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DirectorsNobility</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370</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0.36</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0.48</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DivPayer</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272</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0.84</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0.37</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DivYield</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272</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6.03</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4.18</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5.71</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21.82</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FamilyFirm</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375</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0.18</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0.38</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ForeignFirm</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0.29</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0.45</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HeadLanc</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423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0.13</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0.34</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HeadLondon</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423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0.55</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0.50</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HeadYork</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423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0.08</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0.27</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IndustryBreweries</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0.06</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0.24</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IndustryFinancial</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0.35</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0.48</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IndustryMines</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0.07</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0.26</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IndustryUtility</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0.04</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0.21</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Liquidity</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267</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0.47</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0.28</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0.42</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LocalMiles</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387</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10.97</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44.04</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498.00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Merged</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0.46</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0.50</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Pr>
                <w:color w:val="000000"/>
              </w:rPr>
              <w:t>NumDirectors</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370</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6.13</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2.68</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3.00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6.00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23.00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NumMarkets</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388</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1.33</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0.77</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1.00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6.00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NumShareholders</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421.75</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425.24</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71.00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294.00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3184.00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OwnershipDate</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1883</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12.83</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1856</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1884</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1901</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Preference</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523</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0.09</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0.29</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1.00</w:t>
            </w:r>
          </w:p>
        </w:tc>
      </w:tr>
      <w:tr w:rsidR="00DA49AC" w:rsidRPr="003301F4" w:rsidTr="00970258">
        <w:trPr>
          <w:trHeight w:val="300"/>
        </w:trPr>
        <w:tc>
          <w:tcPr>
            <w:tcW w:w="1858" w:type="dxa"/>
            <w:noWrap/>
            <w:vAlign w:val="center"/>
          </w:tcPr>
          <w:p w:rsidR="00DA49AC" w:rsidRPr="00EE5BB1" w:rsidRDefault="00DA49AC" w:rsidP="00970258">
            <w:pPr>
              <w:spacing w:line="240" w:lineRule="auto"/>
              <w:rPr>
                <w:color w:val="000000"/>
              </w:rPr>
            </w:pPr>
            <w:r w:rsidRPr="00EE5BB1">
              <w:rPr>
                <w:color w:val="000000"/>
              </w:rPr>
              <w:t>ShareParValue</w:t>
            </w:r>
          </w:p>
        </w:tc>
        <w:tc>
          <w:tcPr>
            <w:tcW w:w="1134" w:type="dxa"/>
            <w:noWrap/>
            <w:vAlign w:val="center"/>
          </w:tcPr>
          <w:p w:rsidR="00DA49AC" w:rsidRPr="003301F4" w:rsidRDefault="00DA49AC" w:rsidP="00970258">
            <w:pPr>
              <w:spacing w:line="240" w:lineRule="auto"/>
              <w:jc w:val="center"/>
              <w:rPr>
                <w:color w:val="000000"/>
              </w:rPr>
            </w:pPr>
            <w:r w:rsidRPr="003301F4">
              <w:rPr>
                <w:color w:val="000000"/>
              </w:rPr>
              <w:t>512</w:t>
            </w:r>
          </w:p>
        </w:tc>
        <w:tc>
          <w:tcPr>
            <w:tcW w:w="992" w:type="dxa"/>
            <w:noWrap/>
            <w:vAlign w:val="center"/>
          </w:tcPr>
          <w:p w:rsidR="00DA49AC" w:rsidRPr="003301F4" w:rsidRDefault="00DA49AC" w:rsidP="00970258">
            <w:pPr>
              <w:spacing w:line="240" w:lineRule="auto"/>
              <w:jc w:val="center"/>
              <w:rPr>
                <w:color w:val="000000"/>
              </w:rPr>
            </w:pPr>
            <w:r w:rsidRPr="003301F4">
              <w:rPr>
                <w:color w:val="000000"/>
              </w:rPr>
              <w:t>10.76</w:t>
            </w:r>
          </w:p>
        </w:tc>
        <w:tc>
          <w:tcPr>
            <w:tcW w:w="1276" w:type="dxa"/>
            <w:noWrap/>
            <w:vAlign w:val="center"/>
          </w:tcPr>
          <w:p w:rsidR="00DA49AC" w:rsidRPr="003301F4" w:rsidRDefault="00DA49AC" w:rsidP="00970258">
            <w:pPr>
              <w:spacing w:line="240" w:lineRule="auto"/>
              <w:jc w:val="center"/>
              <w:rPr>
                <w:color w:val="000000"/>
              </w:rPr>
            </w:pPr>
            <w:r w:rsidRPr="003301F4">
              <w:rPr>
                <w:color w:val="000000"/>
              </w:rPr>
              <w:t>10.26</w:t>
            </w:r>
          </w:p>
        </w:tc>
        <w:tc>
          <w:tcPr>
            <w:tcW w:w="1512" w:type="dxa"/>
            <w:noWrap/>
            <w:vAlign w:val="center"/>
          </w:tcPr>
          <w:p w:rsidR="00DA49AC" w:rsidRPr="003301F4" w:rsidRDefault="00DA49AC" w:rsidP="00970258">
            <w:pPr>
              <w:spacing w:line="240" w:lineRule="auto"/>
              <w:jc w:val="center"/>
              <w:rPr>
                <w:color w:val="000000"/>
              </w:rPr>
            </w:pPr>
            <w:r w:rsidRPr="003301F4">
              <w:rPr>
                <w:color w:val="000000"/>
              </w:rPr>
              <w:t>0.55</w:t>
            </w:r>
          </w:p>
        </w:tc>
        <w:tc>
          <w:tcPr>
            <w:tcW w:w="1040" w:type="dxa"/>
            <w:noWrap/>
            <w:vAlign w:val="center"/>
          </w:tcPr>
          <w:p w:rsidR="00DA49AC" w:rsidRPr="003301F4" w:rsidRDefault="00DA49AC" w:rsidP="00970258">
            <w:pPr>
              <w:spacing w:line="240" w:lineRule="auto"/>
              <w:jc w:val="center"/>
              <w:rPr>
                <w:color w:val="000000"/>
              </w:rPr>
            </w:pPr>
            <w:r w:rsidRPr="003301F4">
              <w:rPr>
                <w:color w:val="000000"/>
              </w:rPr>
              <w:t>10.00</w:t>
            </w:r>
          </w:p>
        </w:tc>
        <w:tc>
          <w:tcPr>
            <w:tcW w:w="1417" w:type="dxa"/>
            <w:noWrap/>
            <w:vAlign w:val="center"/>
          </w:tcPr>
          <w:p w:rsidR="00DA49AC" w:rsidRPr="003301F4" w:rsidRDefault="00DA49AC" w:rsidP="00970258">
            <w:pPr>
              <w:spacing w:line="240" w:lineRule="auto"/>
              <w:jc w:val="center"/>
              <w:rPr>
                <w:color w:val="000000"/>
              </w:rPr>
            </w:pPr>
            <w:r w:rsidRPr="003301F4">
              <w:rPr>
                <w:color w:val="000000"/>
              </w:rPr>
              <w:t>50.00</w:t>
            </w:r>
          </w:p>
        </w:tc>
      </w:tr>
      <w:tr w:rsidR="00DA49AC" w:rsidRPr="003301F4" w:rsidTr="00970258">
        <w:trPr>
          <w:trHeight w:val="300"/>
        </w:trPr>
        <w:tc>
          <w:tcPr>
            <w:tcW w:w="1858" w:type="dxa"/>
            <w:tcBorders>
              <w:bottom w:val="nil"/>
            </w:tcBorders>
            <w:noWrap/>
            <w:vAlign w:val="center"/>
          </w:tcPr>
          <w:p w:rsidR="00DA49AC" w:rsidRPr="00EE5BB1" w:rsidRDefault="00DA49AC" w:rsidP="00970258">
            <w:pPr>
              <w:spacing w:line="240" w:lineRule="auto"/>
              <w:rPr>
                <w:color w:val="000000"/>
              </w:rPr>
            </w:pPr>
            <w:r w:rsidRPr="00EE5BB1">
              <w:rPr>
                <w:color w:val="000000"/>
              </w:rPr>
              <w:t>ShareUncalled</w:t>
            </w:r>
          </w:p>
        </w:tc>
        <w:tc>
          <w:tcPr>
            <w:tcW w:w="1134" w:type="dxa"/>
            <w:tcBorders>
              <w:bottom w:val="nil"/>
            </w:tcBorders>
            <w:noWrap/>
            <w:vAlign w:val="center"/>
          </w:tcPr>
          <w:p w:rsidR="00DA49AC" w:rsidRPr="003301F4" w:rsidRDefault="00DA49AC" w:rsidP="00970258">
            <w:pPr>
              <w:spacing w:line="240" w:lineRule="auto"/>
              <w:jc w:val="center"/>
              <w:rPr>
                <w:color w:val="000000"/>
              </w:rPr>
            </w:pPr>
            <w:r w:rsidRPr="003301F4">
              <w:rPr>
                <w:color w:val="000000"/>
              </w:rPr>
              <w:t>510</w:t>
            </w:r>
          </w:p>
        </w:tc>
        <w:tc>
          <w:tcPr>
            <w:tcW w:w="992" w:type="dxa"/>
            <w:tcBorders>
              <w:bottom w:val="nil"/>
            </w:tcBorders>
            <w:noWrap/>
            <w:vAlign w:val="center"/>
          </w:tcPr>
          <w:p w:rsidR="00DA49AC" w:rsidRPr="003301F4" w:rsidRDefault="00DA49AC" w:rsidP="00970258">
            <w:pPr>
              <w:spacing w:line="240" w:lineRule="auto"/>
              <w:jc w:val="center"/>
              <w:rPr>
                <w:color w:val="000000"/>
              </w:rPr>
            </w:pPr>
            <w:r w:rsidRPr="003301F4">
              <w:rPr>
                <w:color w:val="000000"/>
              </w:rPr>
              <w:t>13.69</w:t>
            </w:r>
          </w:p>
        </w:tc>
        <w:tc>
          <w:tcPr>
            <w:tcW w:w="1276" w:type="dxa"/>
            <w:tcBorders>
              <w:bottom w:val="nil"/>
            </w:tcBorders>
            <w:noWrap/>
            <w:vAlign w:val="center"/>
          </w:tcPr>
          <w:p w:rsidR="00DA49AC" w:rsidRPr="003301F4" w:rsidRDefault="00DA49AC" w:rsidP="00970258">
            <w:pPr>
              <w:spacing w:line="240" w:lineRule="auto"/>
              <w:jc w:val="center"/>
              <w:rPr>
                <w:color w:val="000000"/>
              </w:rPr>
            </w:pPr>
            <w:r w:rsidRPr="003301F4">
              <w:rPr>
                <w:color w:val="000000"/>
              </w:rPr>
              <w:t>23.42</w:t>
            </w:r>
          </w:p>
        </w:tc>
        <w:tc>
          <w:tcPr>
            <w:tcW w:w="1512" w:type="dxa"/>
            <w:tcBorders>
              <w:bottom w:val="nil"/>
            </w:tcBorders>
            <w:noWrap/>
            <w:vAlign w:val="center"/>
          </w:tcPr>
          <w:p w:rsidR="00DA49AC" w:rsidRPr="003301F4" w:rsidRDefault="00DA49AC" w:rsidP="00970258">
            <w:pPr>
              <w:spacing w:line="240" w:lineRule="auto"/>
              <w:jc w:val="center"/>
              <w:rPr>
                <w:color w:val="000000"/>
              </w:rPr>
            </w:pPr>
            <w:r w:rsidRPr="003301F4">
              <w:rPr>
                <w:color w:val="000000"/>
              </w:rPr>
              <w:t>0.00</w:t>
            </w:r>
          </w:p>
        </w:tc>
        <w:tc>
          <w:tcPr>
            <w:tcW w:w="1040" w:type="dxa"/>
            <w:tcBorders>
              <w:bottom w:val="nil"/>
            </w:tcBorders>
            <w:noWrap/>
            <w:vAlign w:val="center"/>
          </w:tcPr>
          <w:p w:rsidR="00DA49AC" w:rsidRPr="003301F4" w:rsidRDefault="00DA49AC" w:rsidP="00970258">
            <w:pPr>
              <w:spacing w:line="240" w:lineRule="auto"/>
              <w:jc w:val="center"/>
              <w:rPr>
                <w:color w:val="000000"/>
              </w:rPr>
            </w:pPr>
            <w:r w:rsidRPr="003301F4">
              <w:rPr>
                <w:color w:val="000000"/>
              </w:rPr>
              <w:t>2.00</w:t>
            </w:r>
          </w:p>
        </w:tc>
        <w:tc>
          <w:tcPr>
            <w:tcW w:w="1417" w:type="dxa"/>
            <w:tcBorders>
              <w:bottom w:val="nil"/>
            </w:tcBorders>
            <w:noWrap/>
            <w:vAlign w:val="center"/>
          </w:tcPr>
          <w:p w:rsidR="00DA49AC" w:rsidRPr="003301F4" w:rsidRDefault="00DA49AC" w:rsidP="00970258">
            <w:pPr>
              <w:spacing w:line="240" w:lineRule="auto"/>
              <w:jc w:val="center"/>
              <w:rPr>
                <w:color w:val="000000"/>
              </w:rPr>
            </w:pPr>
            <w:r w:rsidRPr="003301F4">
              <w:rPr>
                <w:color w:val="000000"/>
              </w:rPr>
              <w:t>97.50</w:t>
            </w:r>
          </w:p>
        </w:tc>
      </w:tr>
      <w:tr w:rsidR="00DA49AC" w:rsidRPr="003301F4" w:rsidTr="00970258">
        <w:trPr>
          <w:trHeight w:val="300"/>
        </w:trPr>
        <w:tc>
          <w:tcPr>
            <w:tcW w:w="1858" w:type="dxa"/>
            <w:tcBorders>
              <w:top w:val="nil"/>
              <w:bottom w:val="single" w:sz="4" w:space="0" w:color="auto"/>
            </w:tcBorders>
            <w:noWrap/>
            <w:vAlign w:val="center"/>
          </w:tcPr>
          <w:p w:rsidR="00DA49AC" w:rsidRPr="00EE5BB1" w:rsidRDefault="00DA49AC" w:rsidP="00970258">
            <w:pPr>
              <w:spacing w:line="240" w:lineRule="auto"/>
              <w:rPr>
                <w:color w:val="000000"/>
              </w:rPr>
            </w:pPr>
            <w:r w:rsidRPr="00EE5BB1">
              <w:rPr>
                <w:color w:val="000000"/>
              </w:rPr>
              <w:t>Size</w:t>
            </w:r>
          </w:p>
        </w:tc>
        <w:tc>
          <w:tcPr>
            <w:tcW w:w="1134" w:type="dxa"/>
            <w:tcBorders>
              <w:top w:val="nil"/>
              <w:bottom w:val="single" w:sz="4" w:space="0" w:color="auto"/>
            </w:tcBorders>
            <w:noWrap/>
            <w:vAlign w:val="center"/>
          </w:tcPr>
          <w:p w:rsidR="00DA49AC" w:rsidRPr="003301F4" w:rsidRDefault="00DA49AC" w:rsidP="00970258">
            <w:pPr>
              <w:spacing w:line="240" w:lineRule="auto"/>
              <w:jc w:val="center"/>
              <w:rPr>
                <w:color w:val="000000"/>
              </w:rPr>
            </w:pPr>
            <w:r w:rsidRPr="003301F4">
              <w:rPr>
                <w:color w:val="000000"/>
              </w:rPr>
              <w:t>511</w:t>
            </w:r>
          </w:p>
        </w:tc>
        <w:tc>
          <w:tcPr>
            <w:tcW w:w="992" w:type="dxa"/>
            <w:tcBorders>
              <w:top w:val="nil"/>
              <w:bottom w:val="single" w:sz="4" w:space="0" w:color="auto"/>
            </w:tcBorders>
            <w:noWrap/>
            <w:vAlign w:val="center"/>
          </w:tcPr>
          <w:p w:rsidR="00DA49AC" w:rsidRPr="003301F4" w:rsidRDefault="00DA49AC" w:rsidP="00970258">
            <w:pPr>
              <w:spacing w:line="240" w:lineRule="auto"/>
              <w:jc w:val="center"/>
              <w:rPr>
                <w:color w:val="000000"/>
              </w:rPr>
            </w:pPr>
            <w:r w:rsidRPr="003301F4">
              <w:rPr>
                <w:color w:val="000000"/>
              </w:rPr>
              <w:t>11.85</w:t>
            </w:r>
          </w:p>
        </w:tc>
        <w:tc>
          <w:tcPr>
            <w:tcW w:w="1276" w:type="dxa"/>
            <w:tcBorders>
              <w:top w:val="nil"/>
              <w:bottom w:val="single" w:sz="4" w:space="0" w:color="auto"/>
            </w:tcBorders>
            <w:noWrap/>
            <w:vAlign w:val="center"/>
          </w:tcPr>
          <w:p w:rsidR="00DA49AC" w:rsidRPr="003301F4" w:rsidRDefault="00DA49AC" w:rsidP="00970258">
            <w:pPr>
              <w:spacing w:line="240" w:lineRule="auto"/>
              <w:jc w:val="center"/>
              <w:rPr>
                <w:color w:val="000000"/>
              </w:rPr>
            </w:pPr>
            <w:r w:rsidRPr="003301F4">
              <w:rPr>
                <w:color w:val="000000"/>
              </w:rPr>
              <w:t>1.02</w:t>
            </w:r>
          </w:p>
        </w:tc>
        <w:tc>
          <w:tcPr>
            <w:tcW w:w="1512" w:type="dxa"/>
            <w:tcBorders>
              <w:top w:val="nil"/>
              <w:bottom w:val="single" w:sz="4" w:space="0" w:color="auto"/>
            </w:tcBorders>
            <w:noWrap/>
            <w:vAlign w:val="center"/>
          </w:tcPr>
          <w:p w:rsidR="00DA49AC" w:rsidRPr="003301F4" w:rsidRDefault="00DA49AC" w:rsidP="00970258">
            <w:pPr>
              <w:spacing w:line="240" w:lineRule="auto"/>
              <w:jc w:val="center"/>
              <w:rPr>
                <w:color w:val="000000"/>
              </w:rPr>
            </w:pPr>
            <w:r w:rsidRPr="003301F4">
              <w:rPr>
                <w:color w:val="000000"/>
              </w:rPr>
              <w:t>9.90</w:t>
            </w:r>
          </w:p>
        </w:tc>
        <w:tc>
          <w:tcPr>
            <w:tcW w:w="1040" w:type="dxa"/>
            <w:tcBorders>
              <w:top w:val="nil"/>
              <w:bottom w:val="single" w:sz="4" w:space="0" w:color="auto"/>
            </w:tcBorders>
            <w:noWrap/>
            <w:vAlign w:val="center"/>
          </w:tcPr>
          <w:p w:rsidR="00DA49AC" w:rsidRPr="003301F4" w:rsidRDefault="00DA49AC" w:rsidP="00970258">
            <w:pPr>
              <w:spacing w:line="240" w:lineRule="auto"/>
              <w:jc w:val="center"/>
              <w:rPr>
                <w:color w:val="000000"/>
              </w:rPr>
            </w:pPr>
            <w:r w:rsidRPr="003301F4">
              <w:rPr>
                <w:color w:val="000000"/>
              </w:rPr>
              <w:t>11.92</w:t>
            </w:r>
          </w:p>
        </w:tc>
        <w:tc>
          <w:tcPr>
            <w:tcW w:w="1417" w:type="dxa"/>
            <w:tcBorders>
              <w:top w:val="nil"/>
              <w:bottom w:val="single" w:sz="4" w:space="0" w:color="auto"/>
            </w:tcBorders>
            <w:noWrap/>
            <w:vAlign w:val="center"/>
          </w:tcPr>
          <w:p w:rsidR="00DA49AC" w:rsidRPr="003301F4" w:rsidRDefault="00DA49AC" w:rsidP="00970258">
            <w:pPr>
              <w:spacing w:line="240" w:lineRule="auto"/>
              <w:jc w:val="center"/>
              <w:rPr>
                <w:color w:val="000000"/>
              </w:rPr>
            </w:pPr>
            <w:r w:rsidRPr="003301F4">
              <w:rPr>
                <w:color w:val="000000"/>
              </w:rPr>
              <w:t>14.28</w:t>
            </w:r>
          </w:p>
        </w:tc>
      </w:tr>
    </w:tbl>
    <w:p w:rsidR="00DA49AC" w:rsidRDefault="00DA49AC" w:rsidP="001C10E6">
      <w:pPr>
        <w:spacing w:line="240" w:lineRule="auto"/>
      </w:pPr>
      <w:r w:rsidRPr="006D587B">
        <w:rPr>
          <w:i/>
        </w:rPr>
        <w:t>Sources</w:t>
      </w:r>
      <w:r>
        <w:t>: See text</w:t>
      </w:r>
    </w:p>
    <w:p w:rsidR="00DA49AC" w:rsidRDefault="00DA49AC" w:rsidP="001C10E6">
      <w:pPr>
        <w:spacing w:line="240" w:lineRule="auto"/>
        <w:jc w:val="both"/>
      </w:pPr>
      <w:r w:rsidRPr="006D587B">
        <w:rPr>
          <w:i/>
        </w:rPr>
        <w:t>Notes</w:t>
      </w:r>
      <w:r>
        <w:t xml:space="preserve">: See text for definitions of occupations.  These descriptive statistics are on a per security basis.  In other words, if a firm has ordinary and preference shares, they are considered as separate investments.  </w:t>
      </w:r>
    </w:p>
    <w:p w:rsidR="00DA49AC" w:rsidRDefault="00DA49AC" w:rsidP="007A761D">
      <w:pPr>
        <w:spacing w:line="240" w:lineRule="auto"/>
        <w:jc w:val="both"/>
        <w:rPr>
          <w:sz w:val="24"/>
          <w:szCs w:val="24"/>
        </w:rPr>
      </w:pPr>
    </w:p>
    <w:p w:rsidR="00DA49AC" w:rsidRDefault="00DA49AC">
      <w:pPr>
        <w:spacing w:line="276" w:lineRule="auto"/>
        <w:rPr>
          <w:sz w:val="24"/>
          <w:szCs w:val="24"/>
        </w:rPr>
      </w:pPr>
      <w:r>
        <w:rPr>
          <w:sz w:val="24"/>
          <w:szCs w:val="24"/>
        </w:rPr>
        <w:br w:type="page"/>
      </w:r>
    </w:p>
    <w:p w:rsidR="00DA49AC" w:rsidRDefault="00DA49AC" w:rsidP="001C10E6">
      <w:pPr>
        <w:spacing w:line="276" w:lineRule="auto"/>
        <w:jc w:val="both"/>
        <w:rPr>
          <w:sz w:val="24"/>
          <w:szCs w:val="24"/>
        </w:rPr>
      </w:pPr>
      <w:r>
        <w:rPr>
          <w:i/>
          <w:sz w:val="24"/>
          <w:szCs w:val="24"/>
        </w:rPr>
        <w:t>Table 9</w:t>
      </w:r>
      <w:r w:rsidRPr="00AD68AC">
        <w:rPr>
          <w:sz w:val="24"/>
          <w:szCs w:val="24"/>
        </w:rPr>
        <w:t xml:space="preserve">. </w:t>
      </w:r>
      <w:r>
        <w:rPr>
          <w:sz w:val="24"/>
          <w:szCs w:val="24"/>
        </w:rPr>
        <w:t xml:space="preserve"> Determinants of proportion of c</w:t>
      </w:r>
      <w:r w:rsidRPr="00AD68AC">
        <w:rPr>
          <w:sz w:val="24"/>
          <w:szCs w:val="24"/>
        </w:rPr>
        <w:t xml:space="preserve">apital </w:t>
      </w:r>
      <w:r>
        <w:rPr>
          <w:sz w:val="24"/>
          <w:szCs w:val="24"/>
        </w:rPr>
        <w:t>h</w:t>
      </w:r>
      <w:r w:rsidRPr="00AD68AC">
        <w:rPr>
          <w:sz w:val="24"/>
          <w:szCs w:val="24"/>
        </w:rPr>
        <w:t>eld by</w:t>
      </w:r>
      <w:r>
        <w:rPr>
          <w:sz w:val="24"/>
          <w:szCs w:val="24"/>
        </w:rPr>
        <w:t xml:space="preserve"> businessmen, institutions and finance professionals</w:t>
      </w:r>
    </w:p>
    <w:tbl>
      <w:tblPr>
        <w:tblW w:w="5000" w:type="pct"/>
        <w:jc w:val="center"/>
        <w:tblCellMar>
          <w:left w:w="75" w:type="dxa"/>
          <w:right w:w="75" w:type="dxa"/>
        </w:tblCellMar>
        <w:tblLook w:val="0000"/>
      </w:tblPr>
      <w:tblGrid>
        <w:gridCol w:w="1632"/>
        <w:gridCol w:w="1247"/>
        <w:gridCol w:w="1247"/>
        <w:gridCol w:w="1356"/>
        <w:gridCol w:w="1356"/>
        <w:gridCol w:w="1169"/>
        <w:gridCol w:w="1169"/>
      </w:tblGrid>
      <w:tr w:rsidR="00DA49AC" w:rsidRPr="003301F4" w:rsidTr="003A620F">
        <w:trPr>
          <w:jc w:val="center"/>
        </w:trPr>
        <w:tc>
          <w:tcPr>
            <w:tcW w:w="889"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(1)</w:t>
            </w:r>
          </w:p>
        </w:tc>
        <w:tc>
          <w:tcPr>
            <w:tcW w:w="679"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(2)</w:t>
            </w:r>
          </w:p>
        </w:tc>
        <w:tc>
          <w:tcPr>
            <w:tcW w:w="739"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(3)</w:t>
            </w:r>
          </w:p>
        </w:tc>
        <w:tc>
          <w:tcPr>
            <w:tcW w:w="739"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(4)</w:t>
            </w:r>
          </w:p>
        </w:tc>
        <w:tc>
          <w:tcPr>
            <w:tcW w:w="637"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(5)</w:t>
            </w:r>
          </w:p>
        </w:tc>
        <w:tc>
          <w:tcPr>
            <w:tcW w:w="637"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(6)</w:t>
            </w:r>
          </w:p>
        </w:tc>
      </w:tr>
      <w:tr w:rsidR="00DA49AC" w:rsidRPr="003301F4" w:rsidTr="003A620F">
        <w:trPr>
          <w:jc w:val="center"/>
        </w:trPr>
        <w:tc>
          <w:tcPr>
            <w:tcW w:w="88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BusinessProp</w:t>
            </w:r>
          </w:p>
        </w:tc>
        <w:tc>
          <w:tcPr>
            <w:tcW w:w="67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BusinessProp</w:t>
            </w:r>
          </w:p>
        </w:tc>
        <w:tc>
          <w:tcPr>
            <w:tcW w:w="73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InstitutionProp</w:t>
            </w:r>
          </w:p>
        </w:tc>
        <w:tc>
          <w:tcPr>
            <w:tcW w:w="73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InstitutionProp</w:t>
            </w:r>
          </w:p>
        </w:tc>
        <w:tc>
          <w:tcPr>
            <w:tcW w:w="637"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FinanceProp</w:t>
            </w:r>
          </w:p>
        </w:tc>
        <w:tc>
          <w:tcPr>
            <w:tcW w:w="637"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FinanceProp</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Age</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Size</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-0.022*</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0.003</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0.007</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(0.012)</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(0.017)</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(0.003)</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(0.007)</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ForeignFirm</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-0.131***</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-0.075**</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0.034***</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(0.021)</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(0.005)</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Preference</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-0.035</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-0.018*</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-0.003</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-0.017**</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(0.023)</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(0.028)</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(0.006)</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ShareUncalled</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ShareParValue</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IndustryMines</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-0.056*</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-0.006</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(0.034)</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(0.017)</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(0.025)</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IndustryUtility</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-0.033</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-0.024***</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-0.024</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(0.050)</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(0.005)</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(0.012)</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(0.016)</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IndustryFinancial</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0.031</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0.064*</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0.011</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(0.026)</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(0.004)</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(0.006)</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(0.012)</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(0.011)</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IndustryBreweries</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0.013</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0.054</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0.028**</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0.057**</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-0.022**</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0.011</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(0.040)</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(0.063)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(0.012)</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(0.024)</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(0.014)</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NumShareholders</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OwnershipDate</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DivPayer</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-0.045</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0.004</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(0.012)</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(0.018)</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DivYield</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(0.004)</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Liquidity</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0.061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-0.004</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0.041**</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(0.051)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(0.017)</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NumMarkets</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0.006</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(0.017)</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(0.004)</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(0.006)</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FamilyFirm</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0.100***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-0.006</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(0.038)</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NumDirectors</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(0.004)</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DirectorsNobility</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CourtWoundup</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0.091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-0.013</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-0.056***</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(0.083)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(0.012)</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(0.016)</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Merged</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-0.005</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(0.025)</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(0.007)</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HeadLondon</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-0.077*</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(0.041)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(0.009)</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HeadLanc</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0.060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-0.002</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(0.057)</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(0.008)</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(0.012)</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HeadYork</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0.128***</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-0.003</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(0.035)</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(0.010)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LocalMiles</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0.001**</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(0.000)</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Constant</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4.554***</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5.539*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-0.914**</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-1.865**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1.518***</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0.532</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(1.727)</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(3.063)</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(0.355)</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(0.764)</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(0.525)</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(0.863)</w:t>
            </w: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p>
        </w:tc>
      </w:tr>
      <w:tr w:rsidR="00DA49AC" w:rsidRPr="003301F4" w:rsidTr="003A620F">
        <w:trPr>
          <w:jc w:val="center"/>
        </w:trPr>
        <w:tc>
          <w:tcPr>
            <w:tcW w:w="88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Observations</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460</w:t>
            </w:r>
          </w:p>
        </w:tc>
        <w:tc>
          <w:tcPr>
            <w:tcW w:w="67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179</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460</w:t>
            </w:r>
          </w:p>
        </w:tc>
        <w:tc>
          <w:tcPr>
            <w:tcW w:w="739"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179</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460</w:t>
            </w:r>
          </w:p>
        </w:tc>
        <w:tc>
          <w:tcPr>
            <w:tcW w:w="63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179</w:t>
            </w:r>
          </w:p>
        </w:tc>
      </w:tr>
      <w:tr w:rsidR="00DA49AC" w:rsidRPr="003301F4" w:rsidTr="003A620F">
        <w:tblPrEx>
          <w:tblBorders>
            <w:bottom w:val="single" w:sz="6" w:space="0" w:color="auto"/>
          </w:tblBorders>
        </w:tblPrEx>
        <w:trPr>
          <w:jc w:val="center"/>
        </w:trPr>
        <w:tc>
          <w:tcPr>
            <w:tcW w:w="88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rPr>
                <w:sz w:val="18"/>
              </w:rPr>
            </w:pPr>
            <w:r w:rsidRPr="003301F4">
              <w:rPr>
                <w:sz w:val="18"/>
              </w:rPr>
              <w:t>R-squared</w:t>
            </w:r>
          </w:p>
        </w:tc>
        <w:tc>
          <w:tcPr>
            <w:tcW w:w="67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0.276</w:t>
            </w:r>
          </w:p>
        </w:tc>
        <w:tc>
          <w:tcPr>
            <w:tcW w:w="67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0.508</w:t>
            </w:r>
          </w:p>
        </w:tc>
        <w:tc>
          <w:tcPr>
            <w:tcW w:w="73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0.154</w:t>
            </w:r>
          </w:p>
        </w:tc>
        <w:tc>
          <w:tcPr>
            <w:tcW w:w="739"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0.377</w:t>
            </w:r>
          </w:p>
        </w:tc>
        <w:tc>
          <w:tcPr>
            <w:tcW w:w="637"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0.072</w:t>
            </w:r>
          </w:p>
        </w:tc>
        <w:tc>
          <w:tcPr>
            <w:tcW w:w="637"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0.222</w:t>
            </w:r>
          </w:p>
        </w:tc>
      </w:tr>
    </w:tbl>
    <w:p w:rsidR="00DA49AC" w:rsidRDefault="00DA49AC" w:rsidP="003A620F">
      <w:pPr>
        <w:spacing w:line="276" w:lineRule="auto"/>
        <w:rPr>
          <w:sz w:val="18"/>
          <w:szCs w:val="18"/>
        </w:rPr>
      </w:pPr>
      <w:r w:rsidRPr="00B56DE5">
        <w:rPr>
          <w:i/>
          <w:sz w:val="18"/>
          <w:szCs w:val="18"/>
        </w:rPr>
        <w:t>Notes</w:t>
      </w:r>
      <w:r>
        <w:rPr>
          <w:sz w:val="18"/>
          <w:szCs w:val="18"/>
        </w:rPr>
        <w:t xml:space="preserve">: </w:t>
      </w:r>
      <w:r w:rsidRPr="00B56DE5">
        <w:rPr>
          <w:sz w:val="18"/>
          <w:szCs w:val="18"/>
        </w:rPr>
        <w:t xml:space="preserve">Robust standard errors </w:t>
      </w:r>
      <w:r>
        <w:rPr>
          <w:sz w:val="18"/>
          <w:szCs w:val="18"/>
        </w:rPr>
        <w:t xml:space="preserve">are </w:t>
      </w:r>
      <w:r w:rsidRPr="00B56DE5">
        <w:rPr>
          <w:sz w:val="18"/>
          <w:szCs w:val="18"/>
        </w:rPr>
        <w:t>in parentheses</w:t>
      </w:r>
      <w:r>
        <w:rPr>
          <w:sz w:val="18"/>
          <w:szCs w:val="18"/>
        </w:rPr>
        <w:t xml:space="preserve"> and </w:t>
      </w:r>
      <w:r w:rsidRPr="00B56DE5">
        <w:rPr>
          <w:sz w:val="18"/>
          <w:szCs w:val="18"/>
        </w:rPr>
        <w:t>*** p&lt;0.01, ** p&lt;0.05, * p&lt;0.1</w:t>
      </w:r>
      <w:r>
        <w:rPr>
          <w:sz w:val="18"/>
          <w:szCs w:val="18"/>
        </w:rPr>
        <w:t>.</w:t>
      </w:r>
    </w:p>
    <w:p w:rsidR="00DA49AC" w:rsidRDefault="00DA49AC" w:rsidP="00D3498D">
      <w:pPr>
        <w:spacing w:line="276" w:lineRule="auto"/>
        <w:jc w:val="both"/>
        <w:rPr>
          <w:i/>
          <w:sz w:val="24"/>
          <w:szCs w:val="24"/>
        </w:rPr>
      </w:pPr>
    </w:p>
    <w:p w:rsidR="00DA49AC" w:rsidRDefault="00DA49AC">
      <w:pPr>
        <w:spacing w:line="276" w:lineRule="auto"/>
        <w:rPr>
          <w:i/>
          <w:sz w:val="24"/>
          <w:szCs w:val="24"/>
        </w:rPr>
      </w:pPr>
      <w:r>
        <w:rPr>
          <w:i/>
          <w:sz w:val="24"/>
          <w:szCs w:val="24"/>
        </w:rPr>
        <w:br w:type="page"/>
      </w:r>
    </w:p>
    <w:p w:rsidR="00DA49AC" w:rsidRDefault="00DA49AC" w:rsidP="00B719BE">
      <w:pPr>
        <w:spacing w:line="240" w:lineRule="auto"/>
        <w:jc w:val="both"/>
        <w:rPr>
          <w:sz w:val="24"/>
          <w:szCs w:val="24"/>
        </w:rPr>
      </w:pPr>
      <w:r>
        <w:rPr>
          <w:i/>
          <w:sz w:val="24"/>
          <w:szCs w:val="24"/>
        </w:rPr>
        <w:t>Table 10</w:t>
      </w:r>
      <w:r w:rsidRPr="00AD68AC">
        <w:rPr>
          <w:sz w:val="24"/>
          <w:szCs w:val="24"/>
        </w:rPr>
        <w:t xml:space="preserve">. </w:t>
      </w:r>
      <w:r>
        <w:rPr>
          <w:sz w:val="24"/>
          <w:szCs w:val="24"/>
        </w:rPr>
        <w:tab/>
        <w:t>Determinants of proportion of c</w:t>
      </w:r>
      <w:r w:rsidRPr="00AD68AC">
        <w:rPr>
          <w:sz w:val="24"/>
          <w:szCs w:val="24"/>
        </w:rPr>
        <w:t xml:space="preserve">apital </w:t>
      </w:r>
      <w:r>
        <w:rPr>
          <w:sz w:val="24"/>
          <w:szCs w:val="24"/>
        </w:rPr>
        <w:t>h</w:t>
      </w:r>
      <w:r w:rsidRPr="00AD68AC">
        <w:rPr>
          <w:sz w:val="24"/>
          <w:szCs w:val="24"/>
        </w:rPr>
        <w:t>eld by</w:t>
      </w:r>
      <w:r>
        <w:rPr>
          <w:sz w:val="24"/>
          <w:szCs w:val="24"/>
        </w:rPr>
        <w:t xml:space="preserve"> upper and middle classes and women</w:t>
      </w:r>
    </w:p>
    <w:tbl>
      <w:tblPr>
        <w:tblW w:w="5000" w:type="pct"/>
        <w:jc w:val="center"/>
        <w:tblCellMar>
          <w:left w:w="75" w:type="dxa"/>
          <w:right w:w="75" w:type="dxa"/>
        </w:tblCellMar>
        <w:tblLook w:val="0000"/>
      </w:tblPr>
      <w:tblGrid>
        <w:gridCol w:w="1810"/>
        <w:gridCol w:w="1151"/>
        <w:gridCol w:w="1149"/>
        <w:gridCol w:w="1237"/>
        <w:gridCol w:w="1237"/>
        <w:gridCol w:w="1296"/>
        <w:gridCol w:w="1296"/>
      </w:tblGrid>
      <w:tr w:rsidR="00DA49AC" w:rsidRPr="003301F4" w:rsidTr="00601F55">
        <w:trPr>
          <w:jc w:val="center"/>
        </w:trPr>
        <w:tc>
          <w:tcPr>
            <w:tcW w:w="986"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rPr>
                <w:sz w:val="18"/>
                <w:szCs w:val="18"/>
              </w:rPr>
            </w:pPr>
          </w:p>
        </w:tc>
        <w:tc>
          <w:tcPr>
            <w:tcW w:w="627"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w:t>
            </w:r>
          </w:p>
        </w:tc>
        <w:tc>
          <w:tcPr>
            <w:tcW w:w="626"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(2)</w:t>
            </w:r>
          </w:p>
        </w:tc>
        <w:tc>
          <w:tcPr>
            <w:tcW w:w="674"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(3)</w:t>
            </w:r>
          </w:p>
        </w:tc>
        <w:tc>
          <w:tcPr>
            <w:tcW w:w="674"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(4)</w:t>
            </w:r>
          </w:p>
        </w:tc>
        <w:tc>
          <w:tcPr>
            <w:tcW w:w="706"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(5)</w:t>
            </w:r>
          </w:p>
        </w:tc>
        <w:tc>
          <w:tcPr>
            <w:tcW w:w="706" w:type="pct"/>
            <w:tcBorders>
              <w:top w:val="single" w:sz="6" w:space="0" w:color="auto"/>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(6)</w:t>
            </w:r>
          </w:p>
        </w:tc>
      </w:tr>
      <w:tr w:rsidR="00DA49AC" w:rsidRPr="003301F4" w:rsidTr="00601F55">
        <w:trPr>
          <w:jc w:val="center"/>
        </w:trPr>
        <w:tc>
          <w:tcPr>
            <w:tcW w:w="986"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rPr>
                <w:sz w:val="18"/>
                <w:szCs w:val="18"/>
              </w:rPr>
            </w:pPr>
          </w:p>
        </w:tc>
        <w:tc>
          <w:tcPr>
            <w:tcW w:w="627"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UpperProp</w:t>
            </w:r>
          </w:p>
        </w:tc>
        <w:tc>
          <w:tcPr>
            <w:tcW w:w="626"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UpperProp</w:t>
            </w:r>
          </w:p>
        </w:tc>
        <w:tc>
          <w:tcPr>
            <w:tcW w:w="674"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MiddleProp</w:t>
            </w:r>
          </w:p>
        </w:tc>
        <w:tc>
          <w:tcPr>
            <w:tcW w:w="674"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MiddleProp</w:t>
            </w:r>
          </w:p>
        </w:tc>
        <w:tc>
          <w:tcPr>
            <w:tcW w:w="706"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WomenProp</w:t>
            </w:r>
          </w:p>
        </w:tc>
        <w:tc>
          <w:tcPr>
            <w:tcW w:w="706"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rPr>
            </w:pPr>
            <w:r w:rsidRPr="003301F4">
              <w:rPr>
                <w:sz w:val="18"/>
              </w:rPr>
              <w:t>WomenProp</w:t>
            </w:r>
          </w:p>
        </w:tc>
      </w:tr>
      <w:tr w:rsidR="00DA49AC" w:rsidRPr="003301F4" w:rsidTr="00601F55">
        <w:trPr>
          <w:jc w:val="center"/>
        </w:trPr>
        <w:tc>
          <w:tcPr>
            <w:tcW w:w="98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szCs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Age</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0.003***</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Size</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0.045***</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0.077***</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-0.029***</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-0.009</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-0.016</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(0.006)</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(0.005)</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ForeignFirm</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0.160***</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0.053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-0.025*</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-0.018</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(0.026)</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(0.009)</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(0.015)</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(0.016)</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Preference</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-0.066</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0.012</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0.065**</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0.072*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(0.033)</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(0.046)</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(0.039)</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ShareUncalled</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ShareParValue</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IndustryMines</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0.173***</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0.123*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-0.055***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-0.049*</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-0.054***</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-0.079***</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(0.044)</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(0.067)</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(0.026)</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IndustryUtility</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0.035</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0.037</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0.027</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-0.006</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(0.057)</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(0.085)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(0.017)</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(0.015)</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IndustryFinancial</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-0.053*</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-0.047</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-0.027**</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0.017*</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0.018</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(0.028)</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(0.042)</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(0.019)</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(0.014)</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IndustryBreweries</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0.032</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-0.042</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-0.019</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-0.015</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(0.047)</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(0.064)</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(0.022)</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(0.023)</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(0.016)</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NumShareholders</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OwnershipDate</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DivPayer</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-0.054</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-0.023</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0.072***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(0.066)</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(0.023)</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DivYield</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0.006</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-0.005**</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Liquidity</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-0.099*</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0.008</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(0.060)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(0.027)</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NumMarkets</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-0.010</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(0.007)</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(0.007)</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FamilyFirm</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-0.090**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0.018</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(0.039)</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(0.014)</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(0.019)</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NumDirectors</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0.015***</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-0.011***</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(0.004)</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DirectorsNobility</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0.009</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(0.032)</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(0.013)</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CourtWoundup</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0.048</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-0.024</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(0.079)</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(0.026)</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(0.038)</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Merged</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0.076**</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-0.026**</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(0.015)</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HeadLondon</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0.098**</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-0.004</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(0.045)</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(0.017)</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(0.022)</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HeadLanc</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-0.036</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-0.003</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0.051*</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(0.057)</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(0.031)</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(0.028)</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HeadYork</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-0.064**</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0.009</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-0.034</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(0.032)</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(0.018)</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(0.021)</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LocalMiles</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-0.001***</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98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Constant</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0.672</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1.087</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0.393</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-1.242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-3.536***</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-1.904</w:t>
            </w:r>
          </w:p>
        </w:tc>
      </w:tr>
      <w:tr w:rsidR="00DA49AC" w:rsidRPr="003301F4" w:rsidTr="00601F55">
        <w:trPr>
          <w:jc w:val="center"/>
        </w:trPr>
        <w:tc>
          <w:tcPr>
            <w:tcW w:w="98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szCs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(2.001)</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(4.024)</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(0.816)</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(1.603)</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(0.642)</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(1.699)</w:t>
            </w:r>
          </w:p>
        </w:tc>
      </w:tr>
      <w:tr w:rsidR="00DA49AC" w:rsidRPr="003301F4" w:rsidTr="00601F55">
        <w:trPr>
          <w:jc w:val="center"/>
        </w:trPr>
        <w:tc>
          <w:tcPr>
            <w:tcW w:w="98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szCs w:val="18"/>
              </w:rPr>
            </w:pP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p>
        </w:tc>
      </w:tr>
      <w:tr w:rsidR="00DA49AC" w:rsidRPr="003301F4" w:rsidTr="00601F55">
        <w:trPr>
          <w:jc w:val="center"/>
        </w:trPr>
        <w:tc>
          <w:tcPr>
            <w:tcW w:w="98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rPr>
                <w:sz w:val="18"/>
                <w:szCs w:val="18"/>
              </w:rPr>
            </w:pPr>
            <w:r w:rsidRPr="003301F4">
              <w:rPr>
                <w:sz w:val="18"/>
                <w:szCs w:val="18"/>
              </w:rPr>
              <w:t>Observations</w:t>
            </w:r>
          </w:p>
        </w:tc>
        <w:tc>
          <w:tcPr>
            <w:tcW w:w="627"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460</w:t>
            </w:r>
          </w:p>
        </w:tc>
        <w:tc>
          <w:tcPr>
            <w:tcW w:w="62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179</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460</w:t>
            </w:r>
          </w:p>
        </w:tc>
        <w:tc>
          <w:tcPr>
            <w:tcW w:w="674"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179</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460</w:t>
            </w:r>
          </w:p>
        </w:tc>
        <w:tc>
          <w:tcPr>
            <w:tcW w:w="706" w:type="pct"/>
            <w:tcBorders>
              <w:top w:val="nil"/>
              <w:left w:val="nil"/>
              <w:bottom w:val="nil"/>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179</w:t>
            </w:r>
          </w:p>
        </w:tc>
      </w:tr>
      <w:tr w:rsidR="00DA49AC" w:rsidRPr="003301F4" w:rsidTr="00601F55">
        <w:tblPrEx>
          <w:tblBorders>
            <w:bottom w:val="single" w:sz="6" w:space="0" w:color="auto"/>
          </w:tblBorders>
        </w:tblPrEx>
        <w:trPr>
          <w:jc w:val="center"/>
        </w:trPr>
        <w:tc>
          <w:tcPr>
            <w:tcW w:w="986"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rPr>
                <w:sz w:val="18"/>
                <w:szCs w:val="18"/>
              </w:rPr>
            </w:pPr>
            <w:r w:rsidRPr="003301F4">
              <w:rPr>
                <w:sz w:val="18"/>
                <w:szCs w:val="18"/>
              </w:rPr>
              <w:t>R-squared</w:t>
            </w:r>
          </w:p>
        </w:tc>
        <w:tc>
          <w:tcPr>
            <w:tcW w:w="627"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0.261</w:t>
            </w:r>
          </w:p>
        </w:tc>
        <w:tc>
          <w:tcPr>
            <w:tcW w:w="626"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0.525</w:t>
            </w:r>
          </w:p>
        </w:tc>
        <w:tc>
          <w:tcPr>
            <w:tcW w:w="674"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0.148</w:t>
            </w:r>
          </w:p>
        </w:tc>
        <w:tc>
          <w:tcPr>
            <w:tcW w:w="674"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0.477</w:t>
            </w:r>
          </w:p>
        </w:tc>
        <w:tc>
          <w:tcPr>
            <w:tcW w:w="706"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0.427</w:t>
            </w:r>
          </w:p>
        </w:tc>
        <w:tc>
          <w:tcPr>
            <w:tcW w:w="706" w:type="pct"/>
            <w:tcBorders>
              <w:top w:val="nil"/>
              <w:left w:val="nil"/>
              <w:bottom w:val="single" w:sz="6" w:space="0" w:color="auto"/>
              <w:right w:val="nil"/>
            </w:tcBorders>
          </w:tcPr>
          <w:p w:rsidR="00DA49AC" w:rsidRPr="003301F4" w:rsidRDefault="00DA49AC" w:rsidP="003A620F">
            <w:pPr>
              <w:widowControl w:val="0"/>
              <w:autoSpaceDE w:val="0"/>
              <w:autoSpaceDN w:val="0"/>
              <w:adjustRightInd w:val="0"/>
              <w:spacing w:line="240" w:lineRule="auto"/>
              <w:jc w:val="center"/>
              <w:rPr>
                <w:sz w:val="18"/>
                <w:szCs w:val="18"/>
              </w:rPr>
            </w:pPr>
            <w:r w:rsidRPr="003301F4">
              <w:rPr>
                <w:sz w:val="18"/>
                <w:szCs w:val="18"/>
              </w:rPr>
              <w:t>0.522</w:t>
            </w:r>
          </w:p>
        </w:tc>
      </w:tr>
    </w:tbl>
    <w:p w:rsidR="00DA49AC" w:rsidRDefault="00DA49AC" w:rsidP="00601F55">
      <w:pPr>
        <w:spacing w:line="276" w:lineRule="auto"/>
        <w:rPr>
          <w:sz w:val="18"/>
          <w:szCs w:val="18"/>
        </w:rPr>
      </w:pPr>
      <w:r w:rsidRPr="00B56DE5">
        <w:rPr>
          <w:i/>
          <w:sz w:val="18"/>
          <w:szCs w:val="18"/>
        </w:rPr>
        <w:t>Notes</w:t>
      </w:r>
      <w:r>
        <w:rPr>
          <w:sz w:val="18"/>
          <w:szCs w:val="18"/>
        </w:rPr>
        <w:t xml:space="preserve">: </w:t>
      </w:r>
      <w:r w:rsidRPr="00B56DE5">
        <w:rPr>
          <w:sz w:val="18"/>
          <w:szCs w:val="18"/>
        </w:rPr>
        <w:t xml:space="preserve">Robust standard errors </w:t>
      </w:r>
      <w:r>
        <w:rPr>
          <w:sz w:val="18"/>
          <w:szCs w:val="18"/>
        </w:rPr>
        <w:t xml:space="preserve">are </w:t>
      </w:r>
      <w:r w:rsidRPr="00B56DE5">
        <w:rPr>
          <w:sz w:val="18"/>
          <w:szCs w:val="18"/>
        </w:rPr>
        <w:t>in parentheses</w:t>
      </w:r>
      <w:r>
        <w:rPr>
          <w:sz w:val="18"/>
          <w:szCs w:val="18"/>
        </w:rPr>
        <w:t xml:space="preserve"> and </w:t>
      </w:r>
      <w:r w:rsidRPr="00B56DE5">
        <w:rPr>
          <w:sz w:val="18"/>
          <w:szCs w:val="18"/>
        </w:rPr>
        <w:t>*** p&lt;0.01, ** p&lt;0.05, * p&lt;0.1</w:t>
      </w:r>
      <w:r>
        <w:rPr>
          <w:sz w:val="18"/>
          <w:szCs w:val="18"/>
        </w:rPr>
        <w:t>.</w:t>
      </w:r>
    </w:p>
    <w:p w:rsidR="00DA49AC" w:rsidRDefault="00DA49AC" w:rsidP="00D3498D">
      <w:pPr>
        <w:spacing w:line="276" w:lineRule="auto"/>
        <w:jc w:val="both"/>
        <w:rPr>
          <w:sz w:val="24"/>
          <w:szCs w:val="24"/>
        </w:rPr>
      </w:pPr>
    </w:p>
    <w:p w:rsidR="00DA49AC" w:rsidRDefault="00DA49AC" w:rsidP="00D3498D">
      <w:pPr>
        <w:spacing w:line="276" w:lineRule="auto"/>
        <w:jc w:val="both"/>
        <w:rPr>
          <w:sz w:val="24"/>
          <w:szCs w:val="24"/>
        </w:rPr>
      </w:pPr>
    </w:p>
    <w:p w:rsidR="00DA49AC" w:rsidRDefault="00DA49AC" w:rsidP="00D3498D">
      <w:pPr>
        <w:spacing w:line="276" w:lineRule="auto"/>
        <w:jc w:val="both"/>
        <w:rPr>
          <w:sz w:val="24"/>
          <w:szCs w:val="24"/>
        </w:rPr>
      </w:pPr>
    </w:p>
    <w:p w:rsidR="00DA49AC" w:rsidRDefault="00DA49AC" w:rsidP="00D3498D">
      <w:pPr>
        <w:spacing w:line="276" w:lineRule="auto"/>
        <w:jc w:val="both"/>
        <w:rPr>
          <w:sz w:val="24"/>
          <w:szCs w:val="24"/>
        </w:rPr>
      </w:pPr>
    </w:p>
    <w:p w:rsidR="00DA49AC" w:rsidRDefault="00DA49AC" w:rsidP="00DC53E5">
      <w:pPr>
        <w:spacing w:line="276" w:lineRule="auto"/>
        <w:jc w:val="both"/>
        <w:rPr>
          <w:sz w:val="24"/>
          <w:szCs w:val="24"/>
        </w:rPr>
      </w:pPr>
      <w:r>
        <w:rPr>
          <w:i/>
          <w:sz w:val="24"/>
          <w:szCs w:val="24"/>
        </w:rPr>
        <w:t>Table 11</w:t>
      </w:r>
      <w:r w:rsidRPr="00AD68AC">
        <w:rPr>
          <w:sz w:val="24"/>
          <w:szCs w:val="24"/>
        </w:rPr>
        <w:t xml:space="preserve">. </w:t>
      </w:r>
      <w:r>
        <w:rPr>
          <w:sz w:val="24"/>
          <w:szCs w:val="24"/>
        </w:rPr>
        <w:tab/>
        <w:t>Determinants of proportion of c</w:t>
      </w:r>
      <w:r w:rsidRPr="00AD68AC">
        <w:rPr>
          <w:sz w:val="24"/>
          <w:szCs w:val="24"/>
        </w:rPr>
        <w:t xml:space="preserve">apital </w:t>
      </w:r>
      <w:r>
        <w:rPr>
          <w:sz w:val="24"/>
          <w:szCs w:val="24"/>
        </w:rPr>
        <w:t>h</w:t>
      </w:r>
      <w:r w:rsidRPr="00AD68AC">
        <w:rPr>
          <w:sz w:val="24"/>
          <w:szCs w:val="24"/>
        </w:rPr>
        <w:t>eld by</w:t>
      </w:r>
      <w:r>
        <w:rPr>
          <w:sz w:val="24"/>
          <w:szCs w:val="24"/>
        </w:rPr>
        <w:t xml:space="preserve"> various socio-occupational groups, as a proportion of capital not held by gentlemen and esquires</w:t>
      </w:r>
    </w:p>
    <w:tbl>
      <w:tblPr>
        <w:tblW w:w="5000" w:type="pct"/>
        <w:jc w:val="center"/>
        <w:tblCellMar>
          <w:left w:w="75" w:type="dxa"/>
          <w:right w:w="75" w:type="dxa"/>
        </w:tblCellMar>
        <w:tblLook w:val="0000"/>
      </w:tblPr>
      <w:tblGrid>
        <w:gridCol w:w="2027"/>
        <w:gridCol w:w="1208"/>
        <w:gridCol w:w="1231"/>
        <w:gridCol w:w="1208"/>
        <w:gridCol w:w="1085"/>
        <w:gridCol w:w="1208"/>
        <w:gridCol w:w="1209"/>
      </w:tblGrid>
      <w:tr w:rsidR="00DA49AC" w:rsidRPr="003301F4" w:rsidTr="00601F55">
        <w:trPr>
          <w:jc w:val="center"/>
        </w:trPr>
        <w:tc>
          <w:tcPr>
            <w:tcW w:w="1106"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60"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w:t>
            </w:r>
          </w:p>
        </w:tc>
        <w:tc>
          <w:tcPr>
            <w:tcW w:w="660"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(2)</w:t>
            </w:r>
          </w:p>
        </w:tc>
        <w:tc>
          <w:tcPr>
            <w:tcW w:w="660"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(3)</w:t>
            </w:r>
          </w:p>
        </w:tc>
        <w:tc>
          <w:tcPr>
            <w:tcW w:w="593"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(4)</w:t>
            </w:r>
          </w:p>
        </w:tc>
        <w:tc>
          <w:tcPr>
            <w:tcW w:w="660"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(5)</w:t>
            </w:r>
          </w:p>
        </w:tc>
        <w:tc>
          <w:tcPr>
            <w:tcW w:w="660"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(6)</w:t>
            </w:r>
          </w:p>
        </w:tc>
      </w:tr>
      <w:tr w:rsidR="00DA49AC" w:rsidRPr="003301F4" w:rsidTr="00601F55">
        <w:trPr>
          <w:jc w:val="center"/>
        </w:trPr>
        <w:tc>
          <w:tcPr>
            <w:tcW w:w="1106"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BusinessProp</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InstitutionProp</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FinanceProp</w:t>
            </w:r>
          </w:p>
        </w:tc>
        <w:tc>
          <w:tcPr>
            <w:tcW w:w="593"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UpperProp</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MiddleProp</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WomenProp</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Age</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Size</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-0.016</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ForeignFirm</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-0.115***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(0.028)</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Preference</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0.095**</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(0.045)</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ShareUncalled</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ShareParValue</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IndustryMines</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(0.032)</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IndustryUtility</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IndustryFinancial</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0.097**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-0.085**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-0.010</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IndustryBreweries</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0.096**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-0.044</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(0.045)</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NumShareholders</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OwnershipDate</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DivPayer</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-0.149***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0.121***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(0.037)</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DivYield</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Liquidity</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0.084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0.065***</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(0.035)</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NumMarkets</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(0.008)</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FamilyFirm</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0.113***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(0.028)</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NumDirectors</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DirectorsNobility</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CourtWoundup</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-0.082***</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0.028</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(0.106)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(0.093)</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Merged</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(0.023)</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HeadLondon</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-0.082*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0.055*</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(0.027)</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(0.032)</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HeadLanc</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0.092**</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(0.016)</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HeadYork</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0.152***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-0.058*</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(0.042)</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(0.015)</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(0.033)</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LocalMiles</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Constant</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5.683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-4.244***</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1.020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0.653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-1.356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-2.763</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(3.779)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(1.536)</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(1.700)</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(1.973)</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(2.551)</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(2.667)</w:t>
            </w: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r>
      <w:tr w:rsidR="00DA49AC" w:rsidRPr="003301F4" w:rsidTr="00601F55">
        <w:trPr>
          <w:jc w:val="center"/>
        </w:trPr>
        <w:tc>
          <w:tcPr>
            <w:tcW w:w="110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r w:rsidRPr="003301F4">
              <w:rPr>
                <w:sz w:val="18"/>
                <w:szCs w:val="18"/>
              </w:rPr>
              <w:t>Observations</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5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60"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r>
      <w:tr w:rsidR="00DA49AC" w:rsidRPr="003301F4" w:rsidTr="00601F55">
        <w:tblPrEx>
          <w:tblBorders>
            <w:bottom w:val="single" w:sz="6" w:space="0" w:color="auto"/>
          </w:tblBorders>
        </w:tblPrEx>
        <w:trPr>
          <w:jc w:val="center"/>
        </w:trPr>
        <w:tc>
          <w:tcPr>
            <w:tcW w:w="1106"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rPr>
                <w:sz w:val="18"/>
                <w:szCs w:val="18"/>
              </w:rPr>
            </w:pPr>
            <w:r w:rsidRPr="003301F4">
              <w:rPr>
                <w:sz w:val="18"/>
                <w:szCs w:val="18"/>
              </w:rPr>
              <w:t>R-squared</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0.514</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0.371</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0.269</w:t>
            </w:r>
          </w:p>
        </w:tc>
        <w:tc>
          <w:tcPr>
            <w:tcW w:w="593"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0.337</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0.442</w:t>
            </w:r>
          </w:p>
        </w:tc>
        <w:tc>
          <w:tcPr>
            <w:tcW w:w="660"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0.456</w:t>
            </w:r>
          </w:p>
        </w:tc>
      </w:tr>
    </w:tbl>
    <w:p w:rsidR="00DA49AC" w:rsidRDefault="00DA49AC" w:rsidP="00B44618">
      <w:pPr>
        <w:spacing w:line="276" w:lineRule="auto"/>
        <w:rPr>
          <w:sz w:val="18"/>
          <w:szCs w:val="18"/>
        </w:rPr>
      </w:pPr>
      <w:r w:rsidRPr="00B56DE5">
        <w:rPr>
          <w:i/>
          <w:sz w:val="18"/>
          <w:szCs w:val="18"/>
        </w:rPr>
        <w:t>Notes</w:t>
      </w:r>
      <w:r>
        <w:rPr>
          <w:sz w:val="18"/>
          <w:szCs w:val="18"/>
        </w:rPr>
        <w:t xml:space="preserve">: </w:t>
      </w:r>
      <w:r w:rsidRPr="00B56DE5">
        <w:rPr>
          <w:sz w:val="18"/>
          <w:szCs w:val="18"/>
        </w:rPr>
        <w:t xml:space="preserve">Robust standard errors </w:t>
      </w:r>
      <w:r>
        <w:rPr>
          <w:sz w:val="18"/>
          <w:szCs w:val="18"/>
        </w:rPr>
        <w:t xml:space="preserve">are </w:t>
      </w:r>
      <w:r w:rsidRPr="00B56DE5">
        <w:rPr>
          <w:sz w:val="18"/>
          <w:szCs w:val="18"/>
        </w:rPr>
        <w:t>in parentheses</w:t>
      </w:r>
      <w:r>
        <w:rPr>
          <w:sz w:val="18"/>
          <w:szCs w:val="18"/>
        </w:rPr>
        <w:t xml:space="preserve"> and </w:t>
      </w:r>
      <w:r w:rsidRPr="00B56DE5">
        <w:rPr>
          <w:sz w:val="18"/>
          <w:szCs w:val="18"/>
        </w:rPr>
        <w:t>*** p&lt;0.01, ** p&lt;0.05, * p&lt;0.1</w:t>
      </w:r>
      <w:r>
        <w:rPr>
          <w:sz w:val="18"/>
          <w:szCs w:val="18"/>
        </w:rPr>
        <w:t>.</w:t>
      </w:r>
    </w:p>
    <w:p w:rsidR="00DA49AC" w:rsidRDefault="00DA49AC">
      <w:pPr>
        <w:spacing w:line="276" w:lineRule="auto"/>
        <w:rPr>
          <w:sz w:val="24"/>
          <w:szCs w:val="24"/>
        </w:rPr>
      </w:pPr>
      <w:r>
        <w:rPr>
          <w:sz w:val="24"/>
          <w:szCs w:val="24"/>
        </w:rPr>
        <w:br w:type="page"/>
      </w:r>
    </w:p>
    <w:p w:rsidR="00DA49AC" w:rsidRDefault="00DA49AC" w:rsidP="00B44618">
      <w:pPr>
        <w:spacing w:line="276" w:lineRule="auto"/>
        <w:jc w:val="both"/>
        <w:rPr>
          <w:sz w:val="24"/>
          <w:szCs w:val="24"/>
        </w:rPr>
      </w:pPr>
      <w:r>
        <w:rPr>
          <w:i/>
          <w:sz w:val="24"/>
          <w:szCs w:val="24"/>
        </w:rPr>
        <w:t>Table 12</w:t>
      </w:r>
      <w:r w:rsidRPr="00AD68AC">
        <w:rPr>
          <w:sz w:val="24"/>
          <w:szCs w:val="24"/>
        </w:rPr>
        <w:t xml:space="preserve">. </w:t>
      </w:r>
      <w:r>
        <w:rPr>
          <w:sz w:val="24"/>
          <w:szCs w:val="24"/>
        </w:rPr>
        <w:tab/>
        <w:t>Determinants of proportion of investors in each socio-occupational group</w:t>
      </w:r>
    </w:p>
    <w:tbl>
      <w:tblPr>
        <w:tblW w:w="5000" w:type="pct"/>
        <w:jc w:val="center"/>
        <w:tblLayout w:type="fixed"/>
        <w:tblCellMar>
          <w:left w:w="75" w:type="dxa"/>
          <w:right w:w="75" w:type="dxa"/>
        </w:tblCellMar>
        <w:tblLook w:val="0000"/>
      </w:tblPr>
      <w:tblGrid>
        <w:gridCol w:w="1552"/>
        <w:gridCol w:w="1270"/>
        <w:gridCol w:w="1272"/>
        <w:gridCol w:w="1270"/>
        <w:gridCol w:w="1272"/>
        <w:gridCol w:w="1270"/>
        <w:gridCol w:w="1270"/>
      </w:tblGrid>
      <w:tr w:rsidR="00DA49AC" w:rsidRPr="003301F4" w:rsidTr="00961CB4">
        <w:trPr>
          <w:jc w:val="center"/>
        </w:trPr>
        <w:tc>
          <w:tcPr>
            <w:tcW w:w="846"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92"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w:t>
            </w:r>
          </w:p>
        </w:tc>
        <w:tc>
          <w:tcPr>
            <w:tcW w:w="693"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(2)</w:t>
            </w:r>
          </w:p>
        </w:tc>
        <w:tc>
          <w:tcPr>
            <w:tcW w:w="692"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(3)</w:t>
            </w:r>
          </w:p>
        </w:tc>
        <w:tc>
          <w:tcPr>
            <w:tcW w:w="693"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(4)</w:t>
            </w:r>
          </w:p>
        </w:tc>
        <w:tc>
          <w:tcPr>
            <w:tcW w:w="692"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(5)</w:t>
            </w:r>
          </w:p>
        </w:tc>
        <w:tc>
          <w:tcPr>
            <w:tcW w:w="693" w:type="pct"/>
            <w:tcBorders>
              <w:top w:val="single" w:sz="6" w:space="0" w:color="auto"/>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(6)</w:t>
            </w:r>
          </w:p>
        </w:tc>
      </w:tr>
      <w:tr w:rsidR="00DA49AC" w:rsidRPr="003301F4" w:rsidTr="00961CB4">
        <w:trPr>
          <w:jc w:val="center"/>
        </w:trPr>
        <w:tc>
          <w:tcPr>
            <w:tcW w:w="846"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92"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BusinessNum</w:t>
            </w:r>
          </w:p>
        </w:tc>
        <w:tc>
          <w:tcPr>
            <w:tcW w:w="693"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InsitutionNum</w:t>
            </w:r>
          </w:p>
        </w:tc>
        <w:tc>
          <w:tcPr>
            <w:tcW w:w="692"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FinanceNum</w:t>
            </w:r>
          </w:p>
        </w:tc>
        <w:tc>
          <w:tcPr>
            <w:tcW w:w="693"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UpperNum</w:t>
            </w:r>
          </w:p>
        </w:tc>
        <w:tc>
          <w:tcPr>
            <w:tcW w:w="692"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MiddleNum</w:t>
            </w:r>
          </w:p>
        </w:tc>
        <w:tc>
          <w:tcPr>
            <w:tcW w:w="693"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WomenNum</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Age</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Size</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0.084***</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ForeignFirm</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0.077**</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(0.034)</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Preference</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-0.057*</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0.061</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(0.033)</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(0.038)</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ShareUncalled</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ShareParValue</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IndustryMines</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0.102*</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-0.088***</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(0.057)</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IndustryUtility</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-0.008</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(0.056)</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(0.023)</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IndustryFinancial</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-0.059</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(0.039)</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IndustryBreweries</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NumShareholders</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OwnershipDate</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DivPayer</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-0.053</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0.114***</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(0.059)</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DivYield</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0.008*</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-0.008***</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Liquidity</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-0.056</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(0.053)</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(0.028)</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NumMarkets</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-0.015*</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(0.016)</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(0.008)</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FamilyFirm</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-0.073**</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0.037*</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(0.032)</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(0.019)</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NumDirectors</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-0.008*</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-0.015***</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DirectorsNobility</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0.016</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(0.026)</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(0.015)</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CourtWoundup</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-0.008</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0.021</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(0.060)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(0.011)</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(0.051)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(0.032)</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Merged</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0.084***</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(0.026)</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(0.014)</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HeadLondon</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-0.089***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0.106***</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0.012</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(0.035)</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(0.018)</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(0.023)</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HeadLanc</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-0.044</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0.026</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(0.048)</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(0.024)</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HeadYork</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0.126***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-0.004</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-0.071***</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(0.030)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(0.016)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(0.026)</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LocalMiles</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(0.000)</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rPr>
            </w:pPr>
            <w:r w:rsidRPr="003301F4">
              <w:rPr>
                <w:sz w:val="18"/>
              </w:rPr>
              <w:t>Constant</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5.348**</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-0.341***</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0.185</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4.347</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-1.626</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-6.247***</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(2.423)</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(0.096)</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(0.532)</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(3.164)</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(1.497)</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(1.962)</w:t>
            </w: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p>
        </w:tc>
      </w:tr>
      <w:tr w:rsidR="00DA49AC" w:rsidRPr="003301F4" w:rsidTr="00961CB4">
        <w:trPr>
          <w:jc w:val="center"/>
        </w:trPr>
        <w:tc>
          <w:tcPr>
            <w:tcW w:w="846"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rPr>
                <w:sz w:val="18"/>
                <w:szCs w:val="18"/>
              </w:rPr>
            </w:pPr>
            <w:r w:rsidRPr="003301F4">
              <w:rPr>
                <w:sz w:val="18"/>
                <w:szCs w:val="18"/>
              </w:rPr>
              <w:t>Observations</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92"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c>
          <w:tcPr>
            <w:tcW w:w="693" w:type="pct"/>
            <w:tcBorders>
              <w:top w:val="nil"/>
              <w:left w:val="nil"/>
              <w:bottom w:val="nil"/>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179</w:t>
            </w:r>
          </w:p>
        </w:tc>
      </w:tr>
      <w:tr w:rsidR="00DA49AC" w:rsidRPr="003301F4" w:rsidTr="00961CB4">
        <w:tblPrEx>
          <w:tblBorders>
            <w:bottom w:val="single" w:sz="6" w:space="0" w:color="auto"/>
          </w:tblBorders>
        </w:tblPrEx>
        <w:trPr>
          <w:jc w:val="center"/>
        </w:trPr>
        <w:tc>
          <w:tcPr>
            <w:tcW w:w="846"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rPr>
                <w:sz w:val="18"/>
                <w:szCs w:val="18"/>
              </w:rPr>
            </w:pPr>
            <w:r w:rsidRPr="003301F4">
              <w:rPr>
                <w:sz w:val="18"/>
                <w:szCs w:val="18"/>
              </w:rPr>
              <w:t>R-squared</w:t>
            </w:r>
          </w:p>
        </w:tc>
        <w:tc>
          <w:tcPr>
            <w:tcW w:w="692"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0.550</w:t>
            </w:r>
          </w:p>
        </w:tc>
        <w:tc>
          <w:tcPr>
            <w:tcW w:w="693"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0.426</w:t>
            </w:r>
          </w:p>
        </w:tc>
        <w:tc>
          <w:tcPr>
            <w:tcW w:w="692"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0.266</w:t>
            </w:r>
          </w:p>
        </w:tc>
        <w:tc>
          <w:tcPr>
            <w:tcW w:w="693"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0.655</w:t>
            </w:r>
          </w:p>
        </w:tc>
        <w:tc>
          <w:tcPr>
            <w:tcW w:w="692"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0.507</w:t>
            </w:r>
          </w:p>
        </w:tc>
        <w:tc>
          <w:tcPr>
            <w:tcW w:w="693" w:type="pct"/>
            <w:tcBorders>
              <w:top w:val="nil"/>
              <w:left w:val="nil"/>
              <w:bottom w:val="single" w:sz="6" w:space="0" w:color="auto"/>
              <w:right w:val="nil"/>
            </w:tcBorders>
          </w:tcPr>
          <w:p w:rsidR="00DA49AC" w:rsidRPr="003301F4" w:rsidRDefault="00DA49AC" w:rsidP="005448DD">
            <w:pPr>
              <w:widowControl w:val="0"/>
              <w:autoSpaceDE w:val="0"/>
              <w:autoSpaceDN w:val="0"/>
              <w:adjustRightInd w:val="0"/>
              <w:spacing w:line="240" w:lineRule="auto"/>
              <w:jc w:val="center"/>
              <w:rPr>
                <w:sz w:val="18"/>
                <w:szCs w:val="18"/>
              </w:rPr>
            </w:pPr>
            <w:r w:rsidRPr="003301F4">
              <w:rPr>
                <w:sz w:val="18"/>
                <w:szCs w:val="18"/>
              </w:rPr>
              <w:t>0.559</w:t>
            </w:r>
          </w:p>
        </w:tc>
      </w:tr>
    </w:tbl>
    <w:p w:rsidR="00DA49AC" w:rsidRPr="00B44618" w:rsidRDefault="00DA49AC" w:rsidP="00B44618">
      <w:pPr>
        <w:spacing w:line="276" w:lineRule="auto"/>
        <w:rPr>
          <w:sz w:val="18"/>
          <w:szCs w:val="18"/>
        </w:rPr>
      </w:pPr>
      <w:r w:rsidRPr="00B56DE5">
        <w:rPr>
          <w:i/>
          <w:sz w:val="18"/>
          <w:szCs w:val="18"/>
        </w:rPr>
        <w:t>Notes</w:t>
      </w:r>
      <w:r>
        <w:rPr>
          <w:sz w:val="18"/>
          <w:szCs w:val="18"/>
        </w:rPr>
        <w:t xml:space="preserve">: </w:t>
      </w:r>
      <w:r w:rsidRPr="00B56DE5">
        <w:rPr>
          <w:sz w:val="18"/>
          <w:szCs w:val="18"/>
        </w:rPr>
        <w:t xml:space="preserve">Robust standard errors </w:t>
      </w:r>
      <w:r>
        <w:rPr>
          <w:sz w:val="18"/>
          <w:szCs w:val="18"/>
        </w:rPr>
        <w:t xml:space="preserve">are </w:t>
      </w:r>
      <w:r w:rsidRPr="00B56DE5">
        <w:rPr>
          <w:sz w:val="18"/>
          <w:szCs w:val="18"/>
        </w:rPr>
        <w:t>in parentheses</w:t>
      </w:r>
      <w:r>
        <w:rPr>
          <w:sz w:val="18"/>
          <w:szCs w:val="18"/>
        </w:rPr>
        <w:t xml:space="preserve"> and </w:t>
      </w:r>
      <w:r w:rsidRPr="00B56DE5">
        <w:rPr>
          <w:sz w:val="18"/>
          <w:szCs w:val="18"/>
        </w:rPr>
        <w:t>*** p&lt;0.01, ** p&lt;0.05, * p&lt;0.1</w:t>
      </w:r>
      <w:r>
        <w:rPr>
          <w:sz w:val="18"/>
          <w:szCs w:val="18"/>
        </w:rPr>
        <w:t>.</w:t>
      </w:r>
    </w:p>
    <w:p w:rsidR="00DA49AC" w:rsidRDefault="00DA49AC" w:rsidP="00DC53E5">
      <w:pPr>
        <w:spacing w:line="276" w:lineRule="auto"/>
        <w:jc w:val="both"/>
        <w:rPr>
          <w:sz w:val="24"/>
          <w:szCs w:val="24"/>
        </w:rPr>
      </w:pPr>
    </w:p>
    <w:p w:rsidR="00DA49AC" w:rsidRPr="00AD68AC" w:rsidRDefault="00DA49AC" w:rsidP="00DC53E5">
      <w:pPr>
        <w:spacing w:line="276" w:lineRule="auto"/>
        <w:jc w:val="both"/>
        <w:rPr>
          <w:sz w:val="24"/>
          <w:szCs w:val="24"/>
        </w:rPr>
      </w:pPr>
    </w:p>
    <w:p w:rsidR="00DA49AC" w:rsidRDefault="00DA49AC">
      <w:pPr>
        <w:spacing w:line="276" w:lineRule="auto"/>
        <w:rPr>
          <w:i/>
          <w:sz w:val="24"/>
          <w:szCs w:val="24"/>
        </w:rPr>
      </w:pPr>
      <w:r>
        <w:rPr>
          <w:i/>
          <w:sz w:val="24"/>
          <w:szCs w:val="24"/>
        </w:rPr>
        <w:br w:type="page"/>
      </w:r>
    </w:p>
    <w:p w:rsidR="00DA49AC" w:rsidRPr="009959A0" w:rsidRDefault="00DA49AC" w:rsidP="009959A0">
      <w:pPr>
        <w:spacing w:line="240" w:lineRule="auto"/>
        <w:jc w:val="both"/>
        <w:rPr>
          <w:sz w:val="24"/>
          <w:szCs w:val="24"/>
        </w:rPr>
      </w:pPr>
      <w:r w:rsidRPr="009959A0">
        <w:rPr>
          <w:i/>
          <w:sz w:val="24"/>
          <w:szCs w:val="24"/>
        </w:rPr>
        <w:t>Appendix Table 1</w:t>
      </w:r>
      <w:r w:rsidRPr="009959A0">
        <w:rPr>
          <w:sz w:val="24"/>
          <w:szCs w:val="24"/>
        </w:rPr>
        <w:t>.</w:t>
      </w:r>
      <w:r w:rsidRPr="009959A0">
        <w:rPr>
          <w:sz w:val="24"/>
          <w:szCs w:val="24"/>
        </w:rPr>
        <w:tab/>
      </w:r>
      <w:r>
        <w:rPr>
          <w:sz w:val="24"/>
          <w:szCs w:val="24"/>
        </w:rPr>
        <w:t>Variable d</w:t>
      </w:r>
      <w:r w:rsidRPr="009959A0">
        <w:rPr>
          <w:sz w:val="24"/>
          <w:szCs w:val="24"/>
        </w:rPr>
        <w:t>efinitions and</w:t>
      </w:r>
      <w:r>
        <w:rPr>
          <w:sz w:val="24"/>
          <w:szCs w:val="24"/>
        </w:rPr>
        <w:t xml:space="preserve"> data s</w:t>
      </w:r>
      <w:r w:rsidRPr="009959A0">
        <w:rPr>
          <w:sz w:val="24"/>
          <w:szCs w:val="24"/>
        </w:rPr>
        <w:t>ources</w:t>
      </w:r>
    </w:p>
    <w:tbl>
      <w:tblPr>
        <w:tblW w:w="4953" w:type="pct"/>
        <w:jc w:val="center"/>
        <w:tblCellMar>
          <w:left w:w="75" w:type="dxa"/>
          <w:right w:w="75" w:type="dxa"/>
        </w:tblCellMar>
        <w:tblLook w:val="0000"/>
      </w:tblPr>
      <w:tblGrid>
        <w:gridCol w:w="1627"/>
        <w:gridCol w:w="5698"/>
        <w:gridCol w:w="1765"/>
      </w:tblGrid>
      <w:tr w:rsidR="00DA49AC" w:rsidRPr="003301F4" w:rsidTr="00EF6D76">
        <w:trPr>
          <w:trHeight w:val="410"/>
          <w:jc w:val="center"/>
        </w:trPr>
        <w:tc>
          <w:tcPr>
            <w:tcW w:w="895" w:type="pct"/>
            <w:tcBorders>
              <w:top w:val="single" w:sz="4" w:space="0" w:color="auto"/>
              <w:left w:val="nil"/>
              <w:bottom w:val="single" w:sz="4" w:space="0" w:color="auto"/>
              <w:right w:val="nil"/>
            </w:tcBorders>
            <w:vAlign w:val="center"/>
          </w:tcPr>
          <w:p w:rsidR="00DA49AC" w:rsidRPr="003301F4" w:rsidRDefault="00DA49AC" w:rsidP="00AD68AC">
            <w:pPr>
              <w:widowControl w:val="0"/>
              <w:autoSpaceDE w:val="0"/>
              <w:autoSpaceDN w:val="0"/>
              <w:adjustRightInd w:val="0"/>
              <w:jc w:val="center"/>
              <w:rPr>
                <w:sz w:val="16"/>
                <w:szCs w:val="18"/>
              </w:rPr>
            </w:pPr>
            <w:r w:rsidRPr="003301F4">
              <w:rPr>
                <w:sz w:val="16"/>
                <w:szCs w:val="18"/>
              </w:rPr>
              <w:t>Variable</w:t>
            </w:r>
          </w:p>
        </w:tc>
        <w:tc>
          <w:tcPr>
            <w:tcW w:w="3134" w:type="pct"/>
            <w:tcBorders>
              <w:top w:val="single" w:sz="4" w:space="0" w:color="auto"/>
              <w:left w:val="nil"/>
              <w:bottom w:val="single" w:sz="4" w:space="0" w:color="auto"/>
              <w:right w:val="nil"/>
            </w:tcBorders>
            <w:vAlign w:val="center"/>
          </w:tcPr>
          <w:p w:rsidR="00DA49AC" w:rsidRPr="003301F4" w:rsidRDefault="00DA49AC" w:rsidP="00AD68AC">
            <w:pPr>
              <w:widowControl w:val="0"/>
              <w:autoSpaceDE w:val="0"/>
              <w:autoSpaceDN w:val="0"/>
              <w:adjustRightInd w:val="0"/>
              <w:jc w:val="center"/>
              <w:rPr>
                <w:sz w:val="16"/>
                <w:szCs w:val="18"/>
              </w:rPr>
            </w:pPr>
            <w:r w:rsidRPr="003301F4">
              <w:rPr>
                <w:sz w:val="16"/>
                <w:szCs w:val="18"/>
              </w:rPr>
              <w:t>Description</w:t>
            </w:r>
          </w:p>
        </w:tc>
        <w:tc>
          <w:tcPr>
            <w:tcW w:w="971" w:type="pct"/>
            <w:tcBorders>
              <w:top w:val="single" w:sz="4" w:space="0" w:color="auto"/>
              <w:left w:val="nil"/>
              <w:bottom w:val="single" w:sz="4" w:space="0" w:color="auto"/>
              <w:right w:val="nil"/>
            </w:tcBorders>
            <w:vAlign w:val="center"/>
          </w:tcPr>
          <w:p w:rsidR="00DA49AC" w:rsidRPr="003301F4" w:rsidRDefault="00DA49AC" w:rsidP="00AD68AC">
            <w:pPr>
              <w:widowControl w:val="0"/>
              <w:autoSpaceDE w:val="0"/>
              <w:autoSpaceDN w:val="0"/>
              <w:adjustRightInd w:val="0"/>
              <w:jc w:val="center"/>
              <w:rPr>
                <w:sz w:val="16"/>
                <w:szCs w:val="18"/>
              </w:rPr>
            </w:pPr>
            <w:r w:rsidRPr="003301F4">
              <w:rPr>
                <w:sz w:val="16"/>
                <w:szCs w:val="18"/>
              </w:rPr>
              <w:t>Data sources</w:t>
            </w:r>
          </w:p>
        </w:tc>
      </w:tr>
      <w:tr w:rsidR="00DA49AC" w:rsidRPr="003301F4" w:rsidTr="00EF6D76">
        <w:trPr>
          <w:jc w:val="center"/>
        </w:trPr>
        <w:tc>
          <w:tcPr>
            <w:tcW w:w="4029" w:type="pct"/>
            <w:gridSpan w:val="2"/>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u w:val="single"/>
              </w:rPr>
              <w:t>Shareholder variables (dependent variables)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BusinessProp</w:t>
            </w:r>
          </w:p>
        </w:tc>
        <w:tc>
          <w:tcPr>
            <w:tcW w:w="3134" w:type="pct"/>
            <w:tcBorders>
              <w:top w:val="nil"/>
              <w:left w:val="nil"/>
              <w:bottom w:val="nil"/>
              <w:right w:val="nil"/>
            </w:tcBorders>
          </w:tcPr>
          <w:p w:rsidR="00DA49AC" w:rsidRPr="003301F4" w:rsidRDefault="00DA49AC" w:rsidP="009046F3">
            <w:pPr>
              <w:widowControl w:val="0"/>
              <w:autoSpaceDE w:val="0"/>
              <w:autoSpaceDN w:val="0"/>
              <w:adjustRightInd w:val="0"/>
              <w:spacing w:line="276" w:lineRule="auto"/>
              <w:rPr>
                <w:sz w:val="16"/>
                <w:szCs w:val="18"/>
              </w:rPr>
            </w:pPr>
            <w:r w:rsidRPr="003301F4">
              <w:rPr>
                <w:sz w:val="16"/>
                <w:szCs w:val="18"/>
              </w:rPr>
              <w:t xml:space="preserve">% of capital provided by businessmen </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BusinessNum</w:t>
            </w:r>
          </w:p>
        </w:tc>
        <w:tc>
          <w:tcPr>
            <w:tcW w:w="3134" w:type="pct"/>
            <w:tcBorders>
              <w:top w:val="nil"/>
              <w:left w:val="nil"/>
              <w:bottom w:val="nil"/>
              <w:right w:val="nil"/>
            </w:tcBorders>
          </w:tcPr>
          <w:p w:rsidR="00DA49AC" w:rsidRPr="003301F4" w:rsidRDefault="00DA49AC" w:rsidP="009046F3">
            <w:pPr>
              <w:widowControl w:val="0"/>
              <w:autoSpaceDE w:val="0"/>
              <w:autoSpaceDN w:val="0"/>
              <w:adjustRightInd w:val="0"/>
              <w:spacing w:line="276" w:lineRule="auto"/>
              <w:rPr>
                <w:sz w:val="16"/>
                <w:szCs w:val="18"/>
              </w:rPr>
            </w:pPr>
            <w:r w:rsidRPr="003301F4">
              <w:rPr>
                <w:sz w:val="16"/>
                <w:szCs w:val="18"/>
              </w:rPr>
              <w:t xml:space="preserve">% of shareholder constituency made up of businessmen </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FinanceProp</w:t>
            </w:r>
          </w:p>
        </w:tc>
        <w:tc>
          <w:tcPr>
            <w:tcW w:w="3134" w:type="pct"/>
            <w:tcBorders>
              <w:top w:val="nil"/>
              <w:left w:val="nil"/>
              <w:bottom w:val="nil"/>
              <w:right w:val="nil"/>
            </w:tcBorders>
          </w:tcPr>
          <w:p w:rsidR="00DA49AC" w:rsidRPr="003301F4" w:rsidRDefault="00DA49AC" w:rsidP="009046F3">
            <w:pPr>
              <w:widowControl w:val="0"/>
              <w:autoSpaceDE w:val="0"/>
              <w:autoSpaceDN w:val="0"/>
              <w:adjustRightInd w:val="0"/>
              <w:spacing w:line="276" w:lineRule="auto"/>
              <w:rPr>
                <w:sz w:val="16"/>
                <w:szCs w:val="18"/>
              </w:rPr>
            </w:pPr>
            <w:r w:rsidRPr="003301F4">
              <w:rPr>
                <w:sz w:val="16"/>
                <w:szCs w:val="18"/>
              </w:rPr>
              <w:t>% of capital provided by financiers and financial professionals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FinanceNum</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 of shareholder constituency made up of financiers and financial professionals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InstitutionProp</w:t>
            </w:r>
          </w:p>
        </w:tc>
        <w:tc>
          <w:tcPr>
            <w:tcW w:w="3134" w:type="pct"/>
            <w:tcBorders>
              <w:top w:val="nil"/>
              <w:left w:val="nil"/>
              <w:bottom w:val="nil"/>
              <w:right w:val="nil"/>
            </w:tcBorders>
          </w:tcPr>
          <w:p w:rsidR="00DA49AC" w:rsidRPr="003301F4" w:rsidRDefault="00DA49AC" w:rsidP="005F0BA3">
            <w:pPr>
              <w:widowControl w:val="0"/>
              <w:autoSpaceDE w:val="0"/>
              <w:autoSpaceDN w:val="0"/>
              <w:adjustRightInd w:val="0"/>
              <w:spacing w:line="276" w:lineRule="auto"/>
              <w:rPr>
                <w:sz w:val="16"/>
                <w:szCs w:val="18"/>
              </w:rPr>
            </w:pPr>
            <w:r w:rsidRPr="003301F4">
              <w:rPr>
                <w:sz w:val="16"/>
                <w:szCs w:val="18"/>
              </w:rPr>
              <w:t xml:space="preserve">% of capital provided by institutional shareholders </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InstitutionNum</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 of shareholder constituency made up of institutional shareholders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MiddleProp</w:t>
            </w:r>
          </w:p>
        </w:tc>
        <w:tc>
          <w:tcPr>
            <w:tcW w:w="3134" w:type="pct"/>
            <w:tcBorders>
              <w:top w:val="nil"/>
              <w:left w:val="nil"/>
              <w:bottom w:val="nil"/>
              <w:right w:val="nil"/>
            </w:tcBorders>
          </w:tcPr>
          <w:p w:rsidR="00DA49AC" w:rsidRPr="003301F4" w:rsidRDefault="00DA49AC" w:rsidP="005F0BA3">
            <w:pPr>
              <w:widowControl w:val="0"/>
              <w:autoSpaceDE w:val="0"/>
              <w:autoSpaceDN w:val="0"/>
              <w:adjustRightInd w:val="0"/>
              <w:spacing w:line="276" w:lineRule="auto"/>
              <w:rPr>
                <w:sz w:val="16"/>
                <w:szCs w:val="18"/>
              </w:rPr>
            </w:pPr>
            <w:r w:rsidRPr="003301F4">
              <w:rPr>
                <w:sz w:val="16"/>
                <w:szCs w:val="18"/>
              </w:rPr>
              <w:t xml:space="preserve">% of capital provided by middle classes </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MiddleNum</w:t>
            </w:r>
          </w:p>
        </w:tc>
        <w:tc>
          <w:tcPr>
            <w:tcW w:w="3134" w:type="pct"/>
            <w:tcBorders>
              <w:top w:val="nil"/>
              <w:left w:val="nil"/>
              <w:bottom w:val="nil"/>
              <w:right w:val="nil"/>
            </w:tcBorders>
          </w:tcPr>
          <w:p w:rsidR="00DA49AC" w:rsidRPr="003301F4" w:rsidRDefault="00DA49AC" w:rsidP="005F0BA3">
            <w:pPr>
              <w:widowControl w:val="0"/>
              <w:autoSpaceDE w:val="0"/>
              <w:autoSpaceDN w:val="0"/>
              <w:adjustRightInd w:val="0"/>
              <w:spacing w:line="276" w:lineRule="auto"/>
              <w:rPr>
                <w:sz w:val="16"/>
                <w:szCs w:val="18"/>
              </w:rPr>
            </w:pPr>
            <w:r w:rsidRPr="003301F4">
              <w:rPr>
                <w:sz w:val="16"/>
                <w:szCs w:val="18"/>
              </w:rPr>
              <w:t>% of shareholder constituency made up of middle classes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UpperProp</w:t>
            </w:r>
          </w:p>
        </w:tc>
        <w:tc>
          <w:tcPr>
            <w:tcW w:w="3134" w:type="pct"/>
            <w:tcBorders>
              <w:top w:val="nil"/>
              <w:left w:val="nil"/>
              <w:bottom w:val="nil"/>
              <w:right w:val="nil"/>
            </w:tcBorders>
          </w:tcPr>
          <w:p w:rsidR="00DA49AC" w:rsidRPr="003301F4" w:rsidRDefault="00DA49AC" w:rsidP="005F0BA3">
            <w:pPr>
              <w:widowControl w:val="0"/>
              <w:autoSpaceDE w:val="0"/>
              <w:autoSpaceDN w:val="0"/>
              <w:adjustRightInd w:val="0"/>
              <w:spacing w:line="276" w:lineRule="auto"/>
              <w:rPr>
                <w:sz w:val="16"/>
                <w:szCs w:val="18"/>
              </w:rPr>
            </w:pPr>
            <w:r w:rsidRPr="003301F4">
              <w:rPr>
                <w:sz w:val="16"/>
                <w:szCs w:val="18"/>
              </w:rPr>
              <w:t xml:space="preserve">% of capital provided by upper classes </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UpperNum</w:t>
            </w:r>
          </w:p>
        </w:tc>
        <w:tc>
          <w:tcPr>
            <w:tcW w:w="3134" w:type="pct"/>
            <w:tcBorders>
              <w:top w:val="nil"/>
              <w:left w:val="nil"/>
              <w:bottom w:val="nil"/>
              <w:right w:val="nil"/>
            </w:tcBorders>
          </w:tcPr>
          <w:p w:rsidR="00DA49AC" w:rsidRPr="003301F4" w:rsidRDefault="00DA49AC" w:rsidP="005F0BA3">
            <w:pPr>
              <w:widowControl w:val="0"/>
              <w:autoSpaceDE w:val="0"/>
              <w:autoSpaceDN w:val="0"/>
              <w:adjustRightInd w:val="0"/>
              <w:spacing w:line="276" w:lineRule="auto"/>
              <w:rPr>
                <w:sz w:val="16"/>
                <w:szCs w:val="18"/>
              </w:rPr>
            </w:pPr>
            <w:r w:rsidRPr="003301F4">
              <w:rPr>
                <w:sz w:val="16"/>
                <w:szCs w:val="18"/>
              </w:rPr>
              <w:t>% of shareholder constituency made up of upper classes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WomenProp</w:t>
            </w:r>
          </w:p>
        </w:tc>
        <w:tc>
          <w:tcPr>
            <w:tcW w:w="3134" w:type="pct"/>
            <w:tcBorders>
              <w:top w:val="nil"/>
              <w:left w:val="nil"/>
              <w:bottom w:val="nil"/>
              <w:right w:val="nil"/>
            </w:tcBorders>
          </w:tcPr>
          <w:p w:rsidR="00DA49AC" w:rsidRPr="003301F4" w:rsidRDefault="00DA49AC" w:rsidP="005F0BA3">
            <w:pPr>
              <w:widowControl w:val="0"/>
              <w:autoSpaceDE w:val="0"/>
              <w:autoSpaceDN w:val="0"/>
              <w:adjustRightInd w:val="0"/>
              <w:spacing w:line="276" w:lineRule="auto"/>
              <w:rPr>
                <w:sz w:val="16"/>
                <w:szCs w:val="18"/>
              </w:rPr>
            </w:pPr>
            <w:r w:rsidRPr="003301F4">
              <w:rPr>
                <w:sz w:val="16"/>
                <w:szCs w:val="18"/>
              </w:rPr>
              <w:t xml:space="preserve">% of capital provided by women </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WomenNum</w:t>
            </w:r>
          </w:p>
        </w:tc>
        <w:tc>
          <w:tcPr>
            <w:tcW w:w="3134" w:type="pct"/>
            <w:tcBorders>
              <w:top w:val="nil"/>
              <w:left w:val="nil"/>
              <w:bottom w:val="nil"/>
              <w:right w:val="nil"/>
            </w:tcBorders>
          </w:tcPr>
          <w:p w:rsidR="00DA49AC" w:rsidRPr="003301F4" w:rsidRDefault="00DA49AC" w:rsidP="005F0BA3">
            <w:pPr>
              <w:widowControl w:val="0"/>
              <w:autoSpaceDE w:val="0"/>
              <w:autoSpaceDN w:val="0"/>
              <w:adjustRightInd w:val="0"/>
              <w:spacing w:line="276" w:lineRule="auto"/>
              <w:rPr>
                <w:sz w:val="16"/>
                <w:szCs w:val="18"/>
              </w:rPr>
            </w:pPr>
            <w:r w:rsidRPr="003301F4">
              <w:rPr>
                <w:sz w:val="16"/>
                <w:szCs w:val="18"/>
              </w:rPr>
              <w:t>% of shareholder constituency made up of women</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4029" w:type="pct"/>
            <w:gridSpan w:val="2"/>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u w:val="single"/>
              </w:rPr>
            </w:pP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4029" w:type="pct"/>
            <w:gridSpan w:val="2"/>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u w:val="single"/>
              </w:rPr>
            </w:pPr>
            <w:r w:rsidRPr="003301F4">
              <w:rPr>
                <w:sz w:val="16"/>
                <w:szCs w:val="18"/>
                <w:u w:val="single"/>
              </w:rPr>
              <w:t>Company characteristics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Age</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Numbers of years since incorporation</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SEY,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FamilyFirm</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 1 if firm is family firm (i.e., a director’s or large shareholder’s name is contained in firm name or two directors shares the same surname),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 SEY,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ForeignFirm</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 1 if firm was foreign,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SEY,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Size</w:t>
            </w:r>
          </w:p>
        </w:tc>
        <w:tc>
          <w:tcPr>
            <w:tcW w:w="3134" w:type="pct"/>
            <w:tcBorders>
              <w:top w:val="nil"/>
              <w:left w:val="nil"/>
              <w:bottom w:val="nil"/>
              <w:right w:val="nil"/>
            </w:tcBorders>
          </w:tcPr>
          <w:p w:rsidR="00DA49AC" w:rsidRPr="003301F4" w:rsidRDefault="00DA49AC" w:rsidP="00902BA2">
            <w:pPr>
              <w:widowControl w:val="0"/>
              <w:autoSpaceDE w:val="0"/>
              <w:autoSpaceDN w:val="0"/>
              <w:adjustRightInd w:val="0"/>
              <w:spacing w:line="276" w:lineRule="auto"/>
              <w:rPr>
                <w:sz w:val="16"/>
                <w:szCs w:val="18"/>
              </w:rPr>
            </w:pPr>
            <w:r w:rsidRPr="003301F4">
              <w:rPr>
                <w:sz w:val="16"/>
                <w:szCs w:val="18"/>
              </w:rPr>
              <w:t xml:space="preserve">Natural log of a share’s par (paid-up) value </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 SEY,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4029" w:type="pct"/>
            <w:gridSpan w:val="2"/>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u w:val="single"/>
              </w:rPr>
            </w:pPr>
            <w:r w:rsidRPr="003301F4">
              <w:rPr>
                <w:sz w:val="16"/>
                <w:szCs w:val="18"/>
                <w:u w:val="single"/>
              </w:rPr>
              <w:t>Share characteristics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DivPayer</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 1 if firm is a dividend payer,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IMM</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DivYield</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Dividend in year t / price at end of year t-1</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IMM</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Liquidity</w:t>
            </w:r>
          </w:p>
        </w:tc>
        <w:tc>
          <w:tcPr>
            <w:tcW w:w="3134" w:type="pct"/>
            <w:tcBorders>
              <w:top w:val="nil"/>
              <w:left w:val="nil"/>
              <w:bottom w:val="nil"/>
              <w:right w:val="nil"/>
            </w:tcBorders>
          </w:tcPr>
          <w:p w:rsidR="00DA49AC" w:rsidRPr="003301F4" w:rsidRDefault="00DA49AC" w:rsidP="00B15BB9">
            <w:pPr>
              <w:widowControl w:val="0"/>
              <w:autoSpaceDE w:val="0"/>
              <w:autoSpaceDN w:val="0"/>
              <w:adjustRightInd w:val="0"/>
              <w:spacing w:line="276" w:lineRule="auto"/>
              <w:rPr>
                <w:sz w:val="16"/>
                <w:szCs w:val="18"/>
              </w:rPr>
            </w:pPr>
            <w:r w:rsidRPr="003301F4">
              <w:rPr>
                <w:sz w:val="16"/>
                <w:szCs w:val="18"/>
              </w:rPr>
              <w:t>% of months in past year where end-of-month share price has not moved</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IMM</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NumMarkets</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Number of stock markets where shares were listed</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IMM,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Preference</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 1 if firm has preference shares,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ShareUncalled</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Difference between the nominal and par value of a share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 AoA,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ShareParValue</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Par value (£) of each share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 AoA,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4029" w:type="pct"/>
            <w:gridSpan w:val="2"/>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u w:val="single"/>
              </w:rPr>
            </w:pPr>
            <w:r w:rsidRPr="003301F4">
              <w:rPr>
                <w:sz w:val="16"/>
                <w:szCs w:val="18"/>
                <w:u w:val="single"/>
              </w:rPr>
              <w:t>Industry binary variables</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IndustryBreweries</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which equals 1 if company is a brewery,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IndustryFinancial</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which equals 1 if company is in financial sector,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IndustryMines</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which equals 1 if company is in mining industry,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IndustryUtility</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which equals 1 if company is a utility,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u w:val="single"/>
              </w:rPr>
            </w:pPr>
            <w:r w:rsidRPr="003301F4">
              <w:rPr>
                <w:sz w:val="16"/>
                <w:szCs w:val="18"/>
                <w:u w:val="single"/>
              </w:rPr>
              <w:t>Control variables</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CourtWoundUp</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 1 if firm was wound up by court order,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RDC, EG, LG</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DirectorsNobility</w:t>
            </w:r>
          </w:p>
        </w:tc>
        <w:tc>
          <w:tcPr>
            <w:tcW w:w="3134" w:type="pct"/>
            <w:tcBorders>
              <w:top w:val="nil"/>
              <w:left w:val="nil"/>
              <w:bottom w:val="nil"/>
              <w:right w:val="nil"/>
            </w:tcBorders>
          </w:tcPr>
          <w:p w:rsidR="00DA49AC" w:rsidRPr="003301F4" w:rsidRDefault="00DA49AC" w:rsidP="002A7ADE">
            <w:pPr>
              <w:widowControl w:val="0"/>
              <w:autoSpaceDE w:val="0"/>
              <w:autoSpaceDN w:val="0"/>
              <w:adjustRightInd w:val="0"/>
              <w:spacing w:line="276" w:lineRule="auto"/>
              <w:rPr>
                <w:sz w:val="16"/>
                <w:szCs w:val="18"/>
              </w:rPr>
            </w:pPr>
            <w:r w:rsidRPr="003301F4">
              <w:rPr>
                <w:sz w:val="16"/>
                <w:szCs w:val="18"/>
              </w:rPr>
              <w:t>A binary variable = 1 if firm has a director with a title,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HeadLanc</w:t>
            </w:r>
          </w:p>
        </w:tc>
        <w:tc>
          <w:tcPr>
            <w:tcW w:w="3134" w:type="pct"/>
            <w:tcBorders>
              <w:top w:val="nil"/>
              <w:left w:val="nil"/>
              <w:bottom w:val="nil"/>
              <w:right w:val="nil"/>
            </w:tcBorders>
          </w:tcPr>
          <w:p w:rsidR="00DA49AC" w:rsidRPr="003301F4" w:rsidRDefault="00DA49AC" w:rsidP="009F728D">
            <w:pPr>
              <w:widowControl w:val="0"/>
              <w:autoSpaceDE w:val="0"/>
              <w:autoSpaceDN w:val="0"/>
              <w:adjustRightInd w:val="0"/>
              <w:spacing w:line="276" w:lineRule="auto"/>
              <w:rPr>
                <w:sz w:val="16"/>
                <w:szCs w:val="18"/>
              </w:rPr>
            </w:pPr>
            <w:r w:rsidRPr="003301F4">
              <w:rPr>
                <w:sz w:val="16"/>
                <w:szCs w:val="18"/>
              </w:rPr>
              <w:t>A binary variable which equals 1 if company has a head office in Lancashire,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SEY,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HeadLondon</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which equals 1 if company has a head office in London,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SEY,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HeadYork</w:t>
            </w:r>
          </w:p>
        </w:tc>
        <w:tc>
          <w:tcPr>
            <w:tcW w:w="3134" w:type="pct"/>
            <w:tcBorders>
              <w:top w:val="nil"/>
              <w:left w:val="nil"/>
              <w:bottom w:val="nil"/>
              <w:right w:val="nil"/>
            </w:tcBorders>
          </w:tcPr>
          <w:p w:rsidR="00DA49AC" w:rsidRPr="003301F4" w:rsidRDefault="00DA49AC" w:rsidP="00EF6D76">
            <w:pPr>
              <w:widowControl w:val="0"/>
              <w:autoSpaceDE w:val="0"/>
              <w:autoSpaceDN w:val="0"/>
              <w:adjustRightInd w:val="0"/>
              <w:spacing w:line="276" w:lineRule="auto"/>
              <w:rPr>
                <w:sz w:val="16"/>
                <w:szCs w:val="18"/>
              </w:rPr>
            </w:pPr>
            <w:r w:rsidRPr="003301F4">
              <w:rPr>
                <w:sz w:val="16"/>
                <w:szCs w:val="18"/>
              </w:rPr>
              <w:t>A binary variable which equals 1 if company has a head office in York, 0 otherwise</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SEY, SEOI, BOI</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LocalMiles</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The distance (in miles) between a company’s head office and the main market where its shares are traded</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AoA, SEY, SEOI, BOI, Google maps</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NumShareholders</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Total number of shareholders in company</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r w:rsidR="00DA49AC" w:rsidRPr="003301F4" w:rsidTr="00EF6D76">
        <w:trPr>
          <w:jc w:val="center"/>
        </w:trPr>
        <w:tc>
          <w:tcPr>
            <w:tcW w:w="895"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NumDirectors</w:t>
            </w:r>
          </w:p>
        </w:tc>
        <w:tc>
          <w:tcPr>
            <w:tcW w:w="3134"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Number of directors in company</w:t>
            </w:r>
          </w:p>
        </w:tc>
        <w:tc>
          <w:tcPr>
            <w:tcW w:w="971" w:type="pct"/>
            <w:tcBorders>
              <w:top w:val="nil"/>
              <w:left w:val="nil"/>
              <w:bottom w:val="nil"/>
              <w:right w:val="nil"/>
            </w:tcBorders>
          </w:tcPr>
          <w:p w:rsidR="00DA49AC" w:rsidRPr="003301F4" w:rsidRDefault="00DA49AC" w:rsidP="00AD68AC">
            <w:pPr>
              <w:widowControl w:val="0"/>
              <w:autoSpaceDE w:val="0"/>
              <w:autoSpaceDN w:val="0"/>
              <w:adjustRightInd w:val="0"/>
              <w:spacing w:line="276" w:lineRule="auto"/>
              <w:rPr>
                <w:sz w:val="16"/>
                <w:szCs w:val="18"/>
              </w:rPr>
            </w:pPr>
          </w:p>
        </w:tc>
      </w:tr>
      <w:tr w:rsidR="00DA49AC" w:rsidRPr="003301F4" w:rsidTr="00EF6D76">
        <w:trPr>
          <w:jc w:val="center"/>
        </w:trPr>
        <w:tc>
          <w:tcPr>
            <w:tcW w:w="895" w:type="pct"/>
            <w:tcBorders>
              <w:top w:val="nil"/>
              <w:left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Merged</w:t>
            </w:r>
          </w:p>
        </w:tc>
        <w:tc>
          <w:tcPr>
            <w:tcW w:w="3134" w:type="pct"/>
            <w:tcBorders>
              <w:top w:val="nil"/>
              <w:left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A binary variable = 1 if firm merged into another firm, 0 otherwise</w:t>
            </w:r>
          </w:p>
        </w:tc>
        <w:tc>
          <w:tcPr>
            <w:tcW w:w="971" w:type="pct"/>
            <w:tcBorders>
              <w:top w:val="nil"/>
              <w:left w:val="nil"/>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RDC, EG, LG</w:t>
            </w:r>
          </w:p>
        </w:tc>
      </w:tr>
      <w:tr w:rsidR="00DA49AC" w:rsidRPr="003301F4" w:rsidTr="00EF6D76">
        <w:trPr>
          <w:jc w:val="center"/>
        </w:trPr>
        <w:tc>
          <w:tcPr>
            <w:tcW w:w="895" w:type="pct"/>
            <w:tcBorders>
              <w:top w:val="nil"/>
              <w:left w:val="nil"/>
              <w:bottom w:val="single" w:sz="4" w:space="0" w:color="auto"/>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OwnershipDate</w:t>
            </w:r>
          </w:p>
        </w:tc>
        <w:tc>
          <w:tcPr>
            <w:tcW w:w="3134" w:type="pct"/>
            <w:tcBorders>
              <w:top w:val="nil"/>
              <w:left w:val="nil"/>
              <w:bottom w:val="single" w:sz="4" w:space="0" w:color="auto"/>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Year in which ownership census was taken</w:t>
            </w:r>
          </w:p>
        </w:tc>
        <w:tc>
          <w:tcPr>
            <w:tcW w:w="971" w:type="pct"/>
            <w:tcBorders>
              <w:top w:val="nil"/>
              <w:left w:val="nil"/>
              <w:bottom w:val="single" w:sz="4" w:space="0" w:color="auto"/>
              <w:right w:val="nil"/>
            </w:tcBorders>
          </w:tcPr>
          <w:p w:rsidR="00DA49AC" w:rsidRPr="003301F4" w:rsidRDefault="00DA49AC" w:rsidP="00AD68AC">
            <w:pPr>
              <w:widowControl w:val="0"/>
              <w:autoSpaceDE w:val="0"/>
              <w:autoSpaceDN w:val="0"/>
              <w:adjustRightInd w:val="0"/>
              <w:spacing w:line="276" w:lineRule="auto"/>
              <w:rPr>
                <w:sz w:val="16"/>
                <w:szCs w:val="18"/>
              </w:rPr>
            </w:pPr>
            <w:r w:rsidRPr="003301F4">
              <w:rPr>
                <w:sz w:val="16"/>
                <w:szCs w:val="18"/>
              </w:rPr>
              <w:t>OR</w:t>
            </w:r>
          </w:p>
        </w:tc>
      </w:tr>
    </w:tbl>
    <w:p w:rsidR="00DA49AC" w:rsidRPr="00EF6D76" w:rsidRDefault="00DA49AC" w:rsidP="007A761D">
      <w:pPr>
        <w:spacing w:line="240" w:lineRule="auto"/>
        <w:jc w:val="both"/>
        <w:rPr>
          <w:sz w:val="16"/>
          <w:szCs w:val="16"/>
        </w:rPr>
      </w:pPr>
      <w:r w:rsidRPr="00D259CF">
        <w:rPr>
          <w:i/>
          <w:sz w:val="16"/>
          <w:szCs w:val="16"/>
        </w:rPr>
        <w:t>Notes</w:t>
      </w:r>
      <w:r w:rsidRPr="00D259CF">
        <w:rPr>
          <w:sz w:val="16"/>
          <w:szCs w:val="16"/>
        </w:rPr>
        <w:t>: AoA = Articles of Association;</w:t>
      </w:r>
      <w:r>
        <w:rPr>
          <w:sz w:val="16"/>
          <w:szCs w:val="16"/>
        </w:rPr>
        <w:t xml:space="preserve"> BCCA = Burdett’s Collection of Company Accounts at the Guildhall Library; </w:t>
      </w:r>
      <w:r w:rsidRPr="00D259CF">
        <w:rPr>
          <w:sz w:val="16"/>
          <w:szCs w:val="16"/>
        </w:rPr>
        <w:t xml:space="preserve">BOI = Burdett’s Official Intelligence; </w:t>
      </w:r>
      <w:r>
        <w:rPr>
          <w:sz w:val="16"/>
          <w:szCs w:val="16"/>
        </w:rPr>
        <w:t xml:space="preserve">EG = Edinburgh Gazette: LG = London Gazette; </w:t>
      </w:r>
      <w:r w:rsidRPr="00D259CF">
        <w:rPr>
          <w:sz w:val="16"/>
          <w:szCs w:val="16"/>
        </w:rPr>
        <w:t xml:space="preserve">IMM = Investor’s Monthly Manual; </w:t>
      </w:r>
      <w:r>
        <w:rPr>
          <w:sz w:val="16"/>
          <w:szCs w:val="16"/>
        </w:rPr>
        <w:t xml:space="preserve">OR = ownership returns from national archives; </w:t>
      </w:r>
      <w:r w:rsidRPr="00D259CF">
        <w:rPr>
          <w:sz w:val="16"/>
          <w:szCs w:val="16"/>
        </w:rPr>
        <w:t>RDC = Register of Defunct Companies; SEOI = Stock Exchange Official Intelligence; SEY = Stock Exchange Yearbook.</w:t>
      </w:r>
    </w:p>
    <w:sectPr w:rsidR="00DA49AC" w:rsidRPr="00EF6D76" w:rsidSect="003B133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AC" w:rsidRDefault="00DA49AC" w:rsidP="003F150C">
      <w:pPr>
        <w:spacing w:line="240" w:lineRule="auto"/>
      </w:pPr>
      <w:r>
        <w:separator/>
      </w:r>
    </w:p>
  </w:endnote>
  <w:endnote w:type="continuationSeparator" w:id="0">
    <w:p w:rsidR="00DA49AC" w:rsidRDefault="00DA49AC" w:rsidP="003F15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AC" w:rsidRDefault="00DA49AC">
    <w:pPr>
      <w:pStyle w:val="Footer"/>
      <w:jc w:val="right"/>
    </w:pPr>
    <w:fldSimple w:instr=" PAGE   \* MERGEFORMAT ">
      <w:r>
        <w:rPr>
          <w:noProof/>
        </w:rPr>
        <w:t>45</w:t>
      </w:r>
    </w:fldSimple>
  </w:p>
  <w:p w:rsidR="00DA49AC" w:rsidRDefault="00DA4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AC" w:rsidRDefault="00DA49AC" w:rsidP="003F150C">
      <w:pPr>
        <w:spacing w:line="240" w:lineRule="auto"/>
      </w:pPr>
      <w:r>
        <w:separator/>
      </w:r>
    </w:p>
  </w:footnote>
  <w:footnote w:type="continuationSeparator" w:id="0">
    <w:p w:rsidR="00DA49AC" w:rsidRDefault="00DA49AC" w:rsidP="003F150C">
      <w:pPr>
        <w:spacing w:line="240" w:lineRule="auto"/>
      </w:pPr>
      <w:r>
        <w:continuationSeparator/>
      </w:r>
    </w:p>
  </w:footnote>
  <w:footnote w:id="1">
    <w:p w:rsidR="00DA49AC" w:rsidRDefault="00DA49AC" w:rsidP="008D3E27">
      <w:pPr>
        <w:pStyle w:val="FootnoteText"/>
        <w:spacing w:line="480" w:lineRule="auto"/>
        <w:jc w:val="both"/>
      </w:pPr>
      <w:r w:rsidRPr="000E0385">
        <w:rPr>
          <w:rStyle w:val="FootnoteReference"/>
        </w:rPr>
        <w:footnoteRef/>
      </w:r>
      <w:r w:rsidRPr="000E0385">
        <w:t xml:space="preserve"> The 1855 Limited Liability Act (18 &amp; 19 Vict., c.113) was repealed, but re-enacted in 1856 (19 &amp; 20 Vict., c.47).  Limited liability was </w:t>
      </w:r>
      <w:r>
        <w:t>introduced in</w:t>
      </w:r>
      <w:r w:rsidRPr="000E0385">
        <w:t xml:space="preserve"> banking in 1858 (21 &amp; 22 Vict. c.91). </w:t>
      </w:r>
      <w:r>
        <w:t>Finally, t</w:t>
      </w:r>
      <w:r w:rsidRPr="000E0385">
        <w:t xml:space="preserve">he 1862 Companies Act (25 &amp; 26 Vict. c.89) was a consolidation of existing pieces of </w:t>
      </w:r>
      <w:r>
        <w:t xml:space="preserve">incorporation </w:t>
      </w:r>
      <w:r w:rsidRPr="000E0385">
        <w:t>legislation</w:t>
      </w:r>
      <w:r>
        <w:t>.</w:t>
      </w:r>
    </w:p>
  </w:footnote>
  <w:footnote w:id="2">
    <w:p w:rsidR="00DA49AC" w:rsidRDefault="00DA49AC" w:rsidP="00F4652F">
      <w:pPr>
        <w:pStyle w:val="FootnoteText"/>
        <w:spacing w:line="480" w:lineRule="auto"/>
        <w:jc w:val="both"/>
      </w:pPr>
      <w:r>
        <w:rPr>
          <w:rStyle w:val="FootnoteReference"/>
        </w:rPr>
        <w:footnoteRef/>
      </w:r>
      <w:r>
        <w:t xml:space="preserve"> See Cottrell, </w:t>
      </w:r>
      <w:r w:rsidRPr="00903A7A">
        <w:rPr>
          <w:i/>
        </w:rPr>
        <w:t>Industrial finance</w:t>
      </w:r>
      <w:r>
        <w:t xml:space="preserve">; Taylor, </w:t>
      </w:r>
      <w:r w:rsidRPr="0016553A">
        <w:rPr>
          <w:i/>
        </w:rPr>
        <w:t>Creating capitalism</w:t>
      </w:r>
      <w:r>
        <w:t xml:space="preserve"> and Shannon, ‘The limited companies’ on the liberalisation of incorporation law and the subsequent growth in company formation.  On the growth of the equity market, see Michie, </w:t>
      </w:r>
      <w:r w:rsidRPr="008D3E27">
        <w:rPr>
          <w:i/>
        </w:rPr>
        <w:t>London Stock Exchange</w:t>
      </w:r>
      <w:r>
        <w:t xml:space="preserve">, p.88-9.  See Michie, </w:t>
      </w:r>
      <w:r w:rsidRPr="00F4652F">
        <w:rPr>
          <w:i/>
        </w:rPr>
        <w:t>Money, mania and markets</w:t>
      </w:r>
      <w:r>
        <w:t xml:space="preserve"> and Thomas, </w:t>
      </w:r>
      <w:r w:rsidRPr="00F4652F">
        <w:rPr>
          <w:i/>
        </w:rPr>
        <w:t>The provincial stock exchanges</w:t>
      </w:r>
      <w:r>
        <w:t xml:space="preserve"> on the formation and growth of Scottish and provincial stock exchanges in the nineteenth century. </w:t>
      </w:r>
    </w:p>
  </w:footnote>
  <w:footnote w:id="3">
    <w:p w:rsidR="00DA49AC" w:rsidRDefault="00DA49AC" w:rsidP="008D3E27">
      <w:pPr>
        <w:pStyle w:val="FootnoteText"/>
        <w:spacing w:line="480" w:lineRule="auto"/>
      </w:pPr>
      <w:r>
        <w:rPr>
          <w:rStyle w:val="FootnoteReference"/>
        </w:rPr>
        <w:footnoteRef/>
      </w:r>
      <w:r>
        <w:t xml:space="preserve"> Acheson et al., ‘Rule Britannia’.</w:t>
      </w:r>
    </w:p>
  </w:footnote>
  <w:footnote w:id="4">
    <w:p w:rsidR="00DA49AC" w:rsidRDefault="00DA49AC" w:rsidP="00344EBE">
      <w:pPr>
        <w:pStyle w:val="FootnoteText"/>
        <w:spacing w:line="480" w:lineRule="auto"/>
      </w:pPr>
      <w:r>
        <w:rPr>
          <w:rStyle w:val="FootnoteReference"/>
        </w:rPr>
        <w:footnoteRef/>
      </w:r>
      <w:r>
        <w:t xml:space="preserve"> Grossman, ‘New indices’.</w:t>
      </w:r>
    </w:p>
  </w:footnote>
  <w:footnote w:id="5">
    <w:p w:rsidR="00DA49AC" w:rsidRDefault="00DA49AC" w:rsidP="00357ED4">
      <w:pPr>
        <w:pStyle w:val="FootnoteText"/>
        <w:spacing w:line="480" w:lineRule="auto"/>
        <w:jc w:val="both"/>
      </w:pPr>
      <w:r>
        <w:rPr>
          <w:rStyle w:val="FootnoteReference"/>
        </w:rPr>
        <w:footnoteRef/>
      </w:r>
      <w:r>
        <w:t xml:space="preserve"> Cottrell, </w:t>
      </w:r>
      <w:r w:rsidRPr="00903A7A">
        <w:rPr>
          <w:i/>
        </w:rPr>
        <w:t>Industrial finance</w:t>
      </w:r>
      <w:r>
        <w:t xml:space="preserve">, pp. 88-96 examines the social composition of a small sample of industrial limited companies formed under the new incorporation legislation.  However, his entire sample mainly consists of companies whose shares did not trade on stock markets.  </w:t>
      </w:r>
      <w:r w:rsidRPr="00F46BBC">
        <w:t xml:space="preserve">Davis and Huttenback, </w:t>
      </w:r>
      <w:r w:rsidRPr="00F46BBC">
        <w:rPr>
          <w:i/>
        </w:rPr>
        <w:t>Mammon and the pursuit of empire</w:t>
      </w:r>
      <w:r w:rsidRPr="00F46BBC">
        <w:t xml:space="preserve">, pp. </w:t>
      </w:r>
      <w:r>
        <w:t>195-220</w:t>
      </w:r>
      <w:r w:rsidRPr="00F46BBC">
        <w:t xml:space="preserve"> examine shareholders in </w:t>
      </w:r>
      <w:r>
        <w:t>201</w:t>
      </w:r>
      <w:r w:rsidRPr="00F46BBC">
        <w:t xml:space="preserve"> foreign and colonial companie</w:t>
      </w:r>
      <w:r>
        <w:t xml:space="preserve">s and for the sake of comparison, they look at shareholders in 59 domestic companies. </w:t>
      </w:r>
    </w:p>
  </w:footnote>
  <w:footnote w:id="6">
    <w:p w:rsidR="00DA49AC" w:rsidRDefault="00DA49AC" w:rsidP="00EA1592">
      <w:pPr>
        <w:pStyle w:val="FootnoteText"/>
        <w:spacing w:line="480" w:lineRule="auto"/>
        <w:jc w:val="both"/>
      </w:pPr>
      <w:r>
        <w:rPr>
          <w:rStyle w:val="FootnoteReference"/>
        </w:rPr>
        <w:footnoteRef/>
      </w:r>
      <w:r>
        <w:t xml:space="preserve"> Rutterford et al., ‘Who comprised’ highlight that the increase in women investors coincided with the development of less risky types of investment.</w:t>
      </w:r>
    </w:p>
  </w:footnote>
  <w:footnote w:id="7">
    <w:p w:rsidR="00DA49AC" w:rsidRDefault="00DA49AC" w:rsidP="00344EBE">
      <w:pPr>
        <w:jc w:val="both"/>
      </w:pPr>
      <w:r w:rsidRPr="00454D78">
        <w:rPr>
          <w:rStyle w:val="FootnoteReference"/>
        </w:rPr>
        <w:footnoteRef/>
      </w:r>
      <w:r w:rsidRPr="00454D78">
        <w:t xml:space="preserve"> </w:t>
      </w:r>
      <w:r>
        <w:rPr>
          <w:rFonts w:cs="Calibri"/>
        </w:rPr>
        <w:t xml:space="preserve">See Edelstein, </w:t>
      </w:r>
      <w:r w:rsidRPr="00E57910">
        <w:rPr>
          <w:rFonts w:cs="Calibri"/>
          <w:i/>
        </w:rPr>
        <w:t>Overseas Investment</w:t>
      </w:r>
      <w:r>
        <w:rPr>
          <w:rFonts w:cs="Calibri"/>
        </w:rPr>
        <w:t xml:space="preserve">; Pollard, ‘Capital exports’; Kennedy, </w:t>
      </w:r>
      <w:r w:rsidRPr="00E57910">
        <w:rPr>
          <w:rFonts w:cs="Calibri"/>
          <w:i/>
        </w:rPr>
        <w:t>Industrial Structure</w:t>
      </w:r>
      <w:r>
        <w:rPr>
          <w:rFonts w:cs="Calibri"/>
        </w:rPr>
        <w:t xml:space="preserve">; O’Rourke and Williamson, </w:t>
      </w:r>
      <w:r w:rsidRPr="00E57910">
        <w:rPr>
          <w:rFonts w:cs="Calibri"/>
          <w:i/>
        </w:rPr>
        <w:t>Globalization and History</w:t>
      </w:r>
      <w:r>
        <w:rPr>
          <w:rFonts w:cs="Calibri"/>
        </w:rPr>
        <w:t xml:space="preserve">, chap. 12; Goetzmann and Ukhov, ‘British overseas investment’; Chabot and Kurz, ‘That’s where the money was’; Grossman, ‘Bloody foreigners’. </w:t>
      </w:r>
    </w:p>
  </w:footnote>
  <w:footnote w:id="8">
    <w:p w:rsidR="00DA49AC" w:rsidRDefault="00DA49AC" w:rsidP="00DD43F7">
      <w:pPr>
        <w:pStyle w:val="FootnoteText"/>
        <w:spacing w:line="480" w:lineRule="auto"/>
        <w:jc w:val="both"/>
      </w:pPr>
      <w:r w:rsidRPr="00816963">
        <w:rPr>
          <w:rStyle w:val="FootnoteReference"/>
        </w:rPr>
        <w:footnoteRef/>
      </w:r>
      <w:r w:rsidRPr="00816963">
        <w:t xml:space="preserve"> </w:t>
      </w:r>
      <w:r>
        <w:t>Broadbridge, ‘Sources of railway share capital’</w:t>
      </w:r>
      <w:r w:rsidRPr="00816963">
        <w:t>;</w:t>
      </w:r>
      <w:r>
        <w:t xml:space="preserve"> Campbell and Turner, ‘Dispelling the myth’; Pollins, ‘Finances’; Reed, ‘Railways’</w:t>
      </w:r>
      <w:r w:rsidRPr="00816963">
        <w:t xml:space="preserve">, </w:t>
      </w:r>
      <w:r>
        <w:rPr>
          <w:i/>
        </w:rPr>
        <w:t>Investment in R</w:t>
      </w:r>
      <w:r w:rsidRPr="00816963">
        <w:rPr>
          <w:i/>
        </w:rPr>
        <w:t>ailways</w:t>
      </w:r>
      <w:r>
        <w:t xml:space="preserve">. </w:t>
      </w:r>
    </w:p>
  </w:footnote>
  <w:footnote w:id="9">
    <w:p w:rsidR="00DA49AC" w:rsidRDefault="00DA49AC" w:rsidP="00DA17E2">
      <w:pPr>
        <w:pStyle w:val="FootnoteText"/>
        <w:spacing w:line="480" w:lineRule="auto"/>
        <w:jc w:val="both"/>
      </w:pPr>
      <w:r w:rsidRPr="00816963">
        <w:rPr>
          <w:rStyle w:val="FootnoteReference"/>
        </w:rPr>
        <w:footnoteRef/>
      </w:r>
      <w:r>
        <w:t xml:space="preserve"> Anderson and Cottrell, ‘Capital market’</w:t>
      </w:r>
      <w:r w:rsidRPr="00816963">
        <w:t>;</w:t>
      </w:r>
      <w:r>
        <w:t xml:space="preserve"> Newton and Cottrell, ‘Female investors’; Turner, ‘Wider share ownership’; Acheson and Turner, ‘Investor behaviour’. </w:t>
      </w:r>
    </w:p>
  </w:footnote>
  <w:footnote w:id="10">
    <w:p w:rsidR="00DA49AC" w:rsidRDefault="00DA49AC" w:rsidP="00DD43F7">
      <w:pPr>
        <w:pStyle w:val="FootnoteText"/>
        <w:spacing w:line="480" w:lineRule="auto"/>
      </w:pPr>
      <w:r>
        <w:rPr>
          <w:rStyle w:val="FootnoteReference"/>
        </w:rPr>
        <w:footnoteRef/>
      </w:r>
      <w:r>
        <w:t xml:space="preserve"> Acheson and Turner, ‘Investor behaviour’; Newton, ‘The birth of joint-stock banking’.</w:t>
      </w:r>
    </w:p>
  </w:footnote>
  <w:footnote w:id="11">
    <w:p w:rsidR="00DA49AC" w:rsidRDefault="00DA49AC" w:rsidP="00DA17E2">
      <w:pPr>
        <w:pStyle w:val="FootnoteText"/>
        <w:spacing w:line="480" w:lineRule="auto"/>
        <w:jc w:val="both"/>
      </w:pPr>
      <w:r w:rsidRPr="00816963">
        <w:rPr>
          <w:rStyle w:val="FootnoteReference"/>
        </w:rPr>
        <w:footnoteRef/>
      </w:r>
      <w:r w:rsidRPr="00816963">
        <w:t xml:space="preserve"> </w:t>
      </w:r>
      <w:r>
        <w:t xml:space="preserve">Doe, ‘Waiting for her ship to come in’; Green and Owens, ‘Gentlewomanly capitalism’; Newton and Cottrell, ‘Female investors’; Rutterford and Maltby, ‘The nesting instinct’ and ‘The widow, the clergyman and the reckless’; Rutterford et al., ‘Who comprised’. </w:t>
      </w:r>
    </w:p>
  </w:footnote>
  <w:footnote w:id="12">
    <w:p w:rsidR="00DA49AC" w:rsidRDefault="00DA49AC" w:rsidP="003427AC">
      <w:pPr>
        <w:pStyle w:val="FootnoteText"/>
        <w:spacing w:line="480" w:lineRule="auto"/>
      </w:pPr>
      <w:r w:rsidRPr="00F46BBC">
        <w:rPr>
          <w:rStyle w:val="FootnoteReference"/>
        </w:rPr>
        <w:footnoteRef/>
      </w:r>
      <w:r w:rsidRPr="00F46BBC">
        <w:t xml:space="preserve"> Davis and Huttenback, </w:t>
      </w:r>
      <w:r w:rsidRPr="00F46BBC">
        <w:rPr>
          <w:i/>
        </w:rPr>
        <w:t>Mammon and the pursuit of empire</w:t>
      </w:r>
      <w:r w:rsidRPr="00F46BBC">
        <w:t>, pp. 1</w:t>
      </w:r>
      <w:r>
        <w:t>95-220</w:t>
      </w:r>
      <w:r w:rsidRPr="00F46BBC">
        <w:t>.</w:t>
      </w:r>
    </w:p>
  </w:footnote>
  <w:footnote w:id="13">
    <w:p w:rsidR="00DA49AC" w:rsidRDefault="00DA49AC" w:rsidP="00344EC9">
      <w:pPr>
        <w:pStyle w:val="FootnoteText"/>
        <w:spacing w:line="480" w:lineRule="auto"/>
        <w:jc w:val="both"/>
      </w:pPr>
      <w:r>
        <w:rPr>
          <w:rStyle w:val="FootnoteReference"/>
        </w:rPr>
        <w:footnoteRef/>
      </w:r>
      <w:r>
        <w:t xml:space="preserve"> Michie, </w:t>
      </w:r>
      <w:r w:rsidRPr="00344EC9">
        <w:rPr>
          <w:i/>
        </w:rPr>
        <w:t>Guilty money</w:t>
      </w:r>
      <w:r>
        <w:t>; Michie, ‘Gamblers, fools, victims or wizards?’</w:t>
      </w:r>
    </w:p>
  </w:footnote>
  <w:footnote w:id="14">
    <w:p w:rsidR="00DA49AC" w:rsidRDefault="00DA49AC" w:rsidP="009B5D09">
      <w:pPr>
        <w:pStyle w:val="FootnoteText"/>
        <w:spacing w:line="480" w:lineRule="auto"/>
        <w:jc w:val="both"/>
      </w:pPr>
      <w:r>
        <w:rPr>
          <w:rStyle w:val="FootnoteReference"/>
        </w:rPr>
        <w:footnoteRef/>
      </w:r>
      <w:r>
        <w:t xml:space="preserve"> See, for example, Elton and Gruber, ‘Marginal stockholder tax rates’; Graham and Kumar, ‘Do dividend clienteles exist?’ and Pettit, ‘Taxes’.</w:t>
      </w:r>
    </w:p>
  </w:footnote>
  <w:footnote w:id="15">
    <w:p w:rsidR="00DA49AC" w:rsidRDefault="00DA49AC" w:rsidP="00C70B88">
      <w:pPr>
        <w:pStyle w:val="FootnoteText"/>
        <w:spacing w:line="480" w:lineRule="auto"/>
      </w:pPr>
      <w:r>
        <w:rPr>
          <w:rStyle w:val="FootnoteReference"/>
        </w:rPr>
        <w:footnoteRef/>
      </w:r>
      <w:r>
        <w:t xml:space="preserve"> Turner et al., ‘Why do firms pay dividends’, p. 1791.  </w:t>
      </w:r>
    </w:p>
  </w:footnote>
  <w:footnote w:id="16">
    <w:p w:rsidR="00DA49AC" w:rsidRDefault="00DA49AC" w:rsidP="00C70B88">
      <w:pPr>
        <w:pStyle w:val="FootnoteText"/>
        <w:spacing w:line="480" w:lineRule="auto"/>
        <w:jc w:val="both"/>
      </w:pPr>
      <w:r>
        <w:rPr>
          <w:rStyle w:val="FootnoteReference"/>
        </w:rPr>
        <w:footnoteRef/>
      </w:r>
      <w:r>
        <w:t xml:space="preserve"> Jefferys, </w:t>
      </w:r>
      <w:r w:rsidRPr="00C70B88">
        <w:rPr>
          <w:i/>
        </w:rPr>
        <w:t>Business organisation</w:t>
      </w:r>
      <w:r>
        <w:t>, p. 209; Jefferys, ‘The denomination’.</w:t>
      </w:r>
    </w:p>
  </w:footnote>
  <w:footnote w:id="17">
    <w:p w:rsidR="00DA49AC" w:rsidRDefault="00DA49AC" w:rsidP="00CB020F">
      <w:pPr>
        <w:pStyle w:val="FootnoteText"/>
        <w:spacing w:line="480" w:lineRule="auto"/>
        <w:jc w:val="both"/>
      </w:pPr>
      <w:r>
        <w:rPr>
          <w:rStyle w:val="FootnoteReference"/>
        </w:rPr>
        <w:footnoteRef/>
      </w:r>
      <w:r>
        <w:t xml:space="preserve"> Armstrong, ‘The rise and fall of the company promoter’, pp. 119-121; Cottrell, British overseas investment, p. 28.</w:t>
      </w:r>
    </w:p>
  </w:footnote>
  <w:footnote w:id="18">
    <w:p w:rsidR="00DA49AC" w:rsidRDefault="00DA49AC" w:rsidP="00D06B56">
      <w:pPr>
        <w:pStyle w:val="FootnoteText"/>
        <w:spacing w:line="480" w:lineRule="auto"/>
        <w:jc w:val="both"/>
      </w:pPr>
      <w:r>
        <w:rPr>
          <w:rStyle w:val="FootnoteReference"/>
        </w:rPr>
        <w:footnoteRef/>
      </w:r>
      <w:r>
        <w:t xml:space="preserve"> Armstrong, ‘The rise and fall of the company promoter’, p. 121; Thompson, </w:t>
      </w:r>
      <w:r w:rsidRPr="00D06B56">
        <w:rPr>
          <w:i/>
        </w:rPr>
        <w:t>English landed society</w:t>
      </w:r>
      <w:r>
        <w:t>, p. 307.</w:t>
      </w:r>
    </w:p>
  </w:footnote>
  <w:footnote w:id="19">
    <w:p w:rsidR="00DA49AC" w:rsidRDefault="00DA49AC" w:rsidP="00113AFC">
      <w:pPr>
        <w:jc w:val="both"/>
      </w:pPr>
      <w:r w:rsidRPr="00A92E4F">
        <w:rPr>
          <w:rStyle w:val="FootnoteReference"/>
        </w:rPr>
        <w:footnoteRef/>
      </w:r>
      <w:r>
        <w:t xml:space="preserve"> We found information on 5,134 individuals who had been left uncategorised during the first stage of data entry. I</w:t>
      </w:r>
      <w:r w:rsidRPr="00A92E4F">
        <w:t xml:space="preserve">n </w:t>
      </w:r>
      <w:r>
        <w:t>58 per cent of</w:t>
      </w:r>
      <w:r w:rsidRPr="00A92E4F">
        <w:t xml:space="preserve"> cases</w:t>
      </w:r>
      <w:r>
        <w:t>,</w:t>
      </w:r>
      <w:r w:rsidRPr="00A92E4F">
        <w:t xml:space="preserve"> we identified a male occupation which had been deemed illegi</w:t>
      </w:r>
      <w:r>
        <w:t>ble at phase one of data input. In another 15 per cent</w:t>
      </w:r>
      <w:r w:rsidRPr="00A92E4F">
        <w:t xml:space="preserve"> of </w:t>
      </w:r>
      <w:r>
        <w:t>cases,</w:t>
      </w:r>
      <w:r w:rsidRPr="00A92E4F">
        <w:t xml:space="preserve"> </w:t>
      </w:r>
      <w:r>
        <w:t>a title such as Major, M.P., Dr</w:t>
      </w:r>
      <w:r w:rsidRPr="00A92E4F">
        <w:t xml:space="preserve"> or Reverend </w:t>
      </w:r>
      <w:r>
        <w:t>was appended to the shareholder’s name.  A further 15 per cent</w:t>
      </w:r>
      <w:r w:rsidRPr="00A92E4F">
        <w:t xml:space="preserve"> </w:t>
      </w:r>
      <w:r>
        <w:t>were</w:t>
      </w:r>
      <w:r w:rsidRPr="00A92E4F">
        <w:t xml:space="preserve"> shareholdings held by an executor, trust,</w:t>
      </w:r>
      <w:r>
        <w:t xml:space="preserve"> administrator or a company.  The remaining 12 per cent of ‘missing’ </w:t>
      </w:r>
      <w:r w:rsidRPr="00A92E4F">
        <w:t xml:space="preserve">shareholders were </w:t>
      </w:r>
      <w:r>
        <w:t>female and had not been classified</w:t>
      </w:r>
      <w:r w:rsidRPr="00A92E4F">
        <w:t xml:space="preserve"> as a spinster, widow or married woman</w:t>
      </w:r>
      <w:r>
        <w:t xml:space="preserve"> in the original ownership files</w:t>
      </w:r>
      <w:r w:rsidRPr="00A92E4F">
        <w:t xml:space="preserve">. </w:t>
      </w:r>
    </w:p>
  </w:footnote>
  <w:footnote w:id="20">
    <w:p w:rsidR="00DA49AC" w:rsidRDefault="00DA49AC" w:rsidP="00A57D12">
      <w:pPr>
        <w:pStyle w:val="FootnoteText"/>
        <w:spacing w:line="480" w:lineRule="auto"/>
        <w:jc w:val="both"/>
      </w:pPr>
      <w:r>
        <w:rPr>
          <w:rStyle w:val="FootnoteReference"/>
        </w:rPr>
        <w:footnoteRef/>
      </w:r>
      <w:r>
        <w:t xml:space="preserve"> Allen, ‘A theory of the pre-modern British aristocracy’, p. 301.</w:t>
      </w:r>
    </w:p>
  </w:footnote>
  <w:footnote w:id="21">
    <w:p w:rsidR="00DA49AC" w:rsidRDefault="00DA49AC" w:rsidP="007B1D56">
      <w:pPr>
        <w:pStyle w:val="FootnoteText"/>
        <w:spacing w:line="480" w:lineRule="auto"/>
        <w:jc w:val="both"/>
      </w:pPr>
      <w:r>
        <w:rPr>
          <w:rStyle w:val="FootnoteReference"/>
        </w:rPr>
        <w:footnoteRef/>
      </w:r>
      <w:r>
        <w:t xml:space="preserve"> Best, </w:t>
      </w:r>
      <w:r w:rsidRPr="007B1D56">
        <w:rPr>
          <w:i/>
        </w:rPr>
        <w:t>Mid-Victorian Britain</w:t>
      </w:r>
      <w:r>
        <w:t>, pp. 268-76.</w:t>
      </w:r>
    </w:p>
  </w:footnote>
  <w:footnote w:id="22">
    <w:p w:rsidR="00DA49AC" w:rsidRDefault="00DA49AC" w:rsidP="00CD5A9D">
      <w:pPr>
        <w:pStyle w:val="FootnoteText"/>
        <w:spacing w:line="480" w:lineRule="auto"/>
        <w:jc w:val="both"/>
      </w:pPr>
      <w:r w:rsidRPr="00CB76D0">
        <w:rPr>
          <w:rStyle w:val="FootnoteReference"/>
        </w:rPr>
        <w:footnoteRef/>
      </w:r>
      <w:r w:rsidRPr="00CB76D0">
        <w:t xml:space="preserve"> </w:t>
      </w:r>
      <w:r>
        <w:t>Rutterford, ‘Learning from one another’s mistakes’</w:t>
      </w:r>
      <w:r w:rsidRPr="00CB76D0">
        <w:t>.</w:t>
      </w:r>
    </w:p>
  </w:footnote>
  <w:footnote w:id="23">
    <w:p w:rsidR="00DA49AC" w:rsidRDefault="00DA49AC" w:rsidP="004F43C2">
      <w:pPr>
        <w:pStyle w:val="FootnoteText"/>
        <w:spacing w:line="480" w:lineRule="auto"/>
        <w:jc w:val="both"/>
      </w:pPr>
      <w:r w:rsidRPr="005E29C4">
        <w:rPr>
          <w:rStyle w:val="FootnoteReference"/>
        </w:rPr>
        <w:footnoteRef/>
      </w:r>
      <w:r w:rsidRPr="005E29C4">
        <w:t xml:space="preserve"> </w:t>
      </w:r>
      <w:r>
        <w:t xml:space="preserve">On this court ruling, see </w:t>
      </w:r>
      <w:r w:rsidRPr="005E29C4">
        <w:t xml:space="preserve">McDonald, D. G. </w:t>
      </w:r>
      <w:r w:rsidRPr="005E29C4">
        <w:rPr>
          <w:i/>
        </w:rPr>
        <w:t>The Rule in Trevor v. Whitworth</w:t>
      </w:r>
      <w:r w:rsidRPr="005E29C4">
        <w:t>.</w:t>
      </w:r>
    </w:p>
  </w:footnote>
  <w:footnote w:id="24">
    <w:p w:rsidR="00DA49AC" w:rsidRDefault="00DA49AC" w:rsidP="001D143A">
      <w:pPr>
        <w:pStyle w:val="FootnoteText"/>
        <w:spacing w:line="480" w:lineRule="auto"/>
        <w:jc w:val="both"/>
      </w:pPr>
      <w:r>
        <w:rPr>
          <w:rStyle w:val="FootnoteReference"/>
        </w:rPr>
        <w:footnoteRef/>
      </w:r>
      <w:r>
        <w:t xml:space="preserve">Acheson and Turner, ‘Investor behaviour’, ‘Death blow to unlimited liability’; Turner, ‘Wider share ownership’. </w:t>
      </w:r>
    </w:p>
  </w:footnote>
  <w:footnote w:id="25">
    <w:p w:rsidR="00DA49AC" w:rsidRDefault="00DA49AC" w:rsidP="001008DF">
      <w:pPr>
        <w:pStyle w:val="FootnoteText"/>
        <w:spacing w:line="480" w:lineRule="auto"/>
        <w:jc w:val="both"/>
      </w:pPr>
      <w:r>
        <w:rPr>
          <w:rStyle w:val="FootnoteReference"/>
        </w:rPr>
        <w:footnoteRef/>
      </w:r>
      <w:r>
        <w:t xml:space="preserve"> Armstrong, ‘The rise and fall of the company promoter’, p. 121; Thompson, </w:t>
      </w:r>
      <w:r w:rsidRPr="00D06B56">
        <w:rPr>
          <w:i/>
        </w:rPr>
        <w:t>English landed society</w:t>
      </w:r>
      <w:r>
        <w:t>, p. 307.</w:t>
      </w:r>
    </w:p>
  </w:footnote>
  <w:footnote w:id="26">
    <w:p w:rsidR="00DA49AC" w:rsidRDefault="00DA49AC" w:rsidP="00DB23BE">
      <w:pPr>
        <w:pStyle w:val="FootnoteText"/>
        <w:spacing w:line="480" w:lineRule="auto"/>
        <w:jc w:val="both"/>
      </w:pPr>
      <w:r>
        <w:rPr>
          <w:rStyle w:val="FootnoteReference"/>
        </w:rPr>
        <w:footnoteRef/>
      </w:r>
      <w:r>
        <w:t xml:space="preserve">Acheson and Turner, ‘Investor behaviour’, ‘Death blow to unlimited liability’; Turner, ‘Wider share ownership’. </w:t>
      </w:r>
    </w:p>
  </w:footnote>
  <w:footnote w:id="27">
    <w:p w:rsidR="00DA49AC" w:rsidRDefault="00DA49AC" w:rsidP="00CC2326">
      <w:pPr>
        <w:pStyle w:val="FootnoteText"/>
        <w:spacing w:line="480" w:lineRule="auto"/>
        <w:jc w:val="both"/>
      </w:pPr>
      <w:r>
        <w:rPr>
          <w:rStyle w:val="FootnoteReference"/>
        </w:rPr>
        <w:footnoteRef/>
      </w:r>
      <w:r>
        <w:t xml:space="preserve"> Turner, ‘Wider share ownership’. </w:t>
      </w:r>
    </w:p>
  </w:footnote>
  <w:footnote w:id="28">
    <w:p w:rsidR="00DA49AC" w:rsidRDefault="00DA49AC" w:rsidP="00890C95">
      <w:pPr>
        <w:pStyle w:val="FootnoteText"/>
        <w:spacing w:line="480" w:lineRule="auto"/>
        <w:jc w:val="both"/>
      </w:pPr>
      <w:r>
        <w:rPr>
          <w:rStyle w:val="FootnoteReference"/>
        </w:rPr>
        <w:footnoteRef/>
      </w:r>
      <w:r>
        <w:t xml:space="preserve"> Rutterford et al., ‘Who comprised’, p. 169.</w:t>
      </w:r>
    </w:p>
  </w:footnote>
  <w:footnote w:id="29">
    <w:p w:rsidR="00DA49AC" w:rsidRDefault="00DA49AC" w:rsidP="00890C95">
      <w:pPr>
        <w:pStyle w:val="FootnoteText"/>
        <w:spacing w:line="480" w:lineRule="auto"/>
        <w:jc w:val="both"/>
      </w:pPr>
      <w:r>
        <w:rPr>
          <w:rStyle w:val="FootnoteReference"/>
        </w:rPr>
        <w:footnoteRef/>
      </w:r>
      <w:r>
        <w:t xml:space="preserve"> Rutterford et al., ‘Who comprised’, p. 171.</w:t>
      </w:r>
    </w:p>
  </w:footnote>
  <w:footnote w:id="30">
    <w:p w:rsidR="00DA49AC" w:rsidRDefault="00DA49AC" w:rsidP="00643A69">
      <w:pPr>
        <w:pStyle w:val="FootnoteText"/>
        <w:spacing w:line="480" w:lineRule="auto"/>
        <w:jc w:val="both"/>
      </w:pPr>
      <w:r>
        <w:rPr>
          <w:rStyle w:val="FootnoteReference"/>
        </w:rPr>
        <w:footnoteRef/>
      </w:r>
      <w:r>
        <w:t xml:space="preserve"> Rutterford and Maltby, ‘The widow, the clergyman and the reckless’, p.120.</w:t>
      </w:r>
    </w:p>
  </w:footnote>
  <w:footnote w:id="31">
    <w:p w:rsidR="00DA49AC" w:rsidRDefault="00DA49AC" w:rsidP="00961CB4">
      <w:pPr>
        <w:pStyle w:val="FootnoteText"/>
        <w:spacing w:line="480" w:lineRule="auto"/>
        <w:jc w:val="both"/>
      </w:pPr>
      <w:r>
        <w:rPr>
          <w:rStyle w:val="FootnoteReference"/>
        </w:rPr>
        <w:footnoteRef/>
      </w:r>
      <w:r>
        <w:t xml:space="preserve"> See Michie, </w:t>
      </w:r>
      <w:r w:rsidRPr="00F4652F">
        <w:rPr>
          <w:i/>
        </w:rPr>
        <w:t>Money, mania and markets</w:t>
      </w:r>
      <w:r>
        <w:rPr>
          <w:i/>
        </w:rPr>
        <w:t xml:space="preserve">, </w:t>
      </w:r>
      <w:r w:rsidRPr="00561B2F">
        <w:t>p</w:t>
      </w:r>
      <w:r>
        <w:t>p. 248-</w:t>
      </w:r>
      <w:r w:rsidRPr="00561B2F">
        <w:t>9</w:t>
      </w:r>
      <w:r>
        <w:t xml:space="preserve"> for a discussion on the speculative nature of mining stocks at this time and the security of stocks of utilities, banks and insurance companies.</w:t>
      </w:r>
    </w:p>
  </w:footnote>
  <w:footnote w:id="32">
    <w:p w:rsidR="00DA49AC" w:rsidRDefault="00DA49AC" w:rsidP="00183E59">
      <w:pPr>
        <w:pStyle w:val="FootnoteText"/>
        <w:spacing w:line="480" w:lineRule="auto"/>
        <w:jc w:val="both"/>
      </w:pPr>
      <w:r>
        <w:rPr>
          <w:rStyle w:val="FootnoteReference"/>
        </w:rPr>
        <w:footnoteRef/>
      </w:r>
      <w:r>
        <w:t xml:space="preserve"> Similar to Davis and Huttenback, </w:t>
      </w:r>
      <w:r w:rsidRPr="00183E59">
        <w:rPr>
          <w:i/>
        </w:rPr>
        <w:t>Mammon and the pursuit of empire</w:t>
      </w:r>
      <w:r>
        <w:t>, p. 200, we find that merchants were more likely to invest in foreign and colonial companies than other businessmen.</w:t>
      </w:r>
    </w:p>
  </w:footnote>
  <w:footnote w:id="33">
    <w:p w:rsidR="00DA49AC" w:rsidRDefault="00DA49AC" w:rsidP="00961CB4">
      <w:pPr>
        <w:pStyle w:val="FootnoteText"/>
        <w:spacing w:line="480" w:lineRule="auto"/>
        <w:jc w:val="both"/>
      </w:pPr>
      <w:r>
        <w:rPr>
          <w:rStyle w:val="FootnoteReference"/>
        </w:rPr>
        <w:footnoteRef/>
      </w:r>
      <w:r>
        <w:t xml:space="preserve"> Davis and Huttenback, </w:t>
      </w:r>
      <w:r w:rsidRPr="00183E59">
        <w:rPr>
          <w:i/>
        </w:rPr>
        <w:t>Mammon and the pursuit of empire</w:t>
      </w:r>
      <w:r>
        <w:t>, pp. 200-2; Cain and Hopkins, ‘Gentlemanly capitalists’,  p. 3.</w:t>
      </w:r>
    </w:p>
  </w:footnote>
  <w:footnote w:id="34">
    <w:p w:rsidR="00DA49AC" w:rsidRDefault="00DA49AC" w:rsidP="006514BF">
      <w:pPr>
        <w:pStyle w:val="FootnoteText"/>
        <w:spacing w:line="480" w:lineRule="auto"/>
        <w:jc w:val="both"/>
      </w:pPr>
      <w:r>
        <w:rPr>
          <w:rStyle w:val="FootnoteReference"/>
        </w:rPr>
        <w:footnoteRef/>
      </w:r>
      <w:r>
        <w:t xml:space="preserve"> Rutterford et al., ‘Who comprised’, p. 174.</w:t>
      </w:r>
    </w:p>
  </w:footnote>
  <w:footnote w:id="35">
    <w:p w:rsidR="00DA49AC" w:rsidRDefault="00DA49AC" w:rsidP="00D97950">
      <w:pPr>
        <w:pStyle w:val="FootnoteText"/>
        <w:spacing w:line="480" w:lineRule="auto"/>
      </w:pPr>
      <w:r>
        <w:rPr>
          <w:rStyle w:val="FootnoteReference"/>
        </w:rPr>
        <w:footnoteRef/>
      </w:r>
      <w:r>
        <w:t xml:space="preserve"> For the rise of the regional stock exchanges, see Killick and Thomas, ‘Provincial stock exchanges’.</w:t>
      </w:r>
    </w:p>
  </w:footnote>
  <w:footnote w:id="36">
    <w:p w:rsidR="00DA49AC" w:rsidRPr="00B75BCD" w:rsidRDefault="00DA49AC" w:rsidP="00675172">
      <w:pPr>
        <w:widowControl w:val="0"/>
        <w:autoSpaceDE w:val="0"/>
        <w:autoSpaceDN w:val="0"/>
        <w:adjustRightInd w:val="0"/>
        <w:jc w:val="both"/>
        <w:rPr>
          <w:rFonts w:eastAsia="MS Mincho"/>
        </w:rPr>
      </w:pPr>
      <w:r>
        <w:rPr>
          <w:rStyle w:val="FootnoteReference"/>
        </w:rPr>
        <w:footnoteRef/>
      </w:r>
      <w:r>
        <w:t xml:space="preserve"> On this trend see </w:t>
      </w:r>
      <w:r>
        <w:rPr>
          <w:rFonts w:eastAsia="MS Mincho"/>
        </w:rPr>
        <w:t xml:space="preserve">Newton, </w:t>
      </w:r>
      <w:r>
        <w:rPr>
          <w:rFonts w:eastAsia="MS Mincho"/>
          <w:i/>
        </w:rPr>
        <w:t xml:space="preserve">The finance of manufacturing, </w:t>
      </w:r>
      <w:r>
        <w:rPr>
          <w:rFonts w:eastAsia="MS Mincho"/>
        </w:rPr>
        <w:t xml:space="preserve">p. 181. </w:t>
      </w:r>
    </w:p>
    <w:p w:rsidR="00DA49AC" w:rsidRDefault="00DA49AC" w:rsidP="00675172">
      <w:pPr>
        <w:widowControl w:val="0"/>
        <w:autoSpaceDE w:val="0"/>
        <w:autoSpaceDN w:val="0"/>
        <w:adjustRightInd w:val="0"/>
        <w:jc w:val="both"/>
      </w:pPr>
    </w:p>
  </w:footnote>
  <w:footnote w:id="37">
    <w:p w:rsidR="00DA49AC" w:rsidRDefault="00DA49AC" w:rsidP="00DC531F">
      <w:pPr>
        <w:pStyle w:val="FootnoteText"/>
        <w:spacing w:line="480" w:lineRule="auto"/>
        <w:jc w:val="both"/>
      </w:pPr>
      <w:r>
        <w:rPr>
          <w:rStyle w:val="FootnoteReference"/>
        </w:rPr>
        <w:footnoteRef/>
      </w:r>
      <w:r>
        <w:t xml:space="preserve"> Jefferys, </w:t>
      </w:r>
      <w:r w:rsidRPr="00C70B88">
        <w:rPr>
          <w:i/>
        </w:rPr>
        <w:t>Business organisation</w:t>
      </w:r>
      <w:r>
        <w:t>, p. 209</w:t>
      </w:r>
    </w:p>
  </w:footnote>
  <w:footnote w:id="38">
    <w:p w:rsidR="00DA49AC" w:rsidRDefault="00DA49AC" w:rsidP="00DC531F">
      <w:pPr>
        <w:pStyle w:val="FootnoteText"/>
        <w:spacing w:line="480" w:lineRule="auto"/>
      </w:pPr>
      <w:r>
        <w:rPr>
          <w:rStyle w:val="FootnoteReference"/>
        </w:rPr>
        <w:footnoteRef/>
      </w:r>
      <w:r>
        <w:t xml:space="preserve"> Jefferys, </w:t>
      </w:r>
      <w:r w:rsidRPr="00C70B88">
        <w:rPr>
          <w:i/>
        </w:rPr>
        <w:t>Business organisation</w:t>
      </w:r>
      <w:r>
        <w:t>, p. 220.</w:t>
      </w:r>
    </w:p>
  </w:footnote>
  <w:footnote w:id="39">
    <w:p w:rsidR="00DA49AC" w:rsidRDefault="00DA49AC" w:rsidP="00DC531F">
      <w:pPr>
        <w:pStyle w:val="FootnoteText"/>
        <w:spacing w:line="480" w:lineRule="auto"/>
      </w:pPr>
      <w:r>
        <w:rPr>
          <w:rStyle w:val="FootnoteReference"/>
        </w:rPr>
        <w:footnoteRef/>
      </w:r>
      <w:r>
        <w:t xml:space="preserve"> Jefferys, ‘The denomination’.</w:t>
      </w:r>
    </w:p>
  </w:footnote>
  <w:footnote w:id="40">
    <w:p w:rsidR="00DA49AC" w:rsidRDefault="00DA49AC" w:rsidP="00DC531F">
      <w:pPr>
        <w:pStyle w:val="FootnoteText"/>
        <w:spacing w:line="480" w:lineRule="auto"/>
      </w:pPr>
      <w:r>
        <w:rPr>
          <w:rStyle w:val="FootnoteReference"/>
        </w:rPr>
        <w:footnoteRef/>
      </w:r>
      <w:r>
        <w:t xml:space="preserve"> See Acheson and Turner, ‘Investor behaviour’, pp. 198-9.</w:t>
      </w:r>
    </w:p>
  </w:footnote>
  <w:footnote w:id="41">
    <w:p w:rsidR="00DA49AC" w:rsidRDefault="00DA49AC" w:rsidP="00B719BE">
      <w:pPr>
        <w:pStyle w:val="FootnoteText"/>
        <w:spacing w:line="480" w:lineRule="auto"/>
      </w:pPr>
      <w:r>
        <w:rPr>
          <w:rStyle w:val="FootnoteReference"/>
        </w:rPr>
        <w:footnoteRef/>
      </w:r>
      <w:r>
        <w:t xml:space="preserve"> Jefferys, </w:t>
      </w:r>
      <w:r w:rsidRPr="00C70B88">
        <w:rPr>
          <w:i/>
        </w:rPr>
        <w:t>Business organisation</w:t>
      </w:r>
      <w:r>
        <w:t>, pp. 353-4</w:t>
      </w:r>
    </w:p>
  </w:footnote>
  <w:footnote w:id="42">
    <w:p w:rsidR="00DA49AC" w:rsidRDefault="00DA49AC" w:rsidP="00E838D5">
      <w:pPr>
        <w:autoSpaceDE w:val="0"/>
        <w:autoSpaceDN w:val="0"/>
        <w:adjustRightInd w:val="0"/>
        <w:jc w:val="both"/>
      </w:pPr>
      <w:r>
        <w:rPr>
          <w:rStyle w:val="FootnoteReference"/>
        </w:rPr>
        <w:footnoteRef/>
      </w:r>
      <w:r>
        <w:t xml:space="preserve"> On risk preferences of women and businessmen see </w:t>
      </w:r>
      <w:r w:rsidRPr="00E838D5">
        <w:t>Acheson and Turner, ‘Investor behaviour’</w:t>
      </w:r>
      <w:r>
        <w:t>, p. 198</w:t>
      </w:r>
      <w:r w:rsidRPr="00E838D5">
        <w:t>, Dwy</w:t>
      </w:r>
      <w:r>
        <w:t>er et al., ‘Gender differences’</w:t>
      </w:r>
      <w:r w:rsidRPr="00E838D5">
        <w:t xml:space="preserve">; Rutterford and Maltby, </w:t>
      </w:r>
      <w:r>
        <w:t>‘The widow, the clergyman and the reckless’</w:t>
      </w:r>
      <w:r w:rsidRPr="00E838D5">
        <w:t>, p. 113</w:t>
      </w:r>
      <w:r>
        <w:t>.</w:t>
      </w:r>
    </w:p>
  </w:footnote>
  <w:footnote w:id="43">
    <w:p w:rsidR="00DA49AC" w:rsidRDefault="00DA49AC" w:rsidP="00604B5D">
      <w:pPr>
        <w:pStyle w:val="FootnoteText"/>
        <w:spacing w:line="480" w:lineRule="auto"/>
      </w:pPr>
      <w:r>
        <w:rPr>
          <w:rStyle w:val="FootnoteReference"/>
        </w:rPr>
        <w:footnoteRef/>
      </w:r>
      <w:r>
        <w:t xml:space="preserve"> </w:t>
      </w:r>
      <w:r w:rsidRPr="00E838D5">
        <w:t>Acheson and Turner, ‘Investor behaviour’</w:t>
      </w:r>
      <w:r>
        <w:t>.</w:t>
      </w:r>
    </w:p>
  </w:footnote>
  <w:footnote w:id="44">
    <w:p w:rsidR="00DA49AC" w:rsidRDefault="00DA49AC" w:rsidP="003747B4">
      <w:pPr>
        <w:pStyle w:val="FootnoteText"/>
        <w:spacing w:line="480" w:lineRule="auto"/>
        <w:jc w:val="both"/>
      </w:pPr>
      <w:r>
        <w:rPr>
          <w:rStyle w:val="FootnoteReference"/>
        </w:rPr>
        <w:footnoteRef/>
      </w:r>
      <w:r>
        <w:t xml:space="preserve"> Campbell and Turner, ‘Substitutes for legal protection’. </w:t>
      </w:r>
    </w:p>
  </w:footnote>
  <w:footnote w:id="45">
    <w:p w:rsidR="00DA49AC" w:rsidRDefault="00DA49AC" w:rsidP="00521426">
      <w:pPr>
        <w:pStyle w:val="FootnoteText"/>
        <w:spacing w:line="480" w:lineRule="auto"/>
        <w:jc w:val="both"/>
      </w:pPr>
      <w:r>
        <w:rPr>
          <w:rStyle w:val="FootnoteReference"/>
        </w:rPr>
        <w:footnoteRef/>
      </w:r>
      <w:r>
        <w:t xml:space="preserve"> Barber and Odean, ‘Boys will be boys’ find that in the 1990s men trade shares 45 per cent more than women.</w:t>
      </w:r>
    </w:p>
  </w:footnote>
  <w:footnote w:id="46">
    <w:p w:rsidR="00DA49AC" w:rsidRDefault="00DA49AC" w:rsidP="001E4F06">
      <w:pPr>
        <w:pStyle w:val="FootnoteText"/>
        <w:spacing w:line="480" w:lineRule="auto"/>
        <w:jc w:val="both"/>
      </w:pPr>
      <w:r>
        <w:rPr>
          <w:rStyle w:val="FootnoteReference"/>
        </w:rPr>
        <w:footnoteRef/>
      </w:r>
      <w:r>
        <w:t xml:space="preserve"> Jefferys, </w:t>
      </w:r>
      <w:r w:rsidRPr="00C70B88">
        <w:rPr>
          <w:i/>
        </w:rPr>
        <w:t>Business organisation</w:t>
      </w:r>
      <w:r>
        <w:t>, p. 209; Jefferys, ‘The denomination’.</w:t>
      </w:r>
    </w:p>
  </w:footnote>
  <w:footnote w:id="47">
    <w:p w:rsidR="00DA49AC" w:rsidRDefault="00DA49AC" w:rsidP="007D5A56">
      <w:pPr>
        <w:pStyle w:val="FootnoteText"/>
        <w:spacing w:line="480" w:lineRule="auto"/>
        <w:jc w:val="both"/>
      </w:pPr>
      <w:r>
        <w:rPr>
          <w:rStyle w:val="FootnoteReference"/>
        </w:rPr>
        <w:footnoteRef/>
      </w:r>
      <w:r>
        <w:t xml:space="preserve"> See Rutterford et al., ‘Who comprised’, pp.179-80 on the composition of assets at death, which the proportion of someone’s estate held in shares.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CDE"/>
    <w:multiLevelType w:val="hybridMultilevel"/>
    <w:tmpl w:val="DCCACCF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6A46473"/>
    <w:multiLevelType w:val="hybridMultilevel"/>
    <w:tmpl w:val="8EAE3D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6AC0238"/>
    <w:multiLevelType w:val="hybridMultilevel"/>
    <w:tmpl w:val="B0D0C3E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2F7"/>
    <w:rsid w:val="00001984"/>
    <w:rsid w:val="00006E36"/>
    <w:rsid w:val="00007727"/>
    <w:rsid w:val="00020AD9"/>
    <w:rsid w:val="00021B33"/>
    <w:rsid w:val="00023E62"/>
    <w:rsid w:val="000253A0"/>
    <w:rsid w:val="000253EE"/>
    <w:rsid w:val="00026B99"/>
    <w:rsid w:val="00027C72"/>
    <w:rsid w:val="000302D1"/>
    <w:rsid w:val="000321D5"/>
    <w:rsid w:val="00033249"/>
    <w:rsid w:val="00036D0B"/>
    <w:rsid w:val="00041CF5"/>
    <w:rsid w:val="00042283"/>
    <w:rsid w:val="0004316F"/>
    <w:rsid w:val="0005248F"/>
    <w:rsid w:val="00053B22"/>
    <w:rsid w:val="00055C0F"/>
    <w:rsid w:val="00061BF3"/>
    <w:rsid w:val="00062009"/>
    <w:rsid w:val="00070380"/>
    <w:rsid w:val="00071265"/>
    <w:rsid w:val="000720C6"/>
    <w:rsid w:val="0007457B"/>
    <w:rsid w:val="00074884"/>
    <w:rsid w:val="0007526E"/>
    <w:rsid w:val="000764A1"/>
    <w:rsid w:val="000800CA"/>
    <w:rsid w:val="00080FE5"/>
    <w:rsid w:val="00081880"/>
    <w:rsid w:val="0008771C"/>
    <w:rsid w:val="00090310"/>
    <w:rsid w:val="00095133"/>
    <w:rsid w:val="000A27A8"/>
    <w:rsid w:val="000A439E"/>
    <w:rsid w:val="000A71E7"/>
    <w:rsid w:val="000B03E9"/>
    <w:rsid w:val="000B1EA7"/>
    <w:rsid w:val="000B20BE"/>
    <w:rsid w:val="000B260E"/>
    <w:rsid w:val="000B2EA4"/>
    <w:rsid w:val="000B3EF0"/>
    <w:rsid w:val="000B4A15"/>
    <w:rsid w:val="000B599B"/>
    <w:rsid w:val="000B695B"/>
    <w:rsid w:val="000C040D"/>
    <w:rsid w:val="000C378E"/>
    <w:rsid w:val="000C411E"/>
    <w:rsid w:val="000C5782"/>
    <w:rsid w:val="000C5A2F"/>
    <w:rsid w:val="000D2A8D"/>
    <w:rsid w:val="000D7E87"/>
    <w:rsid w:val="000E0385"/>
    <w:rsid w:val="000E144D"/>
    <w:rsid w:val="000E21F9"/>
    <w:rsid w:val="000E299D"/>
    <w:rsid w:val="000E4952"/>
    <w:rsid w:val="000E65F4"/>
    <w:rsid w:val="000F0100"/>
    <w:rsid w:val="000F0B1E"/>
    <w:rsid w:val="000F0F10"/>
    <w:rsid w:val="000F1FAE"/>
    <w:rsid w:val="000F6792"/>
    <w:rsid w:val="001008DF"/>
    <w:rsid w:val="001024DE"/>
    <w:rsid w:val="00106390"/>
    <w:rsid w:val="00106626"/>
    <w:rsid w:val="00110949"/>
    <w:rsid w:val="001113E7"/>
    <w:rsid w:val="001135CF"/>
    <w:rsid w:val="00113AFC"/>
    <w:rsid w:val="00117F1E"/>
    <w:rsid w:val="00122B95"/>
    <w:rsid w:val="0012389B"/>
    <w:rsid w:val="0012565F"/>
    <w:rsid w:val="00125A7E"/>
    <w:rsid w:val="001278CD"/>
    <w:rsid w:val="0013168A"/>
    <w:rsid w:val="001319E6"/>
    <w:rsid w:val="00131FFA"/>
    <w:rsid w:val="00137C1A"/>
    <w:rsid w:val="00140A0C"/>
    <w:rsid w:val="00141C55"/>
    <w:rsid w:val="0014763D"/>
    <w:rsid w:val="00150CD5"/>
    <w:rsid w:val="0015272D"/>
    <w:rsid w:val="00152E98"/>
    <w:rsid w:val="0015478A"/>
    <w:rsid w:val="00156775"/>
    <w:rsid w:val="0016343F"/>
    <w:rsid w:val="00164D71"/>
    <w:rsid w:val="001653C3"/>
    <w:rsid w:val="0016553A"/>
    <w:rsid w:val="00165F2A"/>
    <w:rsid w:val="001670E3"/>
    <w:rsid w:val="001720AD"/>
    <w:rsid w:val="00175148"/>
    <w:rsid w:val="00183E59"/>
    <w:rsid w:val="00185669"/>
    <w:rsid w:val="0018748D"/>
    <w:rsid w:val="00196F91"/>
    <w:rsid w:val="001A02BA"/>
    <w:rsid w:val="001A28A7"/>
    <w:rsid w:val="001A36B8"/>
    <w:rsid w:val="001A7C55"/>
    <w:rsid w:val="001B1DC3"/>
    <w:rsid w:val="001B6320"/>
    <w:rsid w:val="001C0200"/>
    <w:rsid w:val="001C10E6"/>
    <w:rsid w:val="001C642D"/>
    <w:rsid w:val="001D143A"/>
    <w:rsid w:val="001D213D"/>
    <w:rsid w:val="001D4728"/>
    <w:rsid w:val="001D4751"/>
    <w:rsid w:val="001D7697"/>
    <w:rsid w:val="001E033F"/>
    <w:rsid w:val="001E08C3"/>
    <w:rsid w:val="001E2441"/>
    <w:rsid w:val="001E445D"/>
    <w:rsid w:val="001E4F06"/>
    <w:rsid w:val="001F0564"/>
    <w:rsid w:val="001F375A"/>
    <w:rsid w:val="001F6E50"/>
    <w:rsid w:val="002001F4"/>
    <w:rsid w:val="00201EB5"/>
    <w:rsid w:val="002066BB"/>
    <w:rsid w:val="0020692F"/>
    <w:rsid w:val="002114A9"/>
    <w:rsid w:val="00215488"/>
    <w:rsid w:val="00215558"/>
    <w:rsid w:val="002172AA"/>
    <w:rsid w:val="00220EAD"/>
    <w:rsid w:val="0022429B"/>
    <w:rsid w:val="0022448F"/>
    <w:rsid w:val="002265CC"/>
    <w:rsid w:val="002302F8"/>
    <w:rsid w:val="0023099B"/>
    <w:rsid w:val="00230CB9"/>
    <w:rsid w:val="0023132B"/>
    <w:rsid w:val="002326F7"/>
    <w:rsid w:val="00236086"/>
    <w:rsid w:val="00236D7E"/>
    <w:rsid w:val="00237B7D"/>
    <w:rsid w:val="00240847"/>
    <w:rsid w:val="00242A5C"/>
    <w:rsid w:val="00242B82"/>
    <w:rsid w:val="0025420B"/>
    <w:rsid w:val="00261946"/>
    <w:rsid w:val="0026408E"/>
    <w:rsid w:val="00265AC5"/>
    <w:rsid w:val="00266029"/>
    <w:rsid w:val="002708D7"/>
    <w:rsid w:val="00270FD0"/>
    <w:rsid w:val="0027220E"/>
    <w:rsid w:val="00274F84"/>
    <w:rsid w:val="00283633"/>
    <w:rsid w:val="0028628F"/>
    <w:rsid w:val="002870A1"/>
    <w:rsid w:val="00287A8A"/>
    <w:rsid w:val="0029048C"/>
    <w:rsid w:val="00291871"/>
    <w:rsid w:val="00292EEC"/>
    <w:rsid w:val="00293D69"/>
    <w:rsid w:val="002975CF"/>
    <w:rsid w:val="002A0526"/>
    <w:rsid w:val="002A17BB"/>
    <w:rsid w:val="002A194E"/>
    <w:rsid w:val="002A5ABD"/>
    <w:rsid w:val="002A5C9E"/>
    <w:rsid w:val="002A7ADE"/>
    <w:rsid w:val="002B1489"/>
    <w:rsid w:val="002B3772"/>
    <w:rsid w:val="002B3800"/>
    <w:rsid w:val="002B3C26"/>
    <w:rsid w:val="002B4469"/>
    <w:rsid w:val="002C4A2A"/>
    <w:rsid w:val="002D29CB"/>
    <w:rsid w:val="002D406D"/>
    <w:rsid w:val="002D6D6B"/>
    <w:rsid w:val="002D7E0A"/>
    <w:rsid w:val="002E04CB"/>
    <w:rsid w:val="002E0C98"/>
    <w:rsid w:val="002E0FD9"/>
    <w:rsid w:val="002F0150"/>
    <w:rsid w:val="002F4D6E"/>
    <w:rsid w:val="002F6149"/>
    <w:rsid w:val="00301ECD"/>
    <w:rsid w:val="003028DB"/>
    <w:rsid w:val="0030596F"/>
    <w:rsid w:val="0031221B"/>
    <w:rsid w:val="00313949"/>
    <w:rsid w:val="003156B8"/>
    <w:rsid w:val="0031624C"/>
    <w:rsid w:val="00321582"/>
    <w:rsid w:val="00322817"/>
    <w:rsid w:val="003230F4"/>
    <w:rsid w:val="003301F4"/>
    <w:rsid w:val="00331D5D"/>
    <w:rsid w:val="00332A1B"/>
    <w:rsid w:val="00335CCE"/>
    <w:rsid w:val="00340153"/>
    <w:rsid w:val="003427AC"/>
    <w:rsid w:val="00344EBE"/>
    <w:rsid w:val="00344EC9"/>
    <w:rsid w:val="00345DDE"/>
    <w:rsid w:val="00346E6F"/>
    <w:rsid w:val="003504DD"/>
    <w:rsid w:val="003573B5"/>
    <w:rsid w:val="003575B2"/>
    <w:rsid w:val="00357D31"/>
    <w:rsid w:val="00357ED4"/>
    <w:rsid w:val="00360BE1"/>
    <w:rsid w:val="003629EA"/>
    <w:rsid w:val="00370717"/>
    <w:rsid w:val="003747B4"/>
    <w:rsid w:val="00376E13"/>
    <w:rsid w:val="0038568A"/>
    <w:rsid w:val="0038653A"/>
    <w:rsid w:val="003919C2"/>
    <w:rsid w:val="00392CDB"/>
    <w:rsid w:val="00393E39"/>
    <w:rsid w:val="003A423F"/>
    <w:rsid w:val="003A620F"/>
    <w:rsid w:val="003A6D5D"/>
    <w:rsid w:val="003B1339"/>
    <w:rsid w:val="003B4FEC"/>
    <w:rsid w:val="003B63F3"/>
    <w:rsid w:val="003B6FEF"/>
    <w:rsid w:val="003C0137"/>
    <w:rsid w:val="003C044F"/>
    <w:rsid w:val="003C06A0"/>
    <w:rsid w:val="003C24E2"/>
    <w:rsid w:val="003C29EF"/>
    <w:rsid w:val="003C3237"/>
    <w:rsid w:val="003C41A0"/>
    <w:rsid w:val="003C4BE5"/>
    <w:rsid w:val="003C5023"/>
    <w:rsid w:val="003D0831"/>
    <w:rsid w:val="003D1515"/>
    <w:rsid w:val="003D7890"/>
    <w:rsid w:val="003F0D4D"/>
    <w:rsid w:val="003F150C"/>
    <w:rsid w:val="003F2AFB"/>
    <w:rsid w:val="003F3E86"/>
    <w:rsid w:val="003F4931"/>
    <w:rsid w:val="004000BF"/>
    <w:rsid w:val="004028A6"/>
    <w:rsid w:val="004028B9"/>
    <w:rsid w:val="00406546"/>
    <w:rsid w:val="0041009C"/>
    <w:rsid w:val="00421B92"/>
    <w:rsid w:val="00422A1F"/>
    <w:rsid w:val="004247A1"/>
    <w:rsid w:val="00427085"/>
    <w:rsid w:val="00427472"/>
    <w:rsid w:val="0043104A"/>
    <w:rsid w:val="00431B2A"/>
    <w:rsid w:val="00432712"/>
    <w:rsid w:val="00442A4C"/>
    <w:rsid w:val="0044678E"/>
    <w:rsid w:val="00447030"/>
    <w:rsid w:val="004507AB"/>
    <w:rsid w:val="00452552"/>
    <w:rsid w:val="00453484"/>
    <w:rsid w:val="00454D78"/>
    <w:rsid w:val="004607F7"/>
    <w:rsid w:val="004628A7"/>
    <w:rsid w:val="004643F5"/>
    <w:rsid w:val="00464CCF"/>
    <w:rsid w:val="004651DC"/>
    <w:rsid w:val="00466253"/>
    <w:rsid w:val="00470D48"/>
    <w:rsid w:val="00471C51"/>
    <w:rsid w:val="00471E04"/>
    <w:rsid w:val="00472890"/>
    <w:rsid w:val="00472CDF"/>
    <w:rsid w:val="004745C3"/>
    <w:rsid w:val="004801EF"/>
    <w:rsid w:val="004823DB"/>
    <w:rsid w:val="00483060"/>
    <w:rsid w:val="00484CD5"/>
    <w:rsid w:val="004929E4"/>
    <w:rsid w:val="00492C12"/>
    <w:rsid w:val="00493947"/>
    <w:rsid w:val="004940BA"/>
    <w:rsid w:val="004A2B07"/>
    <w:rsid w:val="004A321A"/>
    <w:rsid w:val="004A6011"/>
    <w:rsid w:val="004B00A9"/>
    <w:rsid w:val="004B10D2"/>
    <w:rsid w:val="004B44D8"/>
    <w:rsid w:val="004B5528"/>
    <w:rsid w:val="004B5BA4"/>
    <w:rsid w:val="004B6580"/>
    <w:rsid w:val="004B6726"/>
    <w:rsid w:val="004B7F1F"/>
    <w:rsid w:val="004C1526"/>
    <w:rsid w:val="004C1A89"/>
    <w:rsid w:val="004C4805"/>
    <w:rsid w:val="004C61D7"/>
    <w:rsid w:val="004C62CD"/>
    <w:rsid w:val="004C6B95"/>
    <w:rsid w:val="004D35E9"/>
    <w:rsid w:val="004E2A51"/>
    <w:rsid w:val="004E7E5D"/>
    <w:rsid w:val="004F24E2"/>
    <w:rsid w:val="004F2628"/>
    <w:rsid w:val="004F28ED"/>
    <w:rsid w:val="004F43C2"/>
    <w:rsid w:val="004F59CC"/>
    <w:rsid w:val="004F6B1A"/>
    <w:rsid w:val="004F6B6D"/>
    <w:rsid w:val="004F6BFA"/>
    <w:rsid w:val="00501360"/>
    <w:rsid w:val="00501B0B"/>
    <w:rsid w:val="00503C4B"/>
    <w:rsid w:val="005102E9"/>
    <w:rsid w:val="0051043C"/>
    <w:rsid w:val="005113AA"/>
    <w:rsid w:val="00511679"/>
    <w:rsid w:val="00513C3F"/>
    <w:rsid w:val="00513D31"/>
    <w:rsid w:val="005156FE"/>
    <w:rsid w:val="00516247"/>
    <w:rsid w:val="00516DF3"/>
    <w:rsid w:val="00520F9D"/>
    <w:rsid w:val="00521426"/>
    <w:rsid w:val="00523409"/>
    <w:rsid w:val="005247D9"/>
    <w:rsid w:val="00525C80"/>
    <w:rsid w:val="00525EF7"/>
    <w:rsid w:val="00525F52"/>
    <w:rsid w:val="005272F7"/>
    <w:rsid w:val="00530B56"/>
    <w:rsid w:val="00531380"/>
    <w:rsid w:val="00534EDC"/>
    <w:rsid w:val="0053782D"/>
    <w:rsid w:val="00543A4E"/>
    <w:rsid w:val="005448DD"/>
    <w:rsid w:val="005516AA"/>
    <w:rsid w:val="00551D0D"/>
    <w:rsid w:val="00552585"/>
    <w:rsid w:val="00557039"/>
    <w:rsid w:val="00557562"/>
    <w:rsid w:val="00557637"/>
    <w:rsid w:val="00560DCB"/>
    <w:rsid w:val="00561B2F"/>
    <w:rsid w:val="00564355"/>
    <w:rsid w:val="00567A88"/>
    <w:rsid w:val="00570C1D"/>
    <w:rsid w:val="00570E73"/>
    <w:rsid w:val="0057418F"/>
    <w:rsid w:val="00576253"/>
    <w:rsid w:val="00577B7B"/>
    <w:rsid w:val="0058052E"/>
    <w:rsid w:val="0058232B"/>
    <w:rsid w:val="00582A41"/>
    <w:rsid w:val="00584FAC"/>
    <w:rsid w:val="0058704D"/>
    <w:rsid w:val="005A0700"/>
    <w:rsid w:val="005B3E89"/>
    <w:rsid w:val="005C529D"/>
    <w:rsid w:val="005C539A"/>
    <w:rsid w:val="005C54F1"/>
    <w:rsid w:val="005C7F22"/>
    <w:rsid w:val="005D2713"/>
    <w:rsid w:val="005D4779"/>
    <w:rsid w:val="005E1B0C"/>
    <w:rsid w:val="005E29C4"/>
    <w:rsid w:val="005E3AEC"/>
    <w:rsid w:val="005E4B99"/>
    <w:rsid w:val="005E7991"/>
    <w:rsid w:val="005F0BA3"/>
    <w:rsid w:val="005F0F56"/>
    <w:rsid w:val="005F4A91"/>
    <w:rsid w:val="005F4FCA"/>
    <w:rsid w:val="0060044D"/>
    <w:rsid w:val="00601ABF"/>
    <w:rsid w:val="00601F55"/>
    <w:rsid w:val="00604B5D"/>
    <w:rsid w:val="00606FEB"/>
    <w:rsid w:val="00607BB7"/>
    <w:rsid w:val="00615B41"/>
    <w:rsid w:val="00615CDD"/>
    <w:rsid w:val="00621B70"/>
    <w:rsid w:val="00625F52"/>
    <w:rsid w:val="0062605D"/>
    <w:rsid w:val="00631E14"/>
    <w:rsid w:val="00631E19"/>
    <w:rsid w:val="00633167"/>
    <w:rsid w:val="00633482"/>
    <w:rsid w:val="00633894"/>
    <w:rsid w:val="0064021B"/>
    <w:rsid w:val="00642F6B"/>
    <w:rsid w:val="00643A69"/>
    <w:rsid w:val="0064493D"/>
    <w:rsid w:val="006500EF"/>
    <w:rsid w:val="0065083F"/>
    <w:rsid w:val="00650C55"/>
    <w:rsid w:val="006514BF"/>
    <w:rsid w:val="006619E6"/>
    <w:rsid w:val="006636A9"/>
    <w:rsid w:val="00664234"/>
    <w:rsid w:val="006655DD"/>
    <w:rsid w:val="0067033A"/>
    <w:rsid w:val="00670D80"/>
    <w:rsid w:val="00672529"/>
    <w:rsid w:val="0067261A"/>
    <w:rsid w:val="00675172"/>
    <w:rsid w:val="00675468"/>
    <w:rsid w:val="006801A6"/>
    <w:rsid w:val="00687E7E"/>
    <w:rsid w:val="0069070A"/>
    <w:rsid w:val="00692C16"/>
    <w:rsid w:val="0069726F"/>
    <w:rsid w:val="006A5306"/>
    <w:rsid w:val="006A5E6D"/>
    <w:rsid w:val="006B0862"/>
    <w:rsid w:val="006B28C9"/>
    <w:rsid w:val="006B36E2"/>
    <w:rsid w:val="006B4E7B"/>
    <w:rsid w:val="006B52E6"/>
    <w:rsid w:val="006B538E"/>
    <w:rsid w:val="006B694B"/>
    <w:rsid w:val="006B6961"/>
    <w:rsid w:val="006B7E2E"/>
    <w:rsid w:val="006C0CE5"/>
    <w:rsid w:val="006C1D1D"/>
    <w:rsid w:val="006C2463"/>
    <w:rsid w:val="006C44D6"/>
    <w:rsid w:val="006C5B81"/>
    <w:rsid w:val="006D0875"/>
    <w:rsid w:val="006D18EA"/>
    <w:rsid w:val="006D1E42"/>
    <w:rsid w:val="006D2220"/>
    <w:rsid w:val="006D4C55"/>
    <w:rsid w:val="006D587B"/>
    <w:rsid w:val="006E0398"/>
    <w:rsid w:val="006E2CD1"/>
    <w:rsid w:val="006E701E"/>
    <w:rsid w:val="006F064C"/>
    <w:rsid w:val="006F0A99"/>
    <w:rsid w:val="006F27CB"/>
    <w:rsid w:val="006F487D"/>
    <w:rsid w:val="007031BE"/>
    <w:rsid w:val="00704E90"/>
    <w:rsid w:val="00706DA2"/>
    <w:rsid w:val="00713F63"/>
    <w:rsid w:val="00715205"/>
    <w:rsid w:val="0071591F"/>
    <w:rsid w:val="00715A70"/>
    <w:rsid w:val="007221EF"/>
    <w:rsid w:val="007241DB"/>
    <w:rsid w:val="00727011"/>
    <w:rsid w:val="00737800"/>
    <w:rsid w:val="00737F45"/>
    <w:rsid w:val="00740140"/>
    <w:rsid w:val="00740800"/>
    <w:rsid w:val="0074219A"/>
    <w:rsid w:val="007503C1"/>
    <w:rsid w:val="00752F53"/>
    <w:rsid w:val="00753113"/>
    <w:rsid w:val="00753AE5"/>
    <w:rsid w:val="00754DE1"/>
    <w:rsid w:val="00755BB4"/>
    <w:rsid w:val="00756E3A"/>
    <w:rsid w:val="00757C22"/>
    <w:rsid w:val="00765FB9"/>
    <w:rsid w:val="007672E6"/>
    <w:rsid w:val="00767E4A"/>
    <w:rsid w:val="00767E99"/>
    <w:rsid w:val="00775062"/>
    <w:rsid w:val="00776DFA"/>
    <w:rsid w:val="00780669"/>
    <w:rsid w:val="00780BCA"/>
    <w:rsid w:val="00786971"/>
    <w:rsid w:val="00791785"/>
    <w:rsid w:val="007A109A"/>
    <w:rsid w:val="007A5B77"/>
    <w:rsid w:val="007A761D"/>
    <w:rsid w:val="007A794E"/>
    <w:rsid w:val="007B023D"/>
    <w:rsid w:val="007B1D56"/>
    <w:rsid w:val="007B2F88"/>
    <w:rsid w:val="007B3F23"/>
    <w:rsid w:val="007B7403"/>
    <w:rsid w:val="007B7F23"/>
    <w:rsid w:val="007C4912"/>
    <w:rsid w:val="007C765E"/>
    <w:rsid w:val="007D0D61"/>
    <w:rsid w:val="007D44DC"/>
    <w:rsid w:val="007D5A56"/>
    <w:rsid w:val="007E0756"/>
    <w:rsid w:val="007E15DB"/>
    <w:rsid w:val="007E6ABD"/>
    <w:rsid w:val="007F1666"/>
    <w:rsid w:val="007F41CA"/>
    <w:rsid w:val="00805CF4"/>
    <w:rsid w:val="00810622"/>
    <w:rsid w:val="00814528"/>
    <w:rsid w:val="00815692"/>
    <w:rsid w:val="00816963"/>
    <w:rsid w:val="00820C06"/>
    <w:rsid w:val="00820CF4"/>
    <w:rsid w:val="008242DF"/>
    <w:rsid w:val="008259A1"/>
    <w:rsid w:val="00830C3C"/>
    <w:rsid w:val="008312B9"/>
    <w:rsid w:val="00832E16"/>
    <w:rsid w:val="008373F1"/>
    <w:rsid w:val="00841321"/>
    <w:rsid w:val="00846906"/>
    <w:rsid w:val="00850763"/>
    <w:rsid w:val="00851820"/>
    <w:rsid w:val="00852947"/>
    <w:rsid w:val="008531B6"/>
    <w:rsid w:val="00854F70"/>
    <w:rsid w:val="0085677F"/>
    <w:rsid w:val="008602EB"/>
    <w:rsid w:val="00860ECD"/>
    <w:rsid w:val="0086212A"/>
    <w:rsid w:val="00862F4B"/>
    <w:rsid w:val="0086390D"/>
    <w:rsid w:val="008660D1"/>
    <w:rsid w:val="00871923"/>
    <w:rsid w:val="00876A54"/>
    <w:rsid w:val="00884022"/>
    <w:rsid w:val="00884D35"/>
    <w:rsid w:val="00887509"/>
    <w:rsid w:val="00890C95"/>
    <w:rsid w:val="00891346"/>
    <w:rsid w:val="00892274"/>
    <w:rsid w:val="00892BBE"/>
    <w:rsid w:val="00897918"/>
    <w:rsid w:val="008A239F"/>
    <w:rsid w:val="008A3164"/>
    <w:rsid w:val="008A39B4"/>
    <w:rsid w:val="008B1E1D"/>
    <w:rsid w:val="008B3211"/>
    <w:rsid w:val="008B43E3"/>
    <w:rsid w:val="008B582D"/>
    <w:rsid w:val="008C6101"/>
    <w:rsid w:val="008D1DB1"/>
    <w:rsid w:val="008D1DEA"/>
    <w:rsid w:val="008D3E27"/>
    <w:rsid w:val="008E3C34"/>
    <w:rsid w:val="008E72FD"/>
    <w:rsid w:val="008E7387"/>
    <w:rsid w:val="008F5585"/>
    <w:rsid w:val="00902BA2"/>
    <w:rsid w:val="00903A7A"/>
    <w:rsid w:val="009046F3"/>
    <w:rsid w:val="009120E1"/>
    <w:rsid w:val="00912D09"/>
    <w:rsid w:val="00916916"/>
    <w:rsid w:val="00922E87"/>
    <w:rsid w:val="009270EE"/>
    <w:rsid w:val="009326CC"/>
    <w:rsid w:val="009348C4"/>
    <w:rsid w:val="00936882"/>
    <w:rsid w:val="0093742E"/>
    <w:rsid w:val="0094454F"/>
    <w:rsid w:val="00947797"/>
    <w:rsid w:val="0094795C"/>
    <w:rsid w:val="00950698"/>
    <w:rsid w:val="00952817"/>
    <w:rsid w:val="009545D4"/>
    <w:rsid w:val="00954AD8"/>
    <w:rsid w:val="00956857"/>
    <w:rsid w:val="00957B54"/>
    <w:rsid w:val="00961CB4"/>
    <w:rsid w:val="009673A1"/>
    <w:rsid w:val="00967580"/>
    <w:rsid w:val="00970258"/>
    <w:rsid w:val="00971BBF"/>
    <w:rsid w:val="00972652"/>
    <w:rsid w:val="00981AD2"/>
    <w:rsid w:val="00983D89"/>
    <w:rsid w:val="00990C8E"/>
    <w:rsid w:val="00991B32"/>
    <w:rsid w:val="00991E71"/>
    <w:rsid w:val="00993325"/>
    <w:rsid w:val="00995202"/>
    <w:rsid w:val="009959A0"/>
    <w:rsid w:val="00997AA9"/>
    <w:rsid w:val="009A0676"/>
    <w:rsid w:val="009A0E17"/>
    <w:rsid w:val="009A1070"/>
    <w:rsid w:val="009A3D62"/>
    <w:rsid w:val="009A404B"/>
    <w:rsid w:val="009A49AC"/>
    <w:rsid w:val="009A7842"/>
    <w:rsid w:val="009B07C3"/>
    <w:rsid w:val="009B1E3C"/>
    <w:rsid w:val="009B432F"/>
    <w:rsid w:val="009B5463"/>
    <w:rsid w:val="009B5D09"/>
    <w:rsid w:val="009B747D"/>
    <w:rsid w:val="009C17CC"/>
    <w:rsid w:val="009C25EE"/>
    <w:rsid w:val="009C26AA"/>
    <w:rsid w:val="009C3636"/>
    <w:rsid w:val="009C36CB"/>
    <w:rsid w:val="009C4896"/>
    <w:rsid w:val="009C71F9"/>
    <w:rsid w:val="009D6E49"/>
    <w:rsid w:val="009E43AD"/>
    <w:rsid w:val="009F2FA9"/>
    <w:rsid w:val="009F451A"/>
    <w:rsid w:val="009F4A65"/>
    <w:rsid w:val="009F5B05"/>
    <w:rsid w:val="009F728D"/>
    <w:rsid w:val="00A0411F"/>
    <w:rsid w:val="00A04A57"/>
    <w:rsid w:val="00A117C1"/>
    <w:rsid w:val="00A12CAE"/>
    <w:rsid w:val="00A16295"/>
    <w:rsid w:val="00A17E60"/>
    <w:rsid w:val="00A20292"/>
    <w:rsid w:val="00A211CA"/>
    <w:rsid w:val="00A21E46"/>
    <w:rsid w:val="00A2200C"/>
    <w:rsid w:val="00A25C74"/>
    <w:rsid w:val="00A26E56"/>
    <w:rsid w:val="00A30A49"/>
    <w:rsid w:val="00A30DBD"/>
    <w:rsid w:val="00A377CA"/>
    <w:rsid w:val="00A4003E"/>
    <w:rsid w:val="00A43A47"/>
    <w:rsid w:val="00A500FE"/>
    <w:rsid w:val="00A569A2"/>
    <w:rsid w:val="00A56B39"/>
    <w:rsid w:val="00A57D12"/>
    <w:rsid w:val="00A608D5"/>
    <w:rsid w:val="00A61520"/>
    <w:rsid w:val="00A62E03"/>
    <w:rsid w:val="00A665F4"/>
    <w:rsid w:val="00A75EEA"/>
    <w:rsid w:val="00A77FDD"/>
    <w:rsid w:val="00A80E36"/>
    <w:rsid w:val="00A839F2"/>
    <w:rsid w:val="00A9072F"/>
    <w:rsid w:val="00A92E4F"/>
    <w:rsid w:val="00A93B21"/>
    <w:rsid w:val="00A94F22"/>
    <w:rsid w:val="00AA2040"/>
    <w:rsid w:val="00AB1AA8"/>
    <w:rsid w:val="00AB2810"/>
    <w:rsid w:val="00AB2C48"/>
    <w:rsid w:val="00AB503E"/>
    <w:rsid w:val="00AC26D3"/>
    <w:rsid w:val="00AC4D40"/>
    <w:rsid w:val="00AD1165"/>
    <w:rsid w:val="00AD13EE"/>
    <w:rsid w:val="00AD42C1"/>
    <w:rsid w:val="00AD62A4"/>
    <w:rsid w:val="00AD68AC"/>
    <w:rsid w:val="00AD71A0"/>
    <w:rsid w:val="00AD7F4B"/>
    <w:rsid w:val="00AE1E95"/>
    <w:rsid w:val="00AE6BB3"/>
    <w:rsid w:val="00AF4F2D"/>
    <w:rsid w:val="00AF55A6"/>
    <w:rsid w:val="00AF5CA2"/>
    <w:rsid w:val="00AF608A"/>
    <w:rsid w:val="00B007EE"/>
    <w:rsid w:val="00B01F9D"/>
    <w:rsid w:val="00B03F53"/>
    <w:rsid w:val="00B118AA"/>
    <w:rsid w:val="00B14D8D"/>
    <w:rsid w:val="00B15BB9"/>
    <w:rsid w:val="00B16C5F"/>
    <w:rsid w:val="00B202B7"/>
    <w:rsid w:val="00B228F9"/>
    <w:rsid w:val="00B2713F"/>
    <w:rsid w:val="00B27347"/>
    <w:rsid w:val="00B31EE5"/>
    <w:rsid w:val="00B3640C"/>
    <w:rsid w:val="00B4095E"/>
    <w:rsid w:val="00B42B7F"/>
    <w:rsid w:val="00B432E9"/>
    <w:rsid w:val="00B44567"/>
    <w:rsid w:val="00B44618"/>
    <w:rsid w:val="00B50D0F"/>
    <w:rsid w:val="00B50DCD"/>
    <w:rsid w:val="00B510BA"/>
    <w:rsid w:val="00B51E5F"/>
    <w:rsid w:val="00B53563"/>
    <w:rsid w:val="00B546A0"/>
    <w:rsid w:val="00B56C13"/>
    <w:rsid w:val="00B56DE5"/>
    <w:rsid w:val="00B61819"/>
    <w:rsid w:val="00B628DB"/>
    <w:rsid w:val="00B63D15"/>
    <w:rsid w:val="00B646B8"/>
    <w:rsid w:val="00B67A34"/>
    <w:rsid w:val="00B7106D"/>
    <w:rsid w:val="00B719BE"/>
    <w:rsid w:val="00B734AD"/>
    <w:rsid w:val="00B735B8"/>
    <w:rsid w:val="00B751A4"/>
    <w:rsid w:val="00B75BCD"/>
    <w:rsid w:val="00B8573A"/>
    <w:rsid w:val="00B862EE"/>
    <w:rsid w:val="00B879B4"/>
    <w:rsid w:val="00B91221"/>
    <w:rsid w:val="00B918D3"/>
    <w:rsid w:val="00B91F42"/>
    <w:rsid w:val="00B92348"/>
    <w:rsid w:val="00B93A5D"/>
    <w:rsid w:val="00B94972"/>
    <w:rsid w:val="00B95D99"/>
    <w:rsid w:val="00B968EB"/>
    <w:rsid w:val="00BA44FC"/>
    <w:rsid w:val="00BA634D"/>
    <w:rsid w:val="00BB3E03"/>
    <w:rsid w:val="00BB4BCE"/>
    <w:rsid w:val="00BB7FB4"/>
    <w:rsid w:val="00BC1198"/>
    <w:rsid w:val="00BC1B9B"/>
    <w:rsid w:val="00BC3712"/>
    <w:rsid w:val="00BC4B05"/>
    <w:rsid w:val="00BD0A6C"/>
    <w:rsid w:val="00BD29A9"/>
    <w:rsid w:val="00BD2C60"/>
    <w:rsid w:val="00BD40F6"/>
    <w:rsid w:val="00BD6069"/>
    <w:rsid w:val="00BD7165"/>
    <w:rsid w:val="00BE0FDC"/>
    <w:rsid w:val="00BE1E73"/>
    <w:rsid w:val="00BE2166"/>
    <w:rsid w:val="00BE2710"/>
    <w:rsid w:val="00BE35A3"/>
    <w:rsid w:val="00BE3F10"/>
    <w:rsid w:val="00BE79D5"/>
    <w:rsid w:val="00BE7E80"/>
    <w:rsid w:val="00BF31F1"/>
    <w:rsid w:val="00BF5A53"/>
    <w:rsid w:val="00BF720A"/>
    <w:rsid w:val="00C005CA"/>
    <w:rsid w:val="00C03508"/>
    <w:rsid w:val="00C036F5"/>
    <w:rsid w:val="00C06E57"/>
    <w:rsid w:val="00C07900"/>
    <w:rsid w:val="00C10485"/>
    <w:rsid w:val="00C1107A"/>
    <w:rsid w:val="00C13182"/>
    <w:rsid w:val="00C14355"/>
    <w:rsid w:val="00C14468"/>
    <w:rsid w:val="00C155A6"/>
    <w:rsid w:val="00C17F49"/>
    <w:rsid w:val="00C21E33"/>
    <w:rsid w:val="00C22D4B"/>
    <w:rsid w:val="00C3018B"/>
    <w:rsid w:val="00C35D1E"/>
    <w:rsid w:val="00C41849"/>
    <w:rsid w:val="00C418A3"/>
    <w:rsid w:val="00C42349"/>
    <w:rsid w:val="00C47C5C"/>
    <w:rsid w:val="00C500D5"/>
    <w:rsid w:val="00C517D9"/>
    <w:rsid w:val="00C564B2"/>
    <w:rsid w:val="00C57E9E"/>
    <w:rsid w:val="00C70B88"/>
    <w:rsid w:val="00C73687"/>
    <w:rsid w:val="00C8077C"/>
    <w:rsid w:val="00C819C4"/>
    <w:rsid w:val="00C81CAF"/>
    <w:rsid w:val="00C82B8E"/>
    <w:rsid w:val="00C83F42"/>
    <w:rsid w:val="00C84DD1"/>
    <w:rsid w:val="00C858EC"/>
    <w:rsid w:val="00C86C47"/>
    <w:rsid w:val="00C91876"/>
    <w:rsid w:val="00C91B91"/>
    <w:rsid w:val="00C926F2"/>
    <w:rsid w:val="00C95D38"/>
    <w:rsid w:val="00C96036"/>
    <w:rsid w:val="00C96C05"/>
    <w:rsid w:val="00CA154A"/>
    <w:rsid w:val="00CA3997"/>
    <w:rsid w:val="00CA6B9A"/>
    <w:rsid w:val="00CB020F"/>
    <w:rsid w:val="00CB20C2"/>
    <w:rsid w:val="00CB5582"/>
    <w:rsid w:val="00CB6913"/>
    <w:rsid w:val="00CB76D0"/>
    <w:rsid w:val="00CC2326"/>
    <w:rsid w:val="00CC4A7B"/>
    <w:rsid w:val="00CC774E"/>
    <w:rsid w:val="00CC7CBC"/>
    <w:rsid w:val="00CD4D0D"/>
    <w:rsid w:val="00CD4F8D"/>
    <w:rsid w:val="00CD594A"/>
    <w:rsid w:val="00CD5A9D"/>
    <w:rsid w:val="00CE1EAB"/>
    <w:rsid w:val="00CE3B19"/>
    <w:rsid w:val="00CE4A28"/>
    <w:rsid w:val="00CE4BA0"/>
    <w:rsid w:val="00CF0646"/>
    <w:rsid w:val="00CF083C"/>
    <w:rsid w:val="00CF21F3"/>
    <w:rsid w:val="00CF2720"/>
    <w:rsid w:val="00CF4D8B"/>
    <w:rsid w:val="00CF5DF6"/>
    <w:rsid w:val="00D02A6C"/>
    <w:rsid w:val="00D03055"/>
    <w:rsid w:val="00D06B56"/>
    <w:rsid w:val="00D12491"/>
    <w:rsid w:val="00D1282F"/>
    <w:rsid w:val="00D13EEA"/>
    <w:rsid w:val="00D148C7"/>
    <w:rsid w:val="00D15323"/>
    <w:rsid w:val="00D173A6"/>
    <w:rsid w:val="00D20745"/>
    <w:rsid w:val="00D23112"/>
    <w:rsid w:val="00D23D76"/>
    <w:rsid w:val="00D250B8"/>
    <w:rsid w:val="00D259CF"/>
    <w:rsid w:val="00D31729"/>
    <w:rsid w:val="00D32962"/>
    <w:rsid w:val="00D3345B"/>
    <w:rsid w:val="00D3498D"/>
    <w:rsid w:val="00D5318A"/>
    <w:rsid w:val="00D5735A"/>
    <w:rsid w:val="00D57B15"/>
    <w:rsid w:val="00D61ADB"/>
    <w:rsid w:val="00D61B95"/>
    <w:rsid w:val="00D66BEE"/>
    <w:rsid w:val="00D6766B"/>
    <w:rsid w:val="00D7289F"/>
    <w:rsid w:val="00D72BA6"/>
    <w:rsid w:val="00D81729"/>
    <w:rsid w:val="00D84CD0"/>
    <w:rsid w:val="00D860C9"/>
    <w:rsid w:val="00D86156"/>
    <w:rsid w:val="00D877B9"/>
    <w:rsid w:val="00D87FAE"/>
    <w:rsid w:val="00D905BB"/>
    <w:rsid w:val="00D97950"/>
    <w:rsid w:val="00DA093D"/>
    <w:rsid w:val="00DA17E2"/>
    <w:rsid w:val="00DA23BE"/>
    <w:rsid w:val="00DA49AC"/>
    <w:rsid w:val="00DB23BE"/>
    <w:rsid w:val="00DB2D86"/>
    <w:rsid w:val="00DB311F"/>
    <w:rsid w:val="00DB31DC"/>
    <w:rsid w:val="00DB38A1"/>
    <w:rsid w:val="00DB5B13"/>
    <w:rsid w:val="00DC0C75"/>
    <w:rsid w:val="00DC4E3C"/>
    <w:rsid w:val="00DC531F"/>
    <w:rsid w:val="00DC53E5"/>
    <w:rsid w:val="00DC566A"/>
    <w:rsid w:val="00DD048D"/>
    <w:rsid w:val="00DD3A87"/>
    <w:rsid w:val="00DD43F7"/>
    <w:rsid w:val="00DD601B"/>
    <w:rsid w:val="00DD7727"/>
    <w:rsid w:val="00DE1167"/>
    <w:rsid w:val="00DE3377"/>
    <w:rsid w:val="00DE3973"/>
    <w:rsid w:val="00DE44B7"/>
    <w:rsid w:val="00DE68CF"/>
    <w:rsid w:val="00DF139B"/>
    <w:rsid w:val="00DF387E"/>
    <w:rsid w:val="00DF7632"/>
    <w:rsid w:val="00E0094A"/>
    <w:rsid w:val="00E07BDF"/>
    <w:rsid w:val="00E13699"/>
    <w:rsid w:val="00E13798"/>
    <w:rsid w:val="00E160C0"/>
    <w:rsid w:val="00E23E62"/>
    <w:rsid w:val="00E24896"/>
    <w:rsid w:val="00E33747"/>
    <w:rsid w:val="00E34DAC"/>
    <w:rsid w:val="00E359DE"/>
    <w:rsid w:val="00E35F64"/>
    <w:rsid w:val="00E432F5"/>
    <w:rsid w:val="00E46AA1"/>
    <w:rsid w:val="00E47169"/>
    <w:rsid w:val="00E471D1"/>
    <w:rsid w:val="00E538B3"/>
    <w:rsid w:val="00E55125"/>
    <w:rsid w:val="00E566B1"/>
    <w:rsid w:val="00E57910"/>
    <w:rsid w:val="00E62ADC"/>
    <w:rsid w:val="00E66942"/>
    <w:rsid w:val="00E70AB8"/>
    <w:rsid w:val="00E751A0"/>
    <w:rsid w:val="00E813DA"/>
    <w:rsid w:val="00E831F9"/>
    <w:rsid w:val="00E833A1"/>
    <w:rsid w:val="00E838D5"/>
    <w:rsid w:val="00E83AB1"/>
    <w:rsid w:val="00E84F73"/>
    <w:rsid w:val="00E873CE"/>
    <w:rsid w:val="00E91BF4"/>
    <w:rsid w:val="00E91EFC"/>
    <w:rsid w:val="00E92EAB"/>
    <w:rsid w:val="00E95DB3"/>
    <w:rsid w:val="00E968C7"/>
    <w:rsid w:val="00EA1592"/>
    <w:rsid w:val="00EA2FAC"/>
    <w:rsid w:val="00EA49D1"/>
    <w:rsid w:val="00EA568F"/>
    <w:rsid w:val="00EA6503"/>
    <w:rsid w:val="00EB0393"/>
    <w:rsid w:val="00EB0B11"/>
    <w:rsid w:val="00EB13DE"/>
    <w:rsid w:val="00EB1616"/>
    <w:rsid w:val="00EB1690"/>
    <w:rsid w:val="00EB2178"/>
    <w:rsid w:val="00EB45B7"/>
    <w:rsid w:val="00EB555D"/>
    <w:rsid w:val="00EC0F76"/>
    <w:rsid w:val="00EC3BFE"/>
    <w:rsid w:val="00EE4563"/>
    <w:rsid w:val="00EE5BB1"/>
    <w:rsid w:val="00EE5C34"/>
    <w:rsid w:val="00EF064D"/>
    <w:rsid w:val="00EF6D76"/>
    <w:rsid w:val="00F01B4F"/>
    <w:rsid w:val="00F02C96"/>
    <w:rsid w:val="00F049F3"/>
    <w:rsid w:val="00F12967"/>
    <w:rsid w:val="00F13FEB"/>
    <w:rsid w:val="00F16AAF"/>
    <w:rsid w:val="00F174C5"/>
    <w:rsid w:val="00F22B26"/>
    <w:rsid w:val="00F367DD"/>
    <w:rsid w:val="00F462AD"/>
    <w:rsid w:val="00F4652F"/>
    <w:rsid w:val="00F46BBC"/>
    <w:rsid w:val="00F46FAF"/>
    <w:rsid w:val="00F529C0"/>
    <w:rsid w:val="00F549B1"/>
    <w:rsid w:val="00F56DB1"/>
    <w:rsid w:val="00F57E8B"/>
    <w:rsid w:val="00F6004B"/>
    <w:rsid w:val="00F63441"/>
    <w:rsid w:val="00F6485F"/>
    <w:rsid w:val="00F7109A"/>
    <w:rsid w:val="00F722EC"/>
    <w:rsid w:val="00F73D5E"/>
    <w:rsid w:val="00F7515D"/>
    <w:rsid w:val="00F80BB4"/>
    <w:rsid w:val="00F82CC7"/>
    <w:rsid w:val="00F86831"/>
    <w:rsid w:val="00F877F6"/>
    <w:rsid w:val="00F911FB"/>
    <w:rsid w:val="00F914AD"/>
    <w:rsid w:val="00F952DD"/>
    <w:rsid w:val="00FA2394"/>
    <w:rsid w:val="00FA27AC"/>
    <w:rsid w:val="00FA63FB"/>
    <w:rsid w:val="00FB2C2F"/>
    <w:rsid w:val="00FB35F6"/>
    <w:rsid w:val="00FB6849"/>
    <w:rsid w:val="00FC0E15"/>
    <w:rsid w:val="00FC1652"/>
    <w:rsid w:val="00FC16C0"/>
    <w:rsid w:val="00FC3E0E"/>
    <w:rsid w:val="00FD39BC"/>
    <w:rsid w:val="00FD7FE9"/>
    <w:rsid w:val="00FE09FB"/>
    <w:rsid w:val="00FE3BA3"/>
    <w:rsid w:val="00FE59E1"/>
    <w:rsid w:val="00FE673A"/>
    <w:rsid w:val="00FF12FC"/>
    <w:rsid w:val="00FF1350"/>
    <w:rsid w:val="00FF4B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F7"/>
    <w:pPr>
      <w:spacing w:line="480" w:lineRule="auto"/>
    </w:pPr>
    <w:rPr>
      <w:rFonts w:ascii="Times New Roman" w:hAnsi="Times New Roman"/>
      <w:sz w:val="20"/>
      <w:szCs w:val="20"/>
      <w:lang w:eastAsia="en-US"/>
    </w:rPr>
  </w:style>
  <w:style w:type="paragraph" w:styleId="Heading2">
    <w:name w:val="heading 2"/>
    <w:basedOn w:val="Normal"/>
    <w:next w:val="Normal"/>
    <w:link w:val="Heading2Char"/>
    <w:uiPriority w:val="99"/>
    <w:qFormat/>
    <w:rsid w:val="00C84DD1"/>
    <w:pPr>
      <w:keepNext/>
      <w:spacing w:line="240" w:lineRule="auto"/>
      <w:outlineLvl w:val="1"/>
    </w:pPr>
    <w:rPr>
      <w:rFonts w:eastAsia="Times New Roman"/>
      <w:i/>
      <w:i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4DD1"/>
    <w:rPr>
      <w:rFonts w:ascii="Times New Roman" w:hAnsi="Times New Roman" w:cs="Times New Roman"/>
      <w:i/>
      <w:iCs/>
      <w:sz w:val="24"/>
      <w:szCs w:val="24"/>
      <w:lang w:eastAsia="en-GB"/>
    </w:rPr>
  </w:style>
  <w:style w:type="paragraph" w:styleId="ListParagraph">
    <w:name w:val="List Paragraph"/>
    <w:basedOn w:val="Normal"/>
    <w:uiPriority w:val="99"/>
    <w:qFormat/>
    <w:rsid w:val="005272F7"/>
    <w:pPr>
      <w:ind w:left="720"/>
      <w:contextualSpacing/>
    </w:pPr>
  </w:style>
  <w:style w:type="paragraph" w:styleId="BalloonText">
    <w:name w:val="Balloon Text"/>
    <w:basedOn w:val="Normal"/>
    <w:link w:val="BalloonTextChar"/>
    <w:uiPriority w:val="99"/>
    <w:semiHidden/>
    <w:rsid w:val="009568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857"/>
    <w:rPr>
      <w:rFonts w:ascii="Tahoma" w:hAnsi="Tahoma" w:cs="Tahoma"/>
      <w:sz w:val="16"/>
      <w:szCs w:val="16"/>
    </w:rPr>
  </w:style>
  <w:style w:type="paragraph" w:styleId="FootnoteText">
    <w:name w:val="footnote text"/>
    <w:basedOn w:val="Normal"/>
    <w:link w:val="FootnoteTextChar"/>
    <w:uiPriority w:val="99"/>
    <w:rsid w:val="003F150C"/>
    <w:pPr>
      <w:spacing w:line="240" w:lineRule="auto"/>
    </w:pPr>
  </w:style>
  <w:style w:type="character" w:customStyle="1" w:styleId="FootnoteTextChar">
    <w:name w:val="Footnote Text Char"/>
    <w:basedOn w:val="DefaultParagraphFont"/>
    <w:link w:val="FootnoteText"/>
    <w:uiPriority w:val="99"/>
    <w:locked/>
    <w:rsid w:val="003F150C"/>
    <w:rPr>
      <w:rFonts w:ascii="Times New Roman" w:hAnsi="Times New Roman" w:cs="Times New Roman"/>
      <w:sz w:val="20"/>
      <w:szCs w:val="20"/>
    </w:rPr>
  </w:style>
  <w:style w:type="character" w:styleId="FootnoteReference">
    <w:name w:val="footnote reference"/>
    <w:basedOn w:val="DefaultParagraphFont"/>
    <w:uiPriority w:val="99"/>
    <w:rsid w:val="003F150C"/>
    <w:rPr>
      <w:rFonts w:cs="Times New Roman"/>
      <w:vertAlign w:val="superscript"/>
    </w:rPr>
  </w:style>
  <w:style w:type="paragraph" w:styleId="NormalWeb">
    <w:name w:val="Normal (Web)"/>
    <w:basedOn w:val="Normal"/>
    <w:uiPriority w:val="99"/>
    <w:rsid w:val="00BB7FB4"/>
    <w:pPr>
      <w:spacing w:before="100" w:beforeAutospacing="1" w:after="100" w:afterAutospacing="1" w:line="240" w:lineRule="auto"/>
    </w:pPr>
    <w:rPr>
      <w:rFonts w:eastAsia="Times New Roman"/>
      <w:sz w:val="24"/>
      <w:szCs w:val="24"/>
      <w:lang w:eastAsia="en-GB"/>
    </w:rPr>
  </w:style>
  <w:style w:type="paragraph" w:styleId="EndnoteText">
    <w:name w:val="endnote text"/>
    <w:basedOn w:val="Normal"/>
    <w:link w:val="EndnoteTextChar1"/>
    <w:uiPriority w:val="99"/>
    <w:rsid w:val="00C84DD1"/>
    <w:pPr>
      <w:spacing w:line="240" w:lineRule="auto"/>
    </w:pPr>
    <w:rPr>
      <w:rFonts w:ascii="Calibri" w:hAnsi="Calibri"/>
    </w:rPr>
  </w:style>
  <w:style w:type="character" w:customStyle="1" w:styleId="EndnoteTextChar">
    <w:name w:val="Endnote Text Char"/>
    <w:basedOn w:val="DefaultParagraphFont"/>
    <w:link w:val="EndnoteText"/>
    <w:uiPriority w:val="99"/>
    <w:semiHidden/>
    <w:rsid w:val="00C84DD1"/>
    <w:rPr>
      <w:rFonts w:ascii="Times New Roman" w:hAnsi="Times New Roman" w:cs="Times New Roman"/>
      <w:sz w:val="20"/>
      <w:szCs w:val="20"/>
    </w:rPr>
  </w:style>
  <w:style w:type="character" w:customStyle="1" w:styleId="EndnoteTextChar1">
    <w:name w:val="Endnote Text Char1"/>
    <w:basedOn w:val="DefaultParagraphFont"/>
    <w:link w:val="EndnoteText"/>
    <w:uiPriority w:val="99"/>
    <w:locked/>
    <w:rsid w:val="00C84DD1"/>
    <w:rPr>
      <w:rFonts w:ascii="Calibri" w:eastAsia="Times New Roman" w:hAnsi="Calibri" w:cs="Times New Roman"/>
      <w:sz w:val="20"/>
      <w:szCs w:val="20"/>
    </w:rPr>
  </w:style>
  <w:style w:type="paragraph" w:styleId="BodyText">
    <w:name w:val="Body Text"/>
    <w:basedOn w:val="Normal"/>
    <w:link w:val="BodyTextChar"/>
    <w:uiPriority w:val="99"/>
    <w:rsid w:val="00C84DD1"/>
    <w:pPr>
      <w:spacing w:line="240" w:lineRule="auto"/>
    </w:pPr>
    <w:rPr>
      <w:rFonts w:eastAsia="Times New Roman"/>
      <w:sz w:val="24"/>
    </w:rPr>
  </w:style>
  <w:style w:type="character" w:customStyle="1" w:styleId="BodyTextChar">
    <w:name w:val="Body Text Char"/>
    <w:basedOn w:val="DefaultParagraphFont"/>
    <w:link w:val="BodyText"/>
    <w:uiPriority w:val="99"/>
    <w:locked/>
    <w:rsid w:val="00C84DD1"/>
    <w:rPr>
      <w:rFonts w:ascii="Times New Roman" w:hAnsi="Times New Roman" w:cs="Times New Roman"/>
      <w:sz w:val="20"/>
      <w:szCs w:val="20"/>
    </w:rPr>
  </w:style>
  <w:style w:type="character" w:customStyle="1" w:styleId="FootnoteTextChar1">
    <w:name w:val="Footnote Text Char1"/>
    <w:basedOn w:val="DefaultParagraphFont"/>
    <w:uiPriority w:val="99"/>
    <w:rsid w:val="00DA17E2"/>
    <w:rPr>
      <w:rFonts w:ascii="Calibri" w:eastAsia="Times New Roman" w:hAnsi="Calibri" w:cs="Times New Roman"/>
    </w:rPr>
  </w:style>
  <w:style w:type="paragraph" w:styleId="Header">
    <w:name w:val="header"/>
    <w:basedOn w:val="Normal"/>
    <w:link w:val="HeaderChar"/>
    <w:uiPriority w:val="99"/>
    <w:rsid w:val="00DD43F7"/>
    <w:pPr>
      <w:tabs>
        <w:tab w:val="center" w:pos="4513"/>
        <w:tab w:val="right" w:pos="9026"/>
      </w:tabs>
      <w:spacing w:line="240" w:lineRule="auto"/>
    </w:pPr>
  </w:style>
  <w:style w:type="character" w:customStyle="1" w:styleId="HeaderChar">
    <w:name w:val="Header Char"/>
    <w:basedOn w:val="DefaultParagraphFont"/>
    <w:link w:val="Header"/>
    <w:uiPriority w:val="99"/>
    <w:locked/>
    <w:rsid w:val="00DD43F7"/>
    <w:rPr>
      <w:rFonts w:ascii="Times New Roman" w:hAnsi="Times New Roman" w:cs="Times New Roman"/>
      <w:sz w:val="20"/>
      <w:szCs w:val="20"/>
    </w:rPr>
  </w:style>
  <w:style w:type="paragraph" w:styleId="Footer">
    <w:name w:val="footer"/>
    <w:basedOn w:val="Normal"/>
    <w:link w:val="FooterChar"/>
    <w:uiPriority w:val="99"/>
    <w:rsid w:val="00DD43F7"/>
    <w:pPr>
      <w:tabs>
        <w:tab w:val="center" w:pos="4513"/>
        <w:tab w:val="right" w:pos="9026"/>
      </w:tabs>
      <w:spacing w:line="240" w:lineRule="auto"/>
    </w:pPr>
  </w:style>
  <w:style w:type="character" w:customStyle="1" w:styleId="FooterChar">
    <w:name w:val="Footer Char"/>
    <w:basedOn w:val="DefaultParagraphFont"/>
    <w:link w:val="Footer"/>
    <w:uiPriority w:val="99"/>
    <w:locked/>
    <w:rsid w:val="00DD43F7"/>
    <w:rPr>
      <w:rFonts w:ascii="Times New Roman" w:hAnsi="Times New Roman" w:cs="Times New Roman"/>
      <w:sz w:val="20"/>
      <w:szCs w:val="20"/>
    </w:rPr>
  </w:style>
  <w:style w:type="paragraph" w:customStyle="1" w:styleId="JournalReferencesText">
    <w:name w:val="Journal.ReferencesText"/>
    <w:basedOn w:val="Normal"/>
    <w:link w:val="JournalReferencesTextChar"/>
    <w:uiPriority w:val="99"/>
    <w:rsid w:val="00D87FAE"/>
    <w:pPr>
      <w:spacing w:line="240" w:lineRule="auto"/>
      <w:ind w:left="720" w:hanging="720"/>
      <w:jc w:val="both"/>
    </w:pPr>
    <w:rPr>
      <w:rFonts w:ascii="Garamond" w:eastAsia="Times New Roman" w:hAnsi="Garamond"/>
      <w:color w:val="000000"/>
      <w:lang w:val="en-US"/>
    </w:rPr>
  </w:style>
  <w:style w:type="character" w:customStyle="1" w:styleId="JournalReferencesTextChar">
    <w:name w:val="Journal.ReferencesText Char"/>
    <w:basedOn w:val="DefaultParagraphFont"/>
    <w:link w:val="JournalReferencesText"/>
    <w:uiPriority w:val="99"/>
    <w:locked/>
    <w:rsid w:val="00D87FAE"/>
    <w:rPr>
      <w:rFonts w:ascii="Garamond" w:hAnsi="Garamond" w:cs="Times New Roman"/>
      <w:color w:val="000000"/>
      <w:sz w:val="20"/>
      <w:szCs w:val="20"/>
      <w:lang w:val="en-US"/>
    </w:rPr>
  </w:style>
  <w:style w:type="paragraph" w:styleId="NoSpacing">
    <w:name w:val="No Spacing"/>
    <w:uiPriority w:val="99"/>
    <w:qFormat/>
    <w:rsid w:val="009B5D09"/>
    <w:rPr>
      <w:lang w:eastAsia="en-US"/>
    </w:rPr>
  </w:style>
  <w:style w:type="character" w:styleId="CommentReference">
    <w:name w:val="annotation reference"/>
    <w:basedOn w:val="DefaultParagraphFont"/>
    <w:uiPriority w:val="99"/>
    <w:semiHidden/>
    <w:rsid w:val="00FF1350"/>
    <w:rPr>
      <w:rFonts w:cs="Times New Roman"/>
      <w:sz w:val="16"/>
      <w:szCs w:val="16"/>
    </w:rPr>
  </w:style>
  <w:style w:type="paragraph" w:styleId="CommentText">
    <w:name w:val="annotation text"/>
    <w:basedOn w:val="Normal"/>
    <w:link w:val="CommentTextChar"/>
    <w:uiPriority w:val="99"/>
    <w:semiHidden/>
    <w:rsid w:val="00FF1350"/>
    <w:pPr>
      <w:spacing w:line="240" w:lineRule="auto"/>
    </w:pPr>
  </w:style>
  <w:style w:type="character" w:customStyle="1" w:styleId="CommentTextChar">
    <w:name w:val="Comment Text Char"/>
    <w:basedOn w:val="DefaultParagraphFont"/>
    <w:link w:val="CommentText"/>
    <w:uiPriority w:val="99"/>
    <w:semiHidden/>
    <w:locked/>
    <w:rsid w:val="00FF13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F1350"/>
    <w:rPr>
      <w:b/>
      <w:bCs/>
    </w:rPr>
  </w:style>
  <w:style w:type="character" w:customStyle="1" w:styleId="CommentSubjectChar">
    <w:name w:val="Comment Subject Char"/>
    <w:basedOn w:val="CommentTextChar"/>
    <w:link w:val="CommentSubject"/>
    <w:uiPriority w:val="99"/>
    <w:semiHidden/>
    <w:locked/>
    <w:rsid w:val="00FF1350"/>
    <w:rPr>
      <w:b/>
      <w:bCs/>
    </w:rPr>
  </w:style>
  <w:style w:type="paragraph" w:styleId="Revision">
    <w:name w:val="Revision"/>
    <w:hidden/>
    <w:uiPriority w:val="99"/>
    <w:semiHidden/>
    <w:rsid w:val="00570C1D"/>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807890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45</Pages>
  <Words>12834</Words>
  <Characters>-32766</Characters>
  <Application>Microsoft Office Outlook</Application>
  <DocSecurity>0</DocSecurity>
  <Lines>0</Lines>
  <Paragraphs>0</Paragraphs>
  <ScaleCrop>false</ScaleCrop>
  <Company>University of Stirling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Rentier Capitalism and the Equity Market: Shareholders in Victorian Public Companies</dc:title>
  <dc:subject/>
  <dc:creator>2059134</dc:creator>
  <cp:keywords/>
  <dc:description/>
  <cp:lastModifiedBy>Maureen</cp:lastModifiedBy>
  <cp:revision>2</cp:revision>
  <cp:lastPrinted>2015-01-28T17:01:00Z</cp:lastPrinted>
  <dcterms:created xsi:type="dcterms:W3CDTF">2015-03-02T19:34:00Z</dcterms:created>
  <dcterms:modified xsi:type="dcterms:W3CDTF">2015-03-02T19:34:00Z</dcterms:modified>
</cp:coreProperties>
</file>