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F3" w:rsidRPr="008659BA" w:rsidRDefault="005F76F3" w:rsidP="008F42AB">
      <w:pPr>
        <w:spacing w:line="480" w:lineRule="auto"/>
        <w:jc w:val="center"/>
        <w:rPr>
          <w:rFonts w:ascii="Times New Roman" w:hAnsi="Times New Roman"/>
          <w:b/>
          <w:sz w:val="28"/>
          <w:szCs w:val="28"/>
        </w:rPr>
      </w:pPr>
      <w:r>
        <w:rPr>
          <w:rFonts w:ascii="Times New Roman" w:hAnsi="Times New Roman"/>
          <w:b/>
          <w:sz w:val="28"/>
          <w:szCs w:val="28"/>
        </w:rPr>
        <w:t>THE VICAR, THE WIDOW, OR THE GENTLEMAN: WHO GETS ALLOCATED IPO SHARES?</w:t>
      </w:r>
    </w:p>
    <w:p w:rsidR="005F76F3" w:rsidRPr="00462F22" w:rsidRDefault="005F76F3" w:rsidP="008F42AB">
      <w:pPr>
        <w:spacing w:line="240" w:lineRule="auto"/>
        <w:contextualSpacing/>
        <w:jc w:val="center"/>
        <w:rPr>
          <w:rFonts w:ascii="Times New Roman" w:hAnsi="Times New Roman"/>
          <w:bCs/>
          <w:color w:val="000000"/>
          <w:sz w:val="16"/>
          <w:szCs w:val="16"/>
        </w:rPr>
      </w:pPr>
    </w:p>
    <w:p w:rsidR="005F76F3" w:rsidRDefault="005F76F3" w:rsidP="008F42AB">
      <w:pPr>
        <w:spacing w:line="240" w:lineRule="auto"/>
        <w:contextualSpacing/>
        <w:jc w:val="center"/>
        <w:rPr>
          <w:rFonts w:ascii="Times New Roman" w:hAnsi="Times New Roman"/>
          <w:bCs/>
          <w:color w:val="000000"/>
          <w:sz w:val="24"/>
          <w:szCs w:val="24"/>
        </w:rPr>
      </w:pPr>
    </w:p>
    <w:p w:rsidR="005F76F3" w:rsidRPr="00A712E1" w:rsidRDefault="005F76F3" w:rsidP="008F42AB">
      <w:pPr>
        <w:spacing w:line="240" w:lineRule="auto"/>
        <w:contextualSpacing/>
        <w:jc w:val="center"/>
        <w:rPr>
          <w:rFonts w:ascii="Times New Roman" w:hAnsi="Times New Roman"/>
          <w:b/>
          <w:bCs/>
          <w:color w:val="000000"/>
          <w:sz w:val="24"/>
          <w:szCs w:val="24"/>
        </w:rPr>
      </w:pPr>
      <w:r w:rsidRPr="00A712E1">
        <w:rPr>
          <w:rFonts w:ascii="Times New Roman" w:hAnsi="Times New Roman"/>
          <w:b/>
          <w:bCs/>
          <w:color w:val="000000"/>
          <w:sz w:val="24"/>
          <w:szCs w:val="24"/>
        </w:rPr>
        <w:t>Sturla Fjesme</w:t>
      </w:r>
      <w:r w:rsidRPr="0017326D">
        <w:rPr>
          <w:rFonts w:ascii="Times New Roman" w:hAnsi="Times New Roman"/>
          <w:bCs/>
          <w:color w:val="000000"/>
          <w:sz w:val="28"/>
          <w:szCs w:val="28"/>
        </w:rPr>
        <w:t>*</w:t>
      </w:r>
      <w:r>
        <w:rPr>
          <w:rFonts w:ascii="Times New Roman" w:hAnsi="Times New Roman"/>
          <w:b/>
          <w:bCs/>
          <w:color w:val="000000"/>
          <w:sz w:val="24"/>
          <w:szCs w:val="24"/>
        </w:rPr>
        <w:t xml:space="preserve">          </w:t>
      </w:r>
      <w:r w:rsidRPr="00AA6B91">
        <w:rPr>
          <w:rFonts w:ascii="Times New Roman" w:hAnsi="Times New Roman"/>
          <w:b/>
          <w:bCs/>
          <w:color w:val="000000"/>
          <w:sz w:val="24"/>
          <w:szCs w:val="24"/>
        </w:rPr>
        <w:t>Neal Galpin</w:t>
      </w:r>
      <w:r w:rsidRPr="0017326D">
        <w:rPr>
          <w:rFonts w:ascii="Times New Roman" w:hAnsi="Times New Roman"/>
          <w:bCs/>
          <w:color w:val="000000"/>
          <w:sz w:val="28"/>
          <w:szCs w:val="28"/>
        </w:rPr>
        <w:t>*</w:t>
      </w:r>
      <w:r>
        <w:rPr>
          <w:rFonts w:ascii="Times New Roman" w:hAnsi="Times New Roman"/>
          <w:b/>
          <w:bCs/>
          <w:color w:val="000000"/>
          <w:sz w:val="24"/>
          <w:szCs w:val="24"/>
        </w:rPr>
        <w:t xml:space="preserve">          Lyndon Moore</w:t>
      </w:r>
      <w:r w:rsidRPr="0017326D">
        <w:rPr>
          <w:rFonts w:ascii="Times New Roman" w:hAnsi="Times New Roman"/>
          <w:bCs/>
          <w:color w:val="000000"/>
          <w:sz w:val="28"/>
          <w:szCs w:val="28"/>
        </w:rPr>
        <w:t>*</w:t>
      </w:r>
    </w:p>
    <w:p w:rsidR="005F76F3" w:rsidRPr="009E1704" w:rsidRDefault="005F76F3" w:rsidP="008F42AB">
      <w:pPr>
        <w:spacing w:line="240" w:lineRule="auto"/>
        <w:contextualSpacing/>
        <w:jc w:val="center"/>
        <w:rPr>
          <w:rFonts w:ascii="Times New Roman" w:hAnsi="Times New Roman"/>
          <w:bCs/>
          <w:color w:val="000000"/>
          <w:sz w:val="24"/>
          <w:szCs w:val="24"/>
        </w:rPr>
      </w:pPr>
    </w:p>
    <w:p w:rsidR="005F76F3" w:rsidRDefault="005F76F3" w:rsidP="008F42AB">
      <w:pPr>
        <w:spacing w:line="240" w:lineRule="auto"/>
        <w:contextualSpacing/>
        <w:rPr>
          <w:rFonts w:ascii="Times New Roman" w:hAnsi="Times New Roman"/>
          <w:bCs/>
          <w:color w:val="000000"/>
          <w:sz w:val="24"/>
          <w:szCs w:val="24"/>
        </w:rPr>
      </w:pPr>
    </w:p>
    <w:p w:rsidR="005F76F3" w:rsidRDefault="005F76F3" w:rsidP="008F42AB">
      <w:pPr>
        <w:spacing w:line="240" w:lineRule="auto"/>
        <w:contextualSpacing/>
        <w:rPr>
          <w:rFonts w:ascii="Times New Roman" w:hAnsi="Times New Roman"/>
          <w:bCs/>
          <w:color w:val="000000"/>
          <w:sz w:val="24"/>
          <w:szCs w:val="24"/>
        </w:rPr>
      </w:pPr>
    </w:p>
    <w:p w:rsidR="005F76F3" w:rsidRDefault="005F76F3" w:rsidP="008F42AB">
      <w:pPr>
        <w:spacing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VERY PRELIMINARY AND INCOMPLETE</w:t>
      </w:r>
    </w:p>
    <w:p w:rsidR="005F76F3" w:rsidRDefault="005F76F3" w:rsidP="008F42AB">
      <w:pPr>
        <w:spacing w:line="240" w:lineRule="auto"/>
        <w:contextualSpacing/>
        <w:rPr>
          <w:rFonts w:ascii="Times New Roman" w:hAnsi="Times New Roman"/>
          <w:bCs/>
          <w:color w:val="000000"/>
          <w:sz w:val="24"/>
          <w:szCs w:val="24"/>
        </w:rPr>
      </w:pPr>
    </w:p>
    <w:p w:rsidR="005F76F3" w:rsidRDefault="005F76F3" w:rsidP="008F42AB">
      <w:pPr>
        <w:spacing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This version: November 1, 2013</w:t>
      </w:r>
    </w:p>
    <w:p w:rsidR="005F76F3" w:rsidRPr="009E1704" w:rsidRDefault="005F76F3" w:rsidP="008F42AB">
      <w:pPr>
        <w:spacing w:line="240" w:lineRule="auto"/>
        <w:contextualSpacing/>
        <w:jc w:val="center"/>
        <w:rPr>
          <w:rFonts w:ascii="Times New Roman" w:hAnsi="Times New Roman"/>
          <w:bCs/>
          <w:color w:val="000000"/>
          <w:sz w:val="24"/>
          <w:szCs w:val="24"/>
        </w:rPr>
      </w:pPr>
    </w:p>
    <w:p w:rsidR="005F76F3" w:rsidRDefault="005F76F3" w:rsidP="008F42AB">
      <w:pPr>
        <w:spacing w:line="240" w:lineRule="auto"/>
        <w:contextualSpacing/>
        <w:jc w:val="center"/>
        <w:rPr>
          <w:rFonts w:ascii="Times New Roman" w:hAnsi="Times New Roman"/>
          <w:b/>
          <w:bCs/>
          <w:color w:val="000000"/>
          <w:sz w:val="24"/>
          <w:szCs w:val="24"/>
        </w:rPr>
      </w:pPr>
    </w:p>
    <w:p w:rsidR="005F76F3" w:rsidRPr="00462F22" w:rsidRDefault="005F76F3" w:rsidP="008F42AB">
      <w:pPr>
        <w:spacing w:line="240" w:lineRule="auto"/>
        <w:contextualSpacing/>
        <w:jc w:val="center"/>
        <w:rPr>
          <w:rFonts w:ascii="Times New Roman" w:hAnsi="Times New Roman"/>
          <w:b/>
          <w:bCs/>
          <w:color w:val="000000"/>
          <w:sz w:val="16"/>
          <w:szCs w:val="16"/>
        </w:rPr>
      </w:pPr>
    </w:p>
    <w:p w:rsidR="005F76F3" w:rsidRDefault="005F76F3" w:rsidP="008F42AB">
      <w:pPr>
        <w:spacing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Abstract</w:t>
      </w:r>
    </w:p>
    <w:p w:rsidR="005F76F3" w:rsidRPr="00740350" w:rsidRDefault="005F76F3" w:rsidP="008F42AB">
      <w:pPr>
        <w:spacing w:line="240" w:lineRule="auto"/>
        <w:contextualSpacing/>
        <w:jc w:val="center"/>
        <w:rPr>
          <w:rFonts w:ascii="Times New Roman" w:hAnsi="Times New Roman"/>
          <w:b/>
          <w:bCs/>
          <w:color w:val="000000"/>
          <w:sz w:val="24"/>
          <w:szCs w:val="24"/>
        </w:rPr>
      </w:pPr>
    </w:p>
    <w:p w:rsidR="005F76F3" w:rsidRPr="009E1704" w:rsidRDefault="005F76F3" w:rsidP="00F4735D">
      <w:pPr>
        <w:spacing w:line="360" w:lineRule="auto"/>
        <w:contextualSpacing/>
        <w:jc w:val="both"/>
        <w:rPr>
          <w:rFonts w:ascii="Times New Roman" w:hAnsi="Times New Roman"/>
          <w:bCs/>
          <w:color w:val="000000"/>
          <w:sz w:val="24"/>
          <w:szCs w:val="24"/>
        </w:rPr>
      </w:pPr>
      <w:r>
        <w:rPr>
          <w:rFonts w:ascii="Times New Roman" w:hAnsi="Times New Roman"/>
          <w:sz w:val="24"/>
          <w:szCs w:val="24"/>
        </w:rPr>
        <w:t>Rock’s (1986</w:t>
      </w:r>
      <w:r w:rsidRPr="00191303">
        <w:rPr>
          <w:rFonts w:ascii="Times New Roman" w:hAnsi="Times New Roman"/>
          <w:sz w:val="24"/>
          <w:szCs w:val="24"/>
        </w:rPr>
        <w:t xml:space="preserve">) seminal paper </w:t>
      </w:r>
      <w:r>
        <w:rPr>
          <w:rFonts w:ascii="Times New Roman" w:hAnsi="Times New Roman"/>
          <w:sz w:val="24"/>
          <w:szCs w:val="24"/>
        </w:rPr>
        <w:t>derives</w:t>
      </w:r>
      <w:r w:rsidRPr="00191303">
        <w:rPr>
          <w:rFonts w:ascii="Times New Roman" w:hAnsi="Times New Roman"/>
          <w:sz w:val="24"/>
          <w:szCs w:val="24"/>
        </w:rPr>
        <w:t xml:space="preserve"> that ‘informed’ investors will </w:t>
      </w:r>
      <w:r>
        <w:rPr>
          <w:rFonts w:ascii="Times New Roman" w:hAnsi="Times New Roman"/>
          <w:sz w:val="24"/>
          <w:szCs w:val="24"/>
        </w:rPr>
        <w:t>be allocated</w:t>
      </w:r>
      <w:r w:rsidRPr="00191303">
        <w:rPr>
          <w:rFonts w:ascii="Times New Roman" w:hAnsi="Times New Roman"/>
          <w:sz w:val="24"/>
          <w:szCs w:val="24"/>
        </w:rPr>
        <w:t xml:space="preserve"> more shares in good (more underpriced) IPO</w:t>
      </w:r>
      <w:r>
        <w:rPr>
          <w:rFonts w:ascii="Times New Roman" w:hAnsi="Times New Roman"/>
          <w:sz w:val="24"/>
          <w:szCs w:val="24"/>
        </w:rPr>
        <w:t>s rather than bad IPOs</w:t>
      </w:r>
      <w:r w:rsidRPr="00191303">
        <w:rPr>
          <w:rFonts w:ascii="Times New Roman" w:hAnsi="Times New Roman"/>
          <w:sz w:val="24"/>
          <w:szCs w:val="24"/>
        </w:rPr>
        <w:t xml:space="preserve">, whereas ‘uninformed’ investors receive more shares </w:t>
      </w:r>
      <w:r>
        <w:rPr>
          <w:rFonts w:ascii="Times New Roman" w:hAnsi="Times New Roman"/>
          <w:sz w:val="24"/>
          <w:szCs w:val="24"/>
        </w:rPr>
        <w:t>in bad IPOs</w:t>
      </w:r>
      <w:r w:rsidRPr="00191303">
        <w:rPr>
          <w:rFonts w:ascii="Times New Roman" w:hAnsi="Times New Roman"/>
          <w:sz w:val="24"/>
          <w:szCs w:val="24"/>
        </w:rPr>
        <w:t>. Due to dat</w:t>
      </w:r>
      <w:r>
        <w:rPr>
          <w:rFonts w:ascii="Times New Roman" w:hAnsi="Times New Roman"/>
          <w:sz w:val="24"/>
          <w:szCs w:val="24"/>
        </w:rPr>
        <w:t>a limitations the literature</w:t>
      </w:r>
      <w:r w:rsidRPr="00191303">
        <w:rPr>
          <w:rFonts w:ascii="Times New Roman" w:hAnsi="Times New Roman"/>
          <w:sz w:val="24"/>
          <w:szCs w:val="24"/>
        </w:rPr>
        <w:t xml:space="preserve"> </w:t>
      </w:r>
      <w:r>
        <w:rPr>
          <w:rFonts w:ascii="Times New Roman" w:hAnsi="Times New Roman"/>
          <w:sz w:val="24"/>
          <w:szCs w:val="24"/>
        </w:rPr>
        <w:t xml:space="preserve">typically </w:t>
      </w:r>
      <w:r w:rsidRPr="00191303">
        <w:rPr>
          <w:rFonts w:ascii="Times New Roman" w:hAnsi="Times New Roman"/>
          <w:sz w:val="24"/>
          <w:szCs w:val="24"/>
        </w:rPr>
        <w:t>characterize</w:t>
      </w:r>
      <w:r>
        <w:rPr>
          <w:rFonts w:ascii="Times New Roman" w:hAnsi="Times New Roman"/>
          <w:sz w:val="24"/>
          <w:szCs w:val="24"/>
        </w:rPr>
        <w:t>s</w:t>
      </w:r>
      <w:r w:rsidRPr="00191303">
        <w:rPr>
          <w:rFonts w:ascii="Times New Roman" w:hAnsi="Times New Roman"/>
          <w:sz w:val="24"/>
          <w:szCs w:val="24"/>
        </w:rPr>
        <w:t xml:space="preserve"> institutional investors as ‘informed’ and retail investors as ‘uninformed’. We examine 554 IPOs in the U.K. from 1891 to 1911</w:t>
      </w:r>
      <w:r>
        <w:rPr>
          <w:rFonts w:ascii="Times New Roman" w:hAnsi="Times New Roman"/>
          <w:sz w:val="24"/>
          <w:szCs w:val="24"/>
        </w:rPr>
        <w:t>. W</w:t>
      </w:r>
      <w:r w:rsidRPr="00191303">
        <w:rPr>
          <w:rFonts w:ascii="Times New Roman" w:hAnsi="Times New Roman"/>
          <w:sz w:val="24"/>
          <w:szCs w:val="24"/>
        </w:rPr>
        <w:t xml:space="preserve">e have data on the occupation and geographical location of </w:t>
      </w:r>
      <w:r>
        <w:rPr>
          <w:rFonts w:ascii="Times New Roman" w:hAnsi="Times New Roman"/>
          <w:sz w:val="24"/>
          <w:szCs w:val="24"/>
        </w:rPr>
        <w:t xml:space="preserve">all </w:t>
      </w:r>
      <w:r w:rsidRPr="00191303">
        <w:rPr>
          <w:rFonts w:ascii="Times New Roman" w:hAnsi="Times New Roman"/>
          <w:sz w:val="24"/>
          <w:szCs w:val="24"/>
        </w:rPr>
        <w:t>allocated shareholders</w:t>
      </w:r>
      <w:r>
        <w:rPr>
          <w:rFonts w:ascii="Times New Roman" w:hAnsi="Times New Roman"/>
          <w:sz w:val="24"/>
          <w:szCs w:val="24"/>
        </w:rPr>
        <w:t xml:space="preserve"> for 141 of these IPOs. Shareholders who are both occupationally and geographically close to the firm receive larger allocations of good IPOs, and avoid bad IPOs. In contrast institutions receive smaller allocations of good IPOs.</w:t>
      </w:r>
    </w:p>
    <w:p w:rsidR="005F76F3" w:rsidRDefault="005F76F3" w:rsidP="008F42AB">
      <w:pPr>
        <w:spacing w:line="240" w:lineRule="auto"/>
        <w:contextualSpacing/>
        <w:rPr>
          <w:rFonts w:ascii="Times New Roman" w:hAnsi="Times New Roman"/>
          <w:bCs/>
          <w:color w:val="000000"/>
          <w:sz w:val="24"/>
          <w:szCs w:val="24"/>
        </w:rPr>
      </w:pPr>
    </w:p>
    <w:p w:rsidR="005F76F3" w:rsidRPr="00462F22" w:rsidRDefault="005F76F3" w:rsidP="008F42AB">
      <w:pPr>
        <w:spacing w:line="240" w:lineRule="auto"/>
        <w:contextualSpacing/>
        <w:rPr>
          <w:rFonts w:ascii="Times New Roman" w:hAnsi="Times New Roman"/>
          <w:bCs/>
          <w:color w:val="000000"/>
          <w:sz w:val="16"/>
          <w:szCs w:val="16"/>
        </w:rPr>
      </w:pPr>
    </w:p>
    <w:p w:rsidR="005F76F3" w:rsidRDefault="005F76F3" w:rsidP="008F42AB">
      <w:pPr>
        <w:spacing w:line="480" w:lineRule="auto"/>
        <w:contextualSpacing/>
        <w:rPr>
          <w:rFonts w:ascii="Times New Roman" w:hAnsi="Times New Roman"/>
          <w:bCs/>
          <w:color w:val="000000"/>
          <w:sz w:val="24"/>
          <w:szCs w:val="24"/>
        </w:rPr>
      </w:pPr>
      <w:r w:rsidRPr="009E1704">
        <w:rPr>
          <w:rFonts w:ascii="Times New Roman" w:hAnsi="Times New Roman"/>
          <w:bCs/>
          <w:color w:val="000000"/>
          <w:sz w:val="24"/>
          <w:szCs w:val="24"/>
        </w:rPr>
        <w:t>JEL classification: G24; G28</w:t>
      </w:r>
    </w:p>
    <w:p w:rsidR="005F76F3" w:rsidRDefault="005F76F3" w:rsidP="008F42AB">
      <w:pPr>
        <w:spacing w:line="480" w:lineRule="auto"/>
        <w:contextualSpacing/>
        <w:rPr>
          <w:rFonts w:ascii="Times New Roman" w:hAnsi="Times New Roman"/>
          <w:bCs/>
          <w:color w:val="000000"/>
          <w:sz w:val="24"/>
          <w:szCs w:val="24"/>
        </w:rPr>
      </w:pPr>
      <w:r w:rsidRPr="009E1704">
        <w:rPr>
          <w:rFonts w:ascii="Times New Roman" w:hAnsi="Times New Roman"/>
          <w:bCs/>
          <w:color w:val="000000"/>
          <w:sz w:val="24"/>
          <w:szCs w:val="24"/>
        </w:rPr>
        <w:t>Keywords:</w:t>
      </w:r>
      <w:r>
        <w:rPr>
          <w:rFonts w:ascii="Times New Roman" w:hAnsi="Times New Roman"/>
          <w:bCs/>
          <w:color w:val="000000"/>
          <w:sz w:val="24"/>
          <w:szCs w:val="24"/>
        </w:rPr>
        <w:t xml:space="preserve"> IPO allocations; Equity issue; London Stock Exchange.</w:t>
      </w:r>
    </w:p>
    <w:p w:rsidR="005F76F3" w:rsidRDefault="005F76F3" w:rsidP="008F42AB">
      <w:pPr>
        <w:spacing w:line="240" w:lineRule="auto"/>
        <w:contextualSpacing/>
        <w:rPr>
          <w:rFonts w:ascii="Times New Roman" w:hAnsi="Times New Roman"/>
          <w:bCs/>
          <w:color w:val="000000"/>
          <w:sz w:val="24"/>
          <w:szCs w:val="24"/>
        </w:rPr>
      </w:pPr>
    </w:p>
    <w:p w:rsidR="005F76F3" w:rsidRPr="00520EC6" w:rsidRDefault="005F76F3" w:rsidP="008F42AB">
      <w:pPr>
        <w:spacing w:line="240" w:lineRule="auto"/>
        <w:contextualSpacing/>
        <w:rPr>
          <w:rFonts w:ascii="Times New Roman" w:hAnsi="Times New Roman"/>
          <w:bCs/>
          <w:color w:val="000000"/>
          <w:sz w:val="24"/>
          <w:szCs w:val="24"/>
        </w:rPr>
      </w:pPr>
    </w:p>
    <w:p w:rsidR="005F76F3" w:rsidRPr="00520EC6" w:rsidRDefault="005F76F3" w:rsidP="008F42AB">
      <w:pPr>
        <w:spacing w:line="240" w:lineRule="auto"/>
        <w:contextualSpacing/>
        <w:rPr>
          <w:rFonts w:ascii="Times New Roman" w:hAnsi="Times New Roman"/>
          <w:bCs/>
          <w:color w:val="000000"/>
          <w:sz w:val="24"/>
          <w:szCs w:val="24"/>
        </w:rPr>
      </w:pPr>
      <w:r w:rsidRPr="00520EC6">
        <w:rPr>
          <w:rFonts w:ascii="Times New Roman" w:hAnsi="Times New Roman"/>
          <w:bCs/>
          <w:color w:val="000000"/>
          <w:sz w:val="24"/>
          <w:szCs w:val="24"/>
        </w:rPr>
        <w:t xml:space="preserve">  </w:t>
      </w:r>
      <w:r w:rsidRPr="00520EC6">
        <w:rPr>
          <w:rFonts w:ascii="Times New Roman" w:hAnsi="Times New Roman"/>
          <w:bCs/>
          <w:color w:val="000000"/>
          <w:sz w:val="24"/>
          <w:szCs w:val="24"/>
          <w:u w:val="single"/>
        </w:rPr>
        <w:tab/>
      </w:r>
      <w:r w:rsidRPr="00520EC6">
        <w:rPr>
          <w:rFonts w:ascii="Times New Roman" w:hAnsi="Times New Roman"/>
          <w:bCs/>
          <w:color w:val="000000"/>
          <w:sz w:val="24"/>
          <w:szCs w:val="24"/>
          <w:u w:val="single"/>
        </w:rPr>
        <w:tab/>
      </w:r>
      <w:r w:rsidRPr="00520EC6">
        <w:rPr>
          <w:rFonts w:ascii="Times New Roman" w:hAnsi="Times New Roman"/>
          <w:bCs/>
          <w:color w:val="000000"/>
          <w:sz w:val="24"/>
          <w:szCs w:val="24"/>
          <w:u w:val="single"/>
        </w:rPr>
        <w:tab/>
      </w:r>
      <w:r w:rsidRPr="00520EC6">
        <w:rPr>
          <w:rFonts w:ascii="Times New Roman" w:hAnsi="Times New Roman"/>
          <w:bCs/>
          <w:color w:val="000000"/>
          <w:sz w:val="24"/>
          <w:szCs w:val="24"/>
          <w:u w:val="single"/>
        </w:rPr>
        <w:tab/>
      </w:r>
      <w:r w:rsidRPr="00520EC6">
        <w:rPr>
          <w:rFonts w:ascii="Times New Roman" w:hAnsi="Times New Roman"/>
          <w:bCs/>
          <w:color w:val="000000"/>
          <w:sz w:val="24"/>
          <w:szCs w:val="24"/>
        </w:rPr>
        <w:t xml:space="preserve">  </w:t>
      </w:r>
    </w:p>
    <w:p w:rsidR="005F76F3" w:rsidRDefault="005F76F3" w:rsidP="008F42AB">
      <w:pPr>
        <w:spacing w:line="240" w:lineRule="auto"/>
        <w:contextualSpacing/>
        <w:jc w:val="both"/>
        <w:rPr>
          <w:rFonts w:ascii="Times New Roman" w:hAnsi="Times New Roman"/>
          <w:bCs/>
          <w:color w:val="000000"/>
          <w:sz w:val="24"/>
          <w:szCs w:val="24"/>
        </w:rPr>
      </w:pPr>
      <w:r w:rsidRPr="00520EC6">
        <w:rPr>
          <w:rFonts w:ascii="Times New Roman" w:hAnsi="Times New Roman"/>
          <w:bCs/>
          <w:color w:val="000000"/>
          <w:sz w:val="24"/>
          <w:szCs w:val="24"/>
        </w:rPr>
        <w:t>* The University of Melbourne, 198 Berkeley Str</w:t>
      </w:r>
      <w:r>
        <w:rPr>
          <w:rFonts w:ascii="Times New Roman" w:hAnsi="Times New Roman"/>
          <w:bCs/>
          <w:color w:val="000000"/>
          <w:sz w:val="24"/>
          <w:szCs w:val="24"/>
        </w:rPr>
        <w:t>eet, Victoria, Australia, 3010.</w:t>
      </w:r>
    </w:p>
    <w:p w:rsidR="005F76F3" w:rsidRDefault="005F76F3" w:rsidP="008F42AB">
      <w:pPr>
        <w:spacing w:line="240" w:lineRule="auto"/>
        <w:jc w:val="both"/>
        <w:rPr>
          <w:rFonts w:ascii="Times New Roman" w:hAnsi="Times New Roman"/>
          <w:bCs/>
          <w:color w:val="000000"/>
          <w:sz w:val="24"/>
          <w:szCs w:val="24"/>
        </w:rPr>
      </w:pPr>
      <w:r w:rsidRPr="006A0248">
        <w:rPr>
          <w:rFonts w:ascii="Times New Roman" w:hAnsi="Times New Roman"/>
          <w:bCs/>
          <w:color w:val="000000"/>
          <w:sz w:val="24"/>
          <w:szCs w:val="24"/>
        </w:rPr>
        <w:t>We would like to thank the Department of</w:t>
      </w:r>
      <w:r>
        <w:rPr>
          <w:rFonts w:ascii="Times New Roman" w:hAnsi="Times New Roman"/>
          <w:bCs/>
          <w:color w:val="000000"/>
          <w:sz w:val="24"/>
          <w:szCs w:val="24"/>
        </w:rPr>
        <w:t xml:space="preserve"> Finance for generous financial </w:t>
      </w:r>
      <w:r w:rsidRPr="006A0248">
        <w:rPr>
          <w:rFonts w:ascii="Times New Roman" w:hAnsi="Times New Roman"/>
          <w:bCs/>
          <w:color w:val="000000"/>
          <w:sz w:val="24"/>
          <w:szCs w:val="24"/>
        </w:rPr>
        <w:t>support to undertake this project.</w:t>
      </w:r>
      <w:r w:rsidRPr="00A40BE8">
        <w:rPr>
          <w:rFonts w:ascii="Times New Roman" w:hAnsi="Times New Roman"/>
          <w:bCs/>
          <w:color w:val="000000"/>
          <w:sz w:val="24"/>
          <w:szCs w:val="24"/>
        </w:rPr>
        <w:t xml:space="preserve"> </w:t>
      </w:r>
      <w:r>
        <w:rPr>
          <w:rFonts w:ascii="Times New Roman" w:hAnsi="Times New Roman"/>
          <w:bCs/>
          <w:color w:val="000000"/>
          <w:sz w:val="24"/>
          <w:szCs w:val="24"/>
        </w:rPr>
        <w:t xml:space="preserve">Comments from Terry Walter and seminar participants at the University of Melbourne are greatly appreciated. </w:t>
      </w:r>
      <w:r w:rsidRPr="00520EC6">
        <w:rPr>
          <w:rFonts w:ascii="Times New Roman" w:hAnsi="Times New Roman"/>
          <w:bCs/>
          <w:color w:val="000000"/>
          <w:sz w:val="24"/>
          <w:szCs w:val="24"/>
        </w:rPr>
        <w:t>All errors are our own.</w:t>
      </w:r>
    </w:p>
    <w:p w:rsidR="005F76F3" w:rsidRDefault="005F76F3" w:rsidP="008F42AB">
      <w:pPr>
        <w:spacing w:line="240" w:lineRule="auto"/>
        <w:jc w:val="both"/>
        <w:rPr>
          <w:rFonts w:ascii="Times New Roman" w:hAnsi="Times New Roman"/>
          <w:b/>
          <w:sz w:val="24"/>
          <w:szCs w:val="24"/>
        </w:rPr>
      </w:pPr>
    </w:p>
    <w:p w:rsidR="005F76F3" w:rsidRDefault="005F76F3" w:rsidP="009C5C1D">
      <w:pPr>
        <w:spacing w:line="480" w:lineRule="auto"/>
        <w:jc w:val="both"/>
        <w:rPr>
          <w:rFonts w:ascii="Times New Roman" w:hAnsi="Times New Roman"/>
          <w:b/>
          <w:sz w:val="24"/>
          <w:szCs w:val="24"/>
        </w:rPr>
      </w:pPr>
      <w:r>
        <w:rPr>
          <w:rFonts w:ascii="Times New Roman" w:hAnsi="Times New Roman"/>
          <w:b/>
          <w:sz w:val="24"/>
          <w:szCs w:val="24"/>
        </w:rPr>
        <w:t>1</w:t>
      </w:r>
      <w:r w:rsidRPr="009C5C1D">
        <w:rPr>
          <w:rFonts w:ascii="Times New Roman" w:hAnsi="Times New Roman"/>
          <w:b/>
          <w:sz w:val="24"/>
          <w:szCs w:val="24"/>
        </w:rPr>
        <w:t>. Introduction</w:t>
      </w:r>
    </w:p>
    <w:p w:rsidR="005F76F3" w:rsidRDefault="005F76F3" w:rsidP="006A1F2B">
      <w:pPr>
        <w:spacing w:line="480" w:lineRule="auto"/>
        <w:ind w:firstLine="720"/>
        <w:jc w:val="both"/>
        <w:rPr>
          <w:rFonts w:ascii="Times New Roman" w:hAnsi="Times New Roman"/>
          <w:sz w:val="24"/>
          <w:szCs w:val="24"/>
        </w:rPr>
      </w:pPr>
      <w:r w:rsidRPr="00CE0A27">
        <w:rPr>
          <w:rFonts w:ascii="Times New Roman" w:hAnsi="Times New Roman"/>
          <w:sz w:val="24"/>
          <w:szCs w:val="24"/>
        </w:rPr>
        <w:t xml:space="preserve">The </w:t>
      </w:r>
      <w:r>
        <w:rPr>
          <w:rFonts w:ascii="Times New Roman" w:hAnsi="Times New Roman"/>
          <w:sz w:val="24"/>
          <w:szCs w:val="24"/>
        </w:rPr>
        <w:t xml:space="preserve">underpricing of Initial Public Offerings (IPOs) is well documented across time and markets. Explanations for underpriced IPOs often focus on information asymmetry between the firm, the underwriter(s), and investors (e.g., Baron, </w:t>
      </w:r>
      <w:r w:rsidRPr="00FB386D">
        <w:rPr>
          <w:rFonts w:ascii="Times New Roman" w:hAnsi="Times New Roman"/>
          <w:sz w:val="24"/>
          <w:szCs w:val="24"/>
        </w:rPr>
        <w:t>1982</w:t>
      </w:r>
      <w:r>
        <w:rPr>
          <w:rFonts w:ascii="Times New Roman" w:hAnsi="Times New Roman"/>
          <w:sz w:val="24"/>
          <w:szCs w:val="24"/>
        </w:rPr>
        <w:t>;</w:t>
      </w:r>
      <w:r w:rsidRPr="00FB386D">
        <w:rPr>
          <w:rFonts w:ascii="Times New Roman" w:hAnsi="Times New Roman"/>
          <w:sz w:val="24"/>
          <w:szCs w:val="24"/>
        </w:rPr>
        <w:t xml:space="preserve"> </w:t>
      </w:r>
      <w:r>
        <w:rPr>
          <w:rFonts w:ascii="Times New Roman" w:hAnsi="Times New Roman"/>
          <w:sz w:val="24"/>
          <w:szCs w:val="24"/>
        </w:rPr>
        <w:t xml:space="preserve">Rock, 1986; Benveniste and </w:t>
      </w:r>
      <w:r w:rsidRPr="00420665">
        <w:rPr>
          <w:rFonts w:ascii="Times New Roman" w:hAnsi="Times New Roman"/>
          <w:sz w:val="24"/>
          <w:szCs w:val="24"/>
        </w:rPr>
        <w:t>Spindt</w:t>
      </w:r>
      <w:r>
        <w:rPr>
          <w:rFonts w:ascii="Times New Roman" w:hAnsi="Times New Roman"/>
          <w:sz w:val="24"/>
          <w:szCs w:val="24"/>
        </w:rPr>
        <w:t>,</w:t>
      </w:r>
      <w:r w:rsidRPr="00420665">
        <w:rPr>
          <w:rFonts w:ascii="Times New Roman" w:hAnsi="Times New Roman"/>
          <w:sz w:val="24"/>
          <w:szCs w:val="24"/>
        </w:rPr>
        <w:t xml:space="preserve"> </w:t>
      </w:r>
      <w:r>
        <w:rPr>
          <w:rFonts w:ascii="Times New Roman" w:hAnsi="Times New Roman"/>
          <w:sz w:val="24"/>
          <w:szCs w:val="24"/>
        </w:rPr>
        <w:t>1</w:t>
      </w:r>
      <w:r w:rsidRPr="00420665">
        <w:rPr>
          <w:rFonts w:ascii="Times New Roman" w:hAnsi="Times New Roman"/>
          <w:sz w:val="24"/>
          <w:szCs w:val="24"/>
        </w:rPr>
        <w:t>989</w:t>
      </w:r>
      <w:r>
        <w:rPr>
          <w:rFonts w:ascii="Times New Roman" w:hAnsi="Times New Roman"/>
          <w:sz w:val="24"/>
          <w:szCs w:val="24"/>
        </w:rPr>
        <w:t xml:space="preserve">, and Welch, </w:t>
      </w:r>
      <w:r w:rsidRPr="00420665">
        <w:rPr>
          <w:rFonts w:ascii="Times New Roman" w:hAnsi="Times New Roman"/>
          <w:sz w:val="24"/>
          <w:szCs w:val="24"/>
        </w:rPr>
        <w:t>1989)</w:t>
      </w:r>
      <w:r>
        <w:rPr>
          <w:rFonts w:ascii="Times New Roman" w:hAnsi="Times New Roman"/>
          <w:sz w:val="24"/>
          <w:szCs w:val="24"/>
        </w:rPr>
        <w:t xml:space="preserve"> or motivate underpricing as an agency problem between the firm and the underwriter.</w:t>
      </w:r>
      <w:r>
        <w:rPr>
          <w:rStyle w:val="FootnoteReference"/>
          <w:sz w:val="24"/>
          <w:szCs w:val="24"/>
        </w:rPr>
        <w:footnoteReference w:id="2"/>
      </w:r>
      <w:r>
        <w:rPr>
          <w:rFonts w:ascii="Times New Roman" w:hAnsi="Times New Roman"/>
          <w:sz w:val="24"/>
          <w:szCs w:val="24"/>
        </w:rPr>
        <w:t xml:space="preserve"> A closely related issue to underpricing is how the IPO shares are allocated and to whom. The information asymmetry and rent-seeking theories derive that highly underpriced shares are mostly allocated to informed and selectively chosen institutional investors, respectively.</w:t>
      </w:r>
    </w:p>
    <w:p w:rsidR="005F76F3" w:rsidRDefault="005F76F3" w:rsidP="00210338">
      <w:pPr>
        <w:spacing w:line="480" w:lineRule="auto"/>
        <w:ind w:firstLine="720"/>
        <w:jc w:val="both"/>
        <w:rPr>
          <w:rFonts w:ascii="Times New Roman" w:hAnsi="Times New Roman"/>
          <w:sz w:val="24"/>
          <w:szCs w:val="24"/>
        </w:rPr>
      </w:pPr>
      <w:r>
        <w:rPr>
          <w:rFonts w:ascii="Times New Roman" w:hAnsi="Times New Roman"/>
          <w:sz w:val="24"/>
          <w:szCs w:val="24"/>
        </w:rPr>
        <w:t>Data on actual IPO allocations are very hard to obtain, which may not be surprising if principal-agent problems between the firm and underwriter are driving the allocation process. Examining the allocation predictions of the information asymmetry and agency based models has proven to be very difficult.</w:t>
      </w:r>
      <w:r>
        <w:rPr>
          <w:rStyle w:val="FootnoteReference"/>
          <w:sz w:val="24"/>
          <w:szCs w:val="24"/>
        </w:rPr>
        <w:footnoteReference w:id="3"/>
      </w:r>
      <w:r>
        <w:rPr>
          <w:rFonts w:ascii="Times New Roman" w:hAnsi="Times New Roman"/>
          <w:sz w:val="24"/>
          <w:szCs w:val="24"/>
        </w:rPr>
        <w:t xml:space="preserve">  Only </w:t>
      </w:r>
      <w:r>
        <w:rPr>
          <w:rFonts w:ascii="Times New Roman" w:hAnsi="Times New Roman"/>
          <w:bCs/>
          <w:color w:val="000000"/>
          <w:sz w:val="24"/>
          <w:szCs w:val="24"/>
        </w:rPr>
        <w:t>Cornelli and Goldreich (</w:t>
      </w:r>
      <w:r w:rsidRPr="009E1704">
        <w:rPr>
          <w:rFonts w:ascii="Times New Roman" w:hAnsi="Times New Roman"/>
          <w:bCs/>
          <w:color w:val="000000"/>
          <w:sz w:val="24"/>
          <w:szCs w:val="24"/>
        </w:rPr>
        <w:t>2001</w:t>
      </w:r>
      <w:r>
        <w:rPr>
          <w:rFonts w:ascii="Times New Roman" w:hAnsi="Times New Roman"/>
          <w:bCs/>
          <w:color w:val="000000"/>
          <w:sz w:val="24"/>
          <w:szCs w:val="24"/>
        </w:rPr>
        <w:t>, 2003) and</w:t>
      </w:r>
      <w:r w:rsidRPr="009E1704">
        <w:rPr>
          <w:rFonts w:ascii="Times New Roman" w:hAnsi="Times New Roman"/>
          <w:bCs/>
          <w:color w:val="000000"/>
          <w:sz w:val="24"/>
          <w:szCs w:val="24"/>
        </w:rPr>
        <w:t xml:space="preserve"> </w:t>
      </w:r>
      <w:r>
        <w:rPr>
          <w:rFonts w:ascii="Times New Roman" w:hAnsi="Times New Roman"/>
          <w:sz w:val="24"/>
          <w:szCs w:val="24"/>
        </w:rPr>
        <w:t>Jenkinson and Jones (2004) have obtained disaggregated IPO allocation data. Their data come from a single underwriter’s voluntary disclosure of deal information, which raises questions of sample selection. In contrast, we observe the actual allocation lists (or the shareholders’ list together with trading information soon thereafter) of a random sample of all British firms that undertook an IPO over a 20 year window.</w:t>
      </w:r>
    </w:p>
    <w:p w:rsidR="005F76F3" w:rsidRDefault="005F76F3" w:rsidP="004251C9">
      <w:pPr>
        <w:spacing w:line="480" w:lineRule="auto"/>
        <w:ind w:firstLine="720"/>
        <w:jc w:val="both"/>
        <w:rPr>
          <w:rFonts w:ascii="Times New Roman" w:hAnsi="Times New Roman"/>
          <w:sz w:val="24"/>
          <w:szCs w:val="24"/>
        </w:rPr>
      </w:pPr>
      <w:r>
        <w:rPr>
          <w:rFonts w:ascii="Times New Roman" w:hAnsi="Times New Roman"/>
          <w:sz w:val="24"/>
          <w:szCs w:val="24"/>
        </w:rPr>
        <w:t xml:space="preserve">We investigate Rock’s (1986) conclusion that informed investors are able to avoid overpriced issues and only obtain underpriced issues. Rock (1986) assumes some investors are perfectly informed about the value of all IPOs, in fact better informed than the firms and their underwriters. He suggests such superior valuation prowess may come from the pooled knowledge of individual investors, some of whom may have (p 190): “inside information about a competitor”. As Rock’s paper is primarily theoretical he does not suggest ways to empirically identify such informed investors. Since using inside information is currently illegal in most markets, it seems very difficult, if not impossible, to identify a group of investors who were informed </w:t>
      </w:r>
      <w:r w:rsidRPr="00372DD0">
        <w:rPr>
          <w:rFonts w:ascii="Times New Roman" w:hAnsi="Times New Roman"/>
          <w:i/>
          <w:sz w:val="24"/>
          <w:szCs w:val="24"/>
        </w:rPr>
        <w:t>à la</w:t>
      </w:r>
      <w:r>
        <w:rPr>
          <w:rFonts w:ascii="Times New Roman" w:hAnsi="Times New Roman"/>
          <w:sz w:val="24"/>
          <w:szCs w:val="24"/>
        </w:rPr>
        <w:t xml:space="preserve"> Rock for all IPOs in our sample.</w:t>
      </w:r>
    </w:p>
    <w:p w:rsidR="005F76F3" w:rsidRPr="002C3EC6" w:rsidRDefault="005F76F3" w:rsidP="004251C9">
      <w:pPr>
        <w:spacing w:line="480" w:lineRule="auto"/>
        <w:ind w:firstLine="720"/>
        <w:jc w:val="both"/>
        <w:rPr>
          <w:rFonts w:ascii="Times New Roman" w:hAnsi="Times New Roman"/>
          <w:sz w:val="24"/>
          <w:szCs w:val="24"/>
        </w:rPr>
      </w:pPr>
      <w:r>
        <w:rPr>
          <w:rFonts w:ascii="Times New Roman" w:hAnsi="Times New Roman"/>
          <w:sz w:val="24"/>
          <w:szCs w:val="24"/>
        </w:rPr>
        <w:t xml:space="preserve"> We adopt a different approach to defining informed investors. We allow for the possibility that some investors may only possess private information </w:t>
      </w:r>
      <w:r w:rsidRPr="002C3EC6">
        <w:rPr>
          <w:rFonts w:ascii="Times New Roman" w:hAnsi="Times New Roman"/>
          <w:sz w:val="24"/>
          <w:szCs w:val="24"/>
        </w:rPr>
        <w:t xml:space="preserve">about certain IPOs. For instance a brewer might have an informational advantage when a brewing company </w:t>
      </w:r>
      <w:r>
        <w:rPr>
          <w:rFonts w:ascii="Times New Roman" w:hAnsi="Times New Roman"/>
          <w:sz w:val="24"/>
          <w:szCs w:val="24"/>
        </w:rPr>
        <w:t>undertakes</w:t>
      </w:r>
      <w:r w:rsidRPr="002C3EC6">
        <w:rPr>
          <w:rFonts w:ascii="Times New Roman" w:hAnsi="Times New Roman"/>
          <w:sz w:val="24"/>
          <w:szCs w:val="24"/>
        </w:rPr>
        <w:t xml:space="preserve"> an IPO</w:t>
      </w:r>
      <w:r>
        <w:rPr>
          <w:rFonts w:ascii="Times New Roman" w:hAnsi="Times New Roman"/>
          <w:sz w:val="24"/>
          <w:szCs w:val="24"/>
        </w:rPr>
        <w:t xml:space="preserve"> (an occupational advantage) or a Novocastrian may have an advantage when a Newcastle steel manufacturer goes public (a geographical advantage)</w:t>
      </w:r>
      <w:r w:rsidRPr="002C3EC6">
        <w:rPr>
          <w:rFonts w:ascii="Times New Roman" w:hAnsi="Times New Roman"/>
          <w:sz w:val="24"/>
          <w:szCs w:val="24"/>
        </w:rPr>
        <w:t>.</w:t>
      </w:r>
      <w:r>
        <w:rPr>
          <w:rFonts w:ascii="Times New Roman" w:hAnsi="Times New Roman"/>
          <w:sz w:val="24"/>
          <w:szCs w:val="24"/>
        </w:rPr>
        <w:t xml:space="preserve"> Clearly we will measure ‘informed’ with error using this approach; not all brewers possess superior information to the crowd when evaluating a brewery IPO for example. The likely measurement error in our approach will tend to bias our results to finding no effect of ‘informed’ investors. Consequently, if we find an ability of occupationally or geographically close investors to choose underpriced IPOs it will be a strong result.</w:t>
      </w:r>
    </w:p>
    <w:p w:rsidR="005F76F3" w:rsidRDefault="005F76F3" w:rsidP="002D0CEC">
      <w:pPr>
        <w:spacing w:line="480" w:lineRule="auto"/>
        <w:ind w:firstLine="720"/>
        <w:jc w:val="both"/>
        <w:rPr>
          <w:rFonts w:ascii="Times New Roman" w:hAnsi="Times New Roman"/>
          <w:sz w:val="24"/>
          <w:szCs w:val="24"/>
        </w:rPr>
      </w:pPr>
      <w:r>
        <w:rPr>
          <w:rFonts w:ascii="Times New Roman" w:hAnsi="Times New Roman"/>
          <w:sz w:val="24"/>
          <w:szCs w:val="24"/>
        </w:rPr>
        <w:t>We examine allocation data for U.K. IPOs at the turn of the 20</w:t>
      </w:r>
      <w:r w:rsidRPr="00166449">
        <w:rPr>
          <w:rFonts w:ascii="Times New Roman" w:hAnsi="Times New Roman"/>
          <w:sz w:val="24"/>
          <w:szCs w:val="24"/>
          <w:vertAlign w:val="superscript"/>
        </w:rPr>
        <w:t>th</w:t>
      </w:r>
      <w:r>
        <w:rPr>
          <w:rFonts w:ascii="Times New Roman" w:hAnsi="Times New Roman"/>
          <w:sz w:val="24"/>
          <w:szCs w:val="24"/>
        </w:rPr>
        <w:t xml:space="preserve"> century.  Chambers and Dimson (2009) say that IPO firms at this time did not typically use underwriters.  Rather, shares were applied for and allocated directly by the company, thereby eliminating most of the rationales for underpricing and the discretionary allocation of shares. With the underwriter-based theories rendered less important by the institutional features of the time period, the motivations for IPOs should more closely follow the information asymmetry models of IPO underpricing, if those motivations are truly important. We use investor occupation, investor status as an institution or not, and geographical proximity to the IPO firm as measures likely to be correlated with informed investors.</w:t>
      </w:r>
    </w:p>
    <w:p w:rsidR="005F76F3" w:rsidRDefault="005F76F3" w:rsidP="007B5BAF">
      <w:pPr>
        <w:spacing w:line="480" w:lineRule="auto"/>
        <w:ind w:firstLine="720"/>
        <w:jc w:val="both"/>
        <w:rPr>
          <w:rFonts w:ascii="Times New Roman" w:hAnsi="Times New Roman"/>
          <w:sz w:val="24"/>
          <w:szCs w:val="24"/>
        </w:rPr>
      </w:pPr>
      <w:r>
        <w:rPr>
          <w:rFonts w:ascii="Times New Roman" w:hAnsi="Times New Roman"/>
          <w:sz w:val="24"/>
          <w:szCs w:val="24"/>
        </w:rPr>
        <w:t xml:space="preserve">In a setting without the principal-agent problems that underwriting entails, we are able to test if informed investors receive more underpriced IPO shares. </w:t>
      </w:r>
      <w:r w:rsidRPr="00295C64">
        <w:rPr>
          <w:rFonts w:ascii="Times New Roman" w:hAnsi="Times New Roman"/>
          <w:sz w:val="24"/>
          <w:szCs w:val="24"/>
        </w:rPr>
        <w:t>Ritter (2011)</w:t>
      </w:r>
      <w:r>
        <w:rPr>
          <w:rFonts w:ascii="Times New Roman" w:hAnsi="Times New Roman"/>
          <w:sz w:val="24"/>
          <w:szCs w:val="24"/>
        </w:rPr>
        <w:t xml:space="preserve"> suspects that in such a setting: ‘a</w:t>
      </w:r>
      <w:r w:rsidRPr="00611A68">
        <w:rPr>
          <w:rFonts w:ascii="Times New Roman" w:hAnsi="Times New Roman"/>
          <w:sz w:val="24"/>
          <w:szCs w:val="24"/>
        </w:rPr>
        <w:t>symmetric information-based theories wo</w:t>
      </w:r>
      <w:r>
        <w:rPr>
          <w:rFonts w:ascii="Times New Roman" w:hAnsi="Times New Roman"/>
          <w:sz w:val="24"/>
          <w:szCs w:val="24"/>
        </w:rPr>
        <w:t xml:space="preserve">uld [plausibly generate an] average </w:t>
      </w:r>
      <w:r w:rsidRPr="00611A68">
        <w:rPr>
          <w:rFonts w:ascii="Times New Roman" w:hAnsi="Times New Roman"/>
          <w:sz w:val="24"/>
          <w:szCs w:val="24"/>
        </w:rPr>
        <w:t>first-day return was in the vicinity of 2%, or maybe even 5%.</w:t>
      </w:r>
      <w:r>
        <w:rPr>
          <w:rFonts w:ascii="Times New Roman" w:hAnsi="Times New Roman"/>
          <w:sz w:val="24"/>
          <w:szCs w:val="24"/>
        </w:rPr>
        <w:t xml:space="preserve">’ Michaely and Shaw (1994) show that in IPOs with only retail investors (who are assumed to be uninformed), the shares are not underpriced. </w:t>
      </w:r>
      <w:r w:rsidRPr="009C5C1D">
        <w:rPr>
          <w:rFonts w:ascii="Times New Roman" w:hAnsi="Times New Roman"/>
          <w:sz w:val="24"/>
          <w:szCs w:val="24"/>
        </w:rPr>
        <w:t>Hanley and Wilhe</w:t>
      </w:r>
      <w:r>
        <w:rPr>
          <w:rFonts w:ascii="Times New Roman" w:hAnsi="Times New Roman"/>
          <w:sz w:val="24"/>
          <w:szCs w:val="24"/>
        </w:rPr>
        <w:t>l</w:t>
      </w:r>
      <w:r w:rsidRPr="009C5C1D">
        <w:rPr>
          <w:rFonts w:ascii="Times New Roman" w:hAnsi="Times New Roman"/>
          <w:sz w:val="24"/>
          <w:szCs w:val="24"/>
        </w:rPr>
        <w:t>m (1995)</w:t>
      </w:r>
      <w:r>
        <w:rPr>
          <w:rFonts w:ascii="Times New Roman" w:hAnsi="Times New Roman"/>
          <w:sz w:val="24"/>
          <w:szCs w:val="24"/>
        </w:rPr>
        <w:t xml:space="preserve"> find that institutions capture most of the very good and very bad IPOs, and suspect that part of this result is due to repeated interaction (with implicit expectations for favoured clients to buy some of the ‘bad’ IPO shares) between the underwriter and institutions. </w:t>
      </w:r>
      <w:r w:rsidRPr="009C5C1D">
        <w:rPr>
          <w:rFonts w:ascii="Times New Roman" w:hAnsi="Times New Roman"/>
          <w:sz w:val="24"/>
          <w:szCs w:val="24"/>
        </w:rPr>
        <w:t>Aggarwal, Prabhala, and Puri (2002)</w:t>
      </w:r>
      <w:r>
        <w:rPr>
          <w:rFonts w:ascii="Times New Roman" w:hAnsi="Times New Roman"/>
          <w:sz w:val="24"/>
          <w:szCs w:val="24"/>
        </w:rPr>
        <w:t xml:space="preserve"> document that institutions (as a whole) receive more IPO shares of firms that experience a large first day return.</w:t>
      </w:r>
    </w:p>
    <w:p w:rsidR="005F76F3" w:rsidRDefault="005F76F3" w:rsidP="00B33600">
      <w:pPr>
        <w:spacing w:line="480" w:lineRule="auto"/>
        <w:ind w:firstLine="720"/>
        <w:jc w:val="both"/>
        <w:rPr>
          <w:rFonts w:ascii="Times New Roman" w:hAnsi="Times New Roman"/>
          <w:sz w:val="24"/>
          <w:szCs w:val="24"/>
        </w:rPr>
      </w:pPr>
      <w:r>
        <w:rPr>
          <w:rFonts w:ascii="Times New Roman" w:hAnsi="Times New Roman"/>
          <w:sz w:val="24"/>
          <w:szCs w:val="24"/>
        </w:rPr>
        <w:t>We find that institutions, geographically close, and occupationally close investors are allocated more shares in those IPOs. Investors who are either geographically or occupationally close (but not both) to the firm receive larger allocations of poorly performing IPOs. However, investors who are both geographically and occupationally close receive larger allocations in ‘hot’ IPOs. Institutional investors play a very small role in the U.K. IPO market in our sample, taking an average of 2.4% of all shares allocated. We find that institutions receive lower allocations of ‘hot’ IPOs. These facts generally support Rock’s prediction that informed investors receive better allocations than uninformed investors.</w:t>
      </w:r>
      <w:r>
        <w:rPr>
          <w:rStyle w:val="FootnoteReference"/>
          <w:sz w:val="24"/>
          <w:szCs w:val="24"/>
        </w:rPr>
        <w:footnoteReference w:id="4"/>
      </w:r>
      <w:r>
        <w:rPr>
          <w:rFonts w:ascii="Times New Roman" w:hAnsi="Times New Roman"/>
          <w:sz w:val="24"/>
          <w:szCs w:val="24"/>
        </w:rPr>
        <w:t xml:space="preserve"> We find average underpricing of 7.2% over our 20 year sample, peaking at 33% in 1893.  We document overpricing of IPOs, by 32%, in 1911.</w:t>
      </w:r>
    </w:p>
    <w:p w:rsidR="005F76F3" w:rsidRDefault="005F76F3" w:rsidP="009C5C1D">
      <w:pPr>
        <w:spacing w:line="480" w:lineRule="auto"/>
        <w:jc w:val="both"/>
        <w:rPr>
          <w:rFonts w:ascii="Times New Roman" w:hAnsi="Times New Roman"/>
          <w:sz w:val="24"/>
          <w:szCs w:val="24"/>
        </w:rPr>
      </w:pPr>
      <w:r>
        <w:rPr>
          <w:rFonts w:ascii="Times New Roman" w:hAnsi="Times New Roman"/>
          <w:sz w:val="24"/>
          <w:szCs w:val="24"/>
        </w:rPr>
        <w:tab/>
        <w:t xml:space="preserve">The remainder of the paper is organised as follows. In section 2 we describe the historical background. In section 3 we describe the data. In section 4 we present the results while section 5 concludes. </w:t>
      </w:r>
    </w:p>
    <w:p w:rsidR="005F76F3" w:rsidRPr="00E2521C" w:rsidRDefault="005F76F3" w:rsidP="00E2521C">
      <w:pPr>
        <w:spacing w:line="480" w:lineRule="auto"/>
        <w:jc w:val="both"/>
        <w:rPr>
          <w:rFonts w:ascii="Times New Roman" w:hAnsi="Times New Roman"/>
          <w:b/>
          <w:sz w:val="24"/>
          <w:szCs w:val="24"/>
        </w:rPr>
      </w:pPr>
      <w:r>
        <w:rPr>
          <w:rFonts w:ascii="Times New Roman" w:hAnsi="Times New Roman"/>
          <w:b/>
          <w:sz w:val="24"/>
          <w:szCs w:val="24"/>
        </w:rPr>
        <w:t>2.</w:t>
      </w:r>
      <w:r w:rsidRPr="00E2521C">
        <w:rPr>
          <w:rFonts w:ascii="Times New Roman" w:hAnsi="Times New Roman"/>
          <w:b/>
          <w:sz w:val="24"/>
          <w:szCs w:val="24"/>
        </w:rPr>
        <w:t xml:space="preserve"> Historical </w:t>
      </w:r>
      <w:r>
        <w:rPr>
          <w:rFonts w:ascii="Times New Roman" w:hAnsi="Times New Roman"/>
          <w:b/>
          <w:sz w:val="24"/>
          <w:szCs w:val="24"/>
        </w:rPr>
        <w:t>b</w:t>
      </w:r>
      <w:r w:rsidRPr="00E2521C">
        <w:rPr>
          <w:rFonts w:ascii="Times New Roman" w:hAnsi="Times New Roman"/>
          <w:b/>
          <w:sz w:val="24"/>
          <w:szCs w:val="24"/>
        </w:rPr>
        <w:t>ackground</w:t>
      </w:r>
    </w:p>
    <w:p w:rsidR="005F76F3" w:rsidRDefault="005F76F3" w:rsidP="00E2521C">
      <w:pPr>
        <w:spacing w:line="480" w:lineRule="auto"/>
        <w:ind w:firstLine="720"/>
        <w:jc w:val="both"/>
        <w:rPr>
          <w:rFonts w:ascii="Times New Roman" w:hAnsi="Times New Roman"/>
          <w:sz w:val="24"/>
          <w:szCs w:val="24"/>
        </w:rPr>
      </w:pPr>
      <w:r>
        <w:rPr>
          <w:rFonts w:ascii="Times New Roman" w:hAnsi="Times New Roman"/>
          <w:sz w:val="24"/>
          <w:szCs w:val="24"/>
        </w:rPr>
        <w:t>The U.K. financial market was the largest and best developed in the world before World War One (see Chambers and Dimson, 2009; Hannah, 2007, and Rajan and Zingales, 2003). Within the U.K. the London Stock Exchange: ‘dominated the securities market [but] it by no means monopolized it’ (Michie, 2004, p. 123), since there were 18 provincial exchanges spread across the country. All of these exchanges were linked by telephone at the end of the 19</w:t>
      </w:r>
      <w:r w:rsidRPr="00FE46A1">
        <w:rPr>
          <w:rFonts w:ascii="Times New Roman" w:hAnsi="Times New Roman"/>
          <w:sz w:val="24"/>
          <w:szCs w:val="24"/>
          <w:vertAlign w:val="superscript"/>
        </w:rPr>
        <w:t>th</w:t>
      </w:r>
      <w:r>
        <w:rPr>
          <w:rFonts w:ascii="Times New Roman" w:hAnsi="Times New Roman"/>
          <w:sz w:val="24"/>
          <w:szCs w:val="24"/>
        </w:rPr>
        <w:t xml:space="preserve"> century and orders were quickly transmitted between London and the provinces, although only the London market provided the depth and liquidity for most of the larger securities. Investing was concentrated within a small section of society, with the percentage of the population classed as investors rising from 0.8% in 1870 to 2.2% by 1914 (see Michie, 2004, p. 72).</w:t>
      </w:r>
    </w:p>
    <w:p w:rsidR="005F76F3" w:rsidRPr="00F94F65" w:rsidRDefault="005F76F3" w:rsidP="00F94F65">
      <w:pPr>
        <w:spacing w:line="480" w:lineRule="auto"/>
        <w:jc w:val="both"/>
        <w:rPr>
          <w:rFonts w:ascii="Times New Roman" w:hAnsi="Times New Roman"/>
          <w:i/>
          <w:sz w:val="24"/>
          <w:szCs w:val="24"/>
        </w:rPr>
      </w:pPr>
      <w:r>
        <w:rPr>
          <w:rFonts w:ascii="Times New Roman" w:hAnsi="Times New Roman"/>
          <w:i/>
          <w:sz w:val="24"/>
          <w:szCs w:val="24"/>
        </w:rPr>
        <w:t>2</w:t>
      </w:r>
      <w:r w:rsidRPr="00F94F65">
        <w:rPr>
          <w:rFonts w:ascii="Times New Roman" w:hAnsi="Times New Roman"/>
          <w:i/>
          <w:sz w:val="24"/>
          <w:szCs w:val="24"/>
        </w:rPr>
        <w:t>.1 Investors and IPOs</w:t>
      </w:r>
    </w:p>
    <w:p w:rsidR="005F76F3" w:rsidRDefault="005F76F3" w:rsidP="00E2521C">
      <w:pPr>
        <w:spacing w:line="480" w:lineRule="auto"/>
        <w:ind w:firstLine="720"/>
        <w:jc w:val="both"/>
        <w:rPr>
          <w:rFonts w:ascii="Times New Roman" w:hAnsi="Times New Roman"/>
          <w:sz w:val="24"/>
          <w:szCs w:val="24"/>
        </w:rPr>
      </w:pPr>
      <w:r>
        <w:rPr>
          <w:rFonts w:ascii="Times New Roman" w:hAnsi="Times New Roman"/>
          <w:sz w:val="24"/>
          <w:szCs w:val="24"/>
        </w:rPr>
        <w:t>In the period from 1880 to 1914 there was a boom in British IPOs (see Armstrong, 1990).  Rutterford (2011) explains that the late 19</w:t>
      </w:r>
      <w:r w:rsidRPr="008B64C0">
        <w:rPr>
          <w:rFonts w:ascii="Times New Roman" w:hAnsi="Times New Roman"/>
          <w:sz w:val="24"/>
          <w:szCs w:val="24"/>
          <w:vertAlign w:val="superscript"/>
        </w:rPr>
        <w:t>th</w:t>
      </w:r>
      <w:r>
        <w:rPr>
          <w:rFonts w:ascii="Times New Roman" w:hAnsi="Times New Roman"/>
          <w:sz w:val="24"/>
          <w:szCs w:val="24"/>
        </w:rPr>
        <w:t xml:space="preserve"> century saw a large influx of less wealthy IPO investors as the IPO market became much more approachable in this period (for instance by reducing offer prices from an average of £100 to £10).</w:t>
      </w:r>
      <w:r>
        <w:rPr>
          <w:rStyle w:val="FootnoteReference"/>
          <w:sz w:val="24"/>
          <w:szCs w:val="24"/>
        </w:rPr>
        <w:footnoteReference w:id="5"/>
      </w:r>
      <w:r>
        <w:rPr>
          <w:rFonts w:ascii="Times New Roman" w:hAnsi="Times New Roman"/>
          <w:sz w:val="24"/>
          <w:szCs w:val="24"/>
        </w:rPr>
        <w:t xml:space="preserve"> Although investors in this period received less media coverage of business affairs and had a less formalized economic understanding, they arguably had closer connections with local firms and less complex business models to analyse. There were some professional investors such as stock brokers and investment trusts that were active in applying for IPO shares at this time. Banks and insurance companies did not participate to any great degree in the IPO market.</w:t>
      </w:r>
    </w:p>
    <w:p w:rsidR="005F76F3" w:rsidRDefault="005F76F3" w:rsidP="00F94F65">
      <w:pPr>
        <w:spacing w:line="480" w:lineRule="auto"/>
        <w:ind w:firstLine="720"/>
        <w:jc w:val="both"/>
        <w:rPr>
          <w:rFonts w:ascii="Times New Roman" w:hAnsi="Times New Roman"/>
          <w:sz w:val="24"/>
          <w:szCs w:val="24"/>
        </w:rPr>
      </w:pPr>
      <w:r>
        <w:rPr>
          <w:rFonts w:ascii="Times New Roman" w:hAnsi="Times New Roman"/>
          <w:sz w:val="24"/>
          <w:szCs w:val="24"/>
        </w:rPr>
        <w:t xml:space="preserve">The London Stock Exchange did not restrict the securities traded, even on the exchange floor, but it only reported securities with an Official Quotation in the </w:t>
      </w:r>
      <w:r>
        <w:rPr>
          <w:rFonts w:ascii="Times New Roman" w:hAnsi="Times New Roman"/>
          <w:i/>
          <w:sz w:val="24"/>
          <w:szCs w:val="24"/>
        </w:rPr>
        <w:t>Stock Exchange Daily Official List</w:t>
      </w:r>
      <w:r>
        <w:rPr>
          <w:rFonts w:ascii="Times New Roman" w:hAnsi="Times New Roman"/>
          <w:sz w:val="24"/>
          <w:szCs w:val="24"/>
        </w:rPr>
        <w:t xml:space="preserve"> and disseminated their trades via ticker-tape. An Official Quotation was granted at the discretion of the London Stock Exchange (see Michie, 2004, p. 87). Non-quoted securities, typically smaller and less liquid ones, could be traded in the exchange building under ‘special settlement’, although securities with an Official Quotation were: ‘more attractive to the investing public’ (see Michie p. 87). The London Stock Exchange at the start of our period was heavily concentrated in listing U.K. and foreign government bonds (39.5% of all securities by nominal capital in 1893) and railways (49.4%). However, most of the growth came from increased listing of banks (1.3% in 1893 to 3.1% in 1913), utilities (2.9% to 4.6%), and commercial and industrials (3.5% to 9.6%).</w:t>
      </w:r>
      <w:r>
        <w:rPr>
          <w:rStyle w:val="FootnoteReference"/>
          <w:sz w:val="24"/>
          <w:szCs w:val="24"/>
        </w:rPr>
        <w:footnoteReference w:id="6"/>
      </w:r>
    </w:p>
    <w:p w:rsidR="005F76F3" w:rsidRDefault="005F76F3" w:rsidP="00E2521C">
      <w:pPr>
        <w:spacing w:line="480" w:lineRule="auto"/>
        <w:ind w:firstLine="720"/>
        <w:jc w:val="both"/>
        <w:rPr>
          <w:rFonts w:ascii="Times New Roman" w:hAnsi="Times New Roman"/>
          <w:sz w:val="24"/>
          <w:szCs w:val="24"/>
        </w:rPr>
      </w:pPr>
      <w:r>
        <w:rPr>
          <w:rFonts w:ascii="Times New Roman" w:hAnsi="Times New Roman"/>
          <w:sz w:val="24"/>
          <w:szCs w:val="24"/>
        </w:rPr>
        <w:t>Firms during this time period were undergoing a change from private, often family, ownership into public hands (see Franks, Mayer, Rossi, 2009). This broadening of ownership was often accompanied by the raising of additional capital and listing on London or a provincial exchange, namely an IPO. Although the London market was preeminent within the U.K., newly listing firms often chose a: ‘stock exchange proximate to the company’s head office and main focus of operations’ (Michie, 2004, p. 93, see also Chambers and Dimson, 2009, p. 1438). The London market was very international in flavour, listing both stocks and bonds from all corners of the world, and it: ‘gave an enthusiastic welcome to securities that could only be characterized as involving a high degree of risk’ (Michie p. 138).</w:t>
      </w:r>
    </w:p>
    <w:p w:rsidR="005F76F3" w:rsidRDefault="005F76F3" w:rsidP="00E2521C">
      <w:pPr>
        <w:spacing w:line="480" w:lineRule="auto"/>
        <w:ind w:firstLine="720"/>
        <w:jc w:val="both"/>
        <w:rPr>
          <w:rFonts w:ascii="Times New Roman" w:hAnsi="Times New Roman"/>
          <w:sz w:val="24"/>
          <w:szCs w:val="24"/>
        </w:rPr>
      </w:pPr>
      <w:r>
        <w:rPr>
          <w:rFonts w:ascii="Times New Roman" w:hAnsi="Times New Roman"/>
          <w:sz w:val="24"/>
          <w:szCs w:val="24"/>
        </w:rPr>
        <w:t>IPOs could be organized via merchant (investment) banks, individuals known as company promoters, or simply issued directly by the firm itself with the aid of a lawyer or a stockbroker (see Cheffins p. 198). According to Chambers and Dimson (2009), Lavington (1921),</w:t>
      </w:r>
      <w:bookmarkStart w:id="0" w:name="_GoBack"/>
      <w:bookmarkEnd w:id="0"/>
      <w:r>
        <w:rPr>
          <w:rFonts w:ascii="Times New Roman" w:hAnsi="Times New Roman"/>
          <w:sz w:val="24"/>
          <w:szCs w:val="24"/>
        </w:rPr>
        <w:t xml:space="preserve"> and Rutterford (2011) merchant banks were only occasionally involved in IPOs of large companies before 1914, and we find little evidence of their involvement. The term ‘underwriter’ in the late 19</w:t>
      </w:r>
      <w:r w:rsidRPr="00905525">
        <w:rPr>
          <w:rFonts w:ascii="Times New Roman" w:hAnsi="Times New Roman"/>
          <w:sz w:val="24"/>
          <w:szCs w:val="24"/>
          <w:vertAlign w:val="superscript"/>
        </w:rPr>
        <w:t>th</w:t>
      </w:r>
      <w:r>
        <w:rPr>
          <w:rFonts w:ascii="Times New Roman" w:hAnsi="Times New Roman"/>
          <w:sz w:val="24"/>
          <w:szCs w:val="24"/>
        </w:rPr>
        <w:t xml:space="preserve"> century was commonly used, although it had a slightly different connotation to today. Today, an underwriter is usually involved in an arm’s-length transaction with a firm seeking a stock exchange listing in return for a fixed fee, averaging around 7% of the IPO proceeds. In Victorian Britain the IPO vendors (often the firm’s founding family) would often act as ‘underwriters’ and then serve on the company board post-IPO. For example, McArthur Atkins and Co., Limited, paid a 5% underwriting commission to Messrs. A. McArthur and Co. and Mr Henry Atkins in April 1905. </w:t>
      </w:r>
      <w:r w:rsidRPr="000B3450">
        <w:rPr>
          <w:rFonts w:ascii="Times New Roman" w:hAnsi="Times New Roman"/>
          <w:sz w:val="24"/>
          <w:szCs w:val="24"/>
        </w:rPr>
        <w:t>William Alexander McArthur</w:t>
      </w:r>
      <w:r>
        <w:rPr>
          <w:rFonts w:ascii="Times New Roman" w:hAnsi="Times New Roman"/>
          <w:sz w:val="24"/>
          <w:szCs w:val="24"/>
        </w:rPr>
        <w:t xml:space="preserve">, </w:t>
      </w:r>
      <w:r w:rsidRPr="000B3450">
        <w:rPr>
          <w:rFonts w:ascii="Times New Roman" w:hAnsi="Times New Roman"/>
          <w:sz w:val="24"/>
          <w:szCs w:val="24"/>
        </w:rPr>
        <w:t>George Wigram McArthur</w:t>
      </w:r>
      <w:r>
        <w:rPr>
          <w:rFonts w:ascii="Times New Roman" w:hAnsi="Times New Roman"/>
          <w:sz w:val="24"/>
          <w:szCs w:val="24"/>
        </w:rPr>
        <w:t>, and Henry Atkins then sat on the board after the IPO. We do not consider such arrangements underwriting, since the interests of the firm and the ‘underwriter’ appear to be very closely aligned, there is little laying-off of risk, and consequently principal-agent problems are greatly reduced. In many cases a firm would state that it had engaged an underwriter, but provide no further details. We have classed such transactions as bona-fide underwriting, although some of these are probably not arms-length deals.</w:t>
      </w:r>
    </w:p>
    <w:p w:rsidR="005F76F3" w:rsidRPr="0027045A" w:rsidRDefault="005F76F3" w:rsidP="00E2521C">
      <w:pPr>
        <w:spacing w:line="480" w:lineRule="auto"/>
        <w:ind w:firstLine="720"/>
        <w:jc w:val="both"/>
        <w:rPr>
          <w:rFonts w:ascii="Times New Roman" w:hAnsi="Times New Roman"/>
          <w:sz w:val="24"/>
          <w:szCs w:val="24"/>
        </w:rPr>
      </w:pPr>
      <w:r>
        <w:rPr>
          <w:rFonts w:ascii="Times New Roman" w:hAnsi="Times New Roman"/>
          <w:sz w:val="24"/>
          <w:szCs w:val="24"/>
        </w:rPr>
        <w:t xml:space="preserve"> Prospectuses would appear in newspapers, usually including the </w:t>
      </w:r>
      <w:r w:rsidRPr="005E105F">
        <w:rPr>
          <w:rFonts w:ascii="Times New Roman" w:hAnsi="Times New Roman"/>
          <w:i/>
          <w:sz w:val="24"/>
          <w:szCs w:val="24"/>
        </w:rPr>
        <w:t>Times of London</w:t>
      </w:r>
      <w:r>
        <w:rPr>
          <w:rFonts w:ascii="Times New Roman" w:hAnsi="Times New Roman"/>
          <w:sz w:val="24"/>
          <w:szCs w:val="24"/>
        </w:rPr>
        <w:t xml:space="preserve">, a London daily newspaper, and would also be mailed directly to investors and/or available for perusal at the firm’s bank (see Rutterford, 2011). We only include IPOs in which the prospectus was included in the </w:t>
      </w:r>
      <w:r>
        <w:rPr>
          <w:rFonts w:ascii="Times New Roman" w:hAnsi="Times New Roman"/>
          <w:i/>
          <w:sz w:val="24"/>
          <w:szCs w:val="24"/>
        </w:rPr>
        <w:t>Times Book of Prospectuses</w:t>
      </w:r>
      <w:r>
        <w:rPr>
          <w:rFonts w:ascii="Times New Roman" w:hAnsi="Times New Roman"/>
          <w:sz w:val="24"/>
          <w:szCs w:val="24"/>
        </w:rPr>
        <w:t xml:space="preserve"> (a compendium of prospectuses that had appeared in the </w:t>
      </w:r>
      <w:r w:rsidRPr="000B3450">
        <w:rPr>
          <w:rFonts w:ascii="Times New Roman" w:hAnsi="Times New Roman"/>
          <w:i/>
          <w:sz w:val="24"/>
          <w:szCs w:val="24"/>
        </w:rPr>
        <w:t>Times of London</w:t>
      </w:r>
      <w:r>
        <w:rPr>
          <w:rFonts w:ascii="Times New Roman" w:hAnsi="Times New Roman"/>
          <w:sz w:val="24"/>
          <w:szCs w:val="24"/>
        </w:rPr>
        <w:t xml:space="preserve"> throughout the year). Some IPOs did not appear in this source, for example we have found that the prospectus of Seddon’s Pneumatic Tyre was advertised in </w:t>
      </w:r>
      <w:r w:rsidRPr="0027045A">
        <w:rPr>
          <w:rFonts w:ascii="Times New Roman" w:hAnsi="Times New Roman"/>
          <w:i/>
          <w:sz w:val="24"/>
          <w:szCs w:val="24"/>
        </w:rPr>
        <w:t>Freeman’s Journal</w:t>
      </w:r>
      <w:r>
        <w:rPr>
          <w:rFonts w:ascii="Times New Roman" w:hAnsi="Times New Roman"/>
          <w:sz w:val="24"/>
          <w:szCs w:val="24"/>
        </w:rPr>
        <w:t xml:space="preserve">, a Dublin daily, in 1892 prior to listing on the Dublin exchange. It was not advertised in the </w:t>
      </w:r>
      <w:r>
        <w:rPr>
          <w:rFonts w:ascii="Times New Roman" w:hAnsi="Times New Roman"/>
          <w:i/>
          <w:sz w:val="24"/>
          <w:szCs w:val="24"/>
        </w:rPr>
        <w:t>Times Book of Prospectuses</w:t>
      </w:r>
      <w:r>
        <w:rPr>
          <w:rFonts w:ascii="Times New Roman" w:hAnsi="Times New Roman"/>
          <w:sz w:val="24"/>
          <w:szCs w:val="24"/>
        </w:rPr>
        <w:t xml:space="preserve"> therefore we exclude it from our sample. Therefore our sample will have a slight bias towards London companies, although it must be stressed that many companies from across the United Kingdom and around the world did advertise in the </w:t>
      </w:r>
      <w:r>
        <w:rPr>
          <w:rFonts w:ascii="Times New Roman" w:hAnsi="Times New Roman"/>
          <w:i/>
          <w:sz w:val="24"/>
          <w:szCs w:val="24"/>
        </w:rPr>
        <w:t>Times Book of Prospectuses</w:t>
      </w:r>
      <w:r>
        <w:rPr>
          <w:rFonts w:ascii="Times New Roman" w:hAnsi="Times New Roman"/>
          <w:sz w:val="24"/>
          <w:szCs w:val="24"/>
        </w:rPr>
        <w:t xml:space="preserve"> even if the firm subsequently listed on a provincial exchange.</w:t>
      </w:r>
    </w:p>
    <w:p w:rsidR="005F76F3" w:rsidRDefault="005F76F3" w:rsidP="00E2521C">
      <w:pPr>
        <w:spacing w:line="480" w:lineRule="auto"/>
        <w:ind w:firstLine="720"/>
        <w:jc w:val="both"/>
        <w:rPr>
          <w:rFonts w:ascii="Times New Roman" w:hAnsi="Times New Roman"/>
          <w:sz w:val="24"/>
          <w:szCs w:val="24"/>
        </w:rPr>
      </w:pPr>
      <w:r>
        <w:rPr>
          <w:rFonts w:ascii="Times New Roman" w:hAnsi="Times New Roman"/>
          <w:sz w:val="24"/>
          <w:szCs w:val="24"/>
        </w:rPr>
        <w:t>Company promoters had a mixed reputation at the time, often trading off reputational concerns against the desire to make a quick profit. One of the most infamous promoters, E.T. Hooley, claimed that: ‘I was never one to concern myself with what happened afterwards.’</w:t>
      </w:r>
      <w:r>
        <w:rPr>
          <w:rStyle w:val="FootnoteReference"/>
          <w:sz w:val="24"/>
          <w:szCs w:val="24"/>
        </w:rPr>
        <w:footnoteReference w:id="7"/>
      </w:r>
      <w:r>
        <w:rPr>
          <w:rFonts w:ascii="Times New Roman" w:hAnsi="Times New Roman"/>
          <w:sz w:val="24"/>
          <w:szCs w:val="24"/>
        </w:rPr>
        <w:t xml:space="preserve"> Assistance with organizing an IPO did not usually include underwriting the IPO (see</w:t>
      </w:r>
      <w:r w:rsidRPr="002253E6">
        <w:t xml:space="preserve"> </w:t>
      </w:r>
      <w:r>
        <w:rPr>
          <w:rFonts w:ascii="Times New Roman" w:hAnsi="Times New Roman"/>
          <w:sz w:val="24"/>
          <w:szCs w:val="24"/>
        </w:rPr>
        <w:t xml:space="preserve">Burhop, Chambers, and Cheffins, </w:t>
      </w:r>
      <w:r w:rsidRPr="002253E6">
        <w:rPr>
          <w:rFonts w:ascii="Times New Roman" w:hAnsi="Times New Roman"/>
          <w:sz w:val="24"/>
          <w:szCs w:val="24"/>
        </w:rPr>
        <w:t>2012</w:t>
      </w:r>
      <w:r>
        <w:rPr>
          <w:rFonts w:ascii="Times New Roman" w:hAnsi="Times New Roman"/>
          <w:sz w:val="24"/>
          <w:szCs w:val="24"/>
        </w:rPr>
        <w:t>), and we do not find any instances of ‘firm commitment’ underwriting. The financial press would discuss prospectuses currently circulating, although there was often the suspicion that this coverage had been ‘compromised’ by the companies coming on to market (see Cheffins p. 201). Asymmetric information concerns between promoters and potential shareholders were paramount, and Kennedy (1984) argues that: ‘Victorian company promoters were … ludicrously better informed about the prospects of the ventures they were selling than were the vast majority of potential buyers.’</w:t>
      </w:r>
      <w:r>
        <w:rPr>
          <w:rStyle w:val="FootnoteReference"/>
          <w:sz w:val="24"/>
          <w:szCs w:val="24"/>
        </w:rPr>
        <w:footnoteReference w:id="8"/>
      </w:r>
      <w:r>
        <w:rPr>
          <w:rFonts w:ascii="Times New Roman" w:hAnsi="Times New Roman"/>
          <w:sz w:val="24"/>
          <w:szCs w:val="24"/>
        </w:rPr>
        <w:t xml:space="preserve"> Company promoters would seek to overcome the information asymmetry problem by methods such as portraying personal financial success (see Cheffins p. 208), adding politicians or nobles to the board of directors (see Armstrong, 1990 and Braggion and Moore, 2013), or seeking local investors (see Lavington, 1921; Franks, Mayer and Rossi, 2009; Chambers and Dimson, 2009, and Cheffins p. 211).</w:t>
      </w:r>
    </w:p>
    <w:p w:rsidR="005F76F3" w:rsidRDefault="005F76F3" w:rsidP="00E2521C">
      <w:pPr>
        <w:spacing w:line="480" w:lineRule="auto"/>
        <w:ind w:firstLine="720"/>
        <w:jc w:val="both"/>
        <w:rPr>
          <w:rFonts w:ascii="Times New Roman" w:hAnsi="Times New Roman"/>
          <w:sz w:val="24"/>
          <w:szCs w:val="24"/>
        </w:rPr>
      </w:pPr>
      <w:r>
        <w:rPr>
          <w:rFonts w:ascii="Times New Roman" w:hAnsi="Times New Roman"/>
          <w:sz w:val="24"/>
          <w:szCs w:val="24"/>
        </w:rPr>
        <w:t>Companies were lightly regulated in this period. Auditors were only required for a company’s financial statements after 1900. In 1908 the government insisted for the first time that a firm’s balance sheet be filed publicly (see Cheffins p. 194).</w:t>
      </w:r>
    </w:p>
    <w:p w:rsidR="005F76F3" w:rsidRPr="00E2521C" w:rsidRDefault="005F76F3" w:rsidP="00E2521C">
      <w:pPr>
        <w:spacing w:line="480" w:lineRule="auto"/>
        <w:jc w:val="both"/>
        <w:rPr>
          <w:rFonts w:ascii="Times New Roman" w:hAnsi="Times New Roman"/>
          <w:i/>
          <w:sz w:val="24"/>
          <w:szCs w:val="24"/>
        </w:rPr>
      </w:pPr>
      <w:r>
        <w:rPr>
          <w:rFonts w:ascii="Times New Roman" w:hAnsi="Times New Roman"/>
          <w:i/>
          <w:sz w:val="24"/>
          <w:szCs w:val="24"/>
        </w:rPr>
        <w:t>2</w:t>
      </w:r>
      <w:r w:rsidRPr="00E2521C">
        <w:rPr>
          <w:rFonts w:ascii="Times New Roman" w:hAnsi="Times New Roman"/>
          <w:i/>
          <w:sz w:val="24"/>
          <w:szCs w:val="24"/>
        </w:rPr>
        <w:t>.</w:t>
      </w:r>
      <w:r>
        <w:rPr>
          <w:rFonts w:ascii="Times New Roman" w:hAnsi="Times New Roman"/>
          <w:i/>
          <w:sz w:val="24"/>
          <w:szCs w:val="24"/>
        </w:rPr>
        <w:t>2</w:t>
      </w:r>
      <w:r w:rsidRPr="00E2521C">
        <w:rPr>
          <w:rFonts w:ascii="Times New Roman" w:hAnsi="Times New Roman"/>
          <w:i/>
          <w:sz w:val="24"/>
          <w:szCs w:val="24"/>
        </w:rPr>
        <w:t xml:space="preserve"> </w:t>
      </w:r>
      <w:r>
        <w:rPr>
          <w:rFonts w:ascii="Times New Roman" w:hAnsi="Times New Roman"/>
          <w:i/>
          <w:sz w:val="24"/>
          <w:szCs w:val="24"/>
        </w:rPr>
        <w:t>The allocation p</w:t>
      </w:r>
      <w:r w:rsidRPr="00E2521C">
        <w:rPr>
          <w:rFonts w:ascii="Times New Roman" w:hAnsi="Times New Roman"/>
          <w:i/>
          <w:sz w:val="24"/>
          <w:szCs w:val="24"/>
        </w:rPr>
        <w:t>rocess</w:t>
      </w:r>
    </w:p>
    <w:p w:rsidR="005F76F3" w:rsidRDefault="005F76F3" w:rsidP="00525092">
      <w:pPr>
        <w:spacing w:line="480" w:lineRule="auto"/>
        <w:ind w:firstLine="720"/>
        <w:jc w:val="both"/>
        <w:rPr>
          <w:rFonts w:ascii="Times New Roman" w:hAnsi="Times New Roman"/>
          <w:sz w:val="24"/>
          <w:szCs w:val="24"/>
        </w:rPr>
      </w:pPr>
      <w:r>
        <w:rPr>
          <w:rFonts w:ascii="Times New Roman" w:hAnsi="Times New Roman"/>
          <w:sz w:val="24"/>
          <w:szCs w:val="24"/>
        </w:rPr>
        <w:t xml:space="preserve">Companies were not legally restricted in how they allocated IPO shares, they could and did allocate at their complete discretion. However, companies that wished to list on the London Stock Exchange had to contend with the ‘two-thirds’ rule, which stipulated that the </w:t>
      </w:r>
      <w:r w:rsidRPr="00312322">
        <w:rPr>
          <w:rFonts w:ascii="Times New Roman" w:hAnsi="Times New Roman"/>
          <w:i/>
          <w:sz w:val="24"/>
          <w:szCs w:val="24"/>
        </w:rPr>
        <w:t>vendors</w:t>
      </w:r>
      <w:r>
        <w:rPr>
          <w:rFonts w:ascii="Times New Roman" w:hAnsi="Times New Roman"/>
          <w:sz w:val="24"/>
          <w:szCs w:val="24"/>
        </w:rPr>
        <w:t xml:space="preserve"> (usually the directors of the family firm going public) could retain, at most, one third of the shares offered to the public (see Hannah, 2007a). Two-thirds of the security had to be offered to the general public, the intention being that a large free-float was available to be traded on the exchange. How closely this rule was followed has been debated. Hannah (p. 415) argues that the rule was rigorously followed, and that even shareholders who had received shares via a private placement before the IPO were considered </w:t>
      </w:r>
      <w:r w:rsidRPr="000B267B">
        <w:rPr>
          <w:rFonts w:ascii="Times New Roman" w:hAnsi="Times New Roman"/>
          <w:sz w:val="24"/>
          <w:szCs w:val="24"/>
        </w:rPr>
        <w:t>vendors</w:t>
      </w:r>
      <w:r>
        <w:rPr>
          <w:rFonts w:ascii="Times New Roman" w:hAnsi="Times New Roman"/>
          <w:sz w:val="24"/>
          <w:szCs w:val="24"/>
        </w:rPr>
        <w:t xml:space="preserve">. However, he acknowledges ways around the rule, such as listing first in a foreign market (which the London Stock Exchange’s listing committee considered as sufficient evidence to support a London listing). Another way to avoid the intent of the rule was to create dual classes of shares, such as ordinary and preferred, and issuing two-thirds of the </w:t>
      </w:r>
      <w:r w:rsidRPr="004927C0">
        <w:rPr>
          <w:rFonts w:ascii="Times New Roman" w:hAnsi="Times New Roman"/>
          <w:i/>
          <w:sz w:val="24"/>
          <w:szCs w:val="24"/>
        </w:rPr>
        <w:t>non-voting</w:t>
      </w:r>
      <w:r>
        <w:rPr>
          <w:rFonts w:ascii="Times New Roman" w:hAnsi="Times New Roman"/>
          <w:sz w:val="24"/>
          <w:szCs w:val="24"/>
        </w:rPr>
        <w:t xml:space="preserve"> preference shares to the public via an IPO. Cheffins (2008, p. 226) cites </w:t>
      </w:r>
      <w:r w:rsidRPr="00DD69C5">
        <w:rPr>
          <w:rFonts w:ascii="Times New Roman" w:hAnsi="Times New Roman"/>
          <w:i/>
          <w:sz w:val="24"/>
          <w:szCs w:val="24"/>
        </w:rPr>
        <w:t>The Economist</w:t>
      </w:r>
      <w:r>
        <w:rPr>
          <w:rFonts w:ascii="Times New Roman" w:hAnsi="Times New Roman"/>
          <w:sz w:val="24"/>
          <w:szCs w:val="24"/>
        </w:rPr>
        <w:t xml:space="preserve"> in claiming the ‘two-thirds’ rule was constantly evaded by inventive vendors, often by issuing dual class shares.</w:t>
      </w:r>
      <w:r>
        <w:rPr>
          <w:rStyle w:val="FootnoteReference"/>
          <w:sz w:val="24"/>
          <w:szCs w:val="24"/>
        </w:rPr>
        <w:footnoteReference w:id="9"/>
      </w:r>
      <w:r>
        <w:rPr>
          <w:rFonts w:ascii="Times New Roman" w:hAnsi="Times New Roman"/>
          <w:sz w:val="24"/>
          <w:szCs w:val="24"/>
        </w:rPr>
        <w:t xml:space="preserve"> Provincial stock exchanges were not as rigorous as London, declining to use the ‘two-thirds’ rule, yet they could decline a listing to a firm that was ‘insufficiently in the public hands’ (see Cheffins p. 229). We believe this requirement was not tightly binding on a firm wishing to go public, since many companies explicitly advised in their prospectus that they would follow the letter, but not the spirit, of the rule. For example, General Investors and Trustees, Limited, went public in February 1907. The firm issued 60,000 ordinary shares, of which 20,000 “being the maximum allowed by the Rules of the Stock Exchange” would be taken by the vendors, and subscriptions for 40,000 (i.e. two-thirds) were invited from the public. The public were advised that of these 40,000 “the Directors and their friends have applied for 11,000 Ordinary shares”. Other firms such as Canadian and Empire Investment, New Oil Properties, and Imperial and Foreign, publicly advertised in the prospectus that they would avoid the two-thirds rule in a similar fashion. Firms that went public outside the London Stock Exchange were not bound at all by the two-thirds rule.</w:t>
      </w:r>
    </w:p>
    <w:p w:rsidR="005F76F3" w:rsidRDefault="005F76F3" w:rsidP="00B70CC1">
      <w:pPr>
        <w:spacing w:line="480" w:lineRule="auto"/>
        <w:ind w:firstLine="720"/>
        <w:jc w:val="both"/>
        <w:rPr>
          <w:rFonts w:ascii="Times New Roman" w:hAnsi="Times New Roman"/>
          <w:sz w:val="24"/>
          <w:szCs w:val="24"/>
        </w:rPr>
      </w:pPr>
      <w:r>
        <w:rPr>
          <w:rFonts w:ascii="Times New Roman" w:hAnsi="Times New Roman"/>
          <w:sz w:val="24"/>
          <w:szCs w:val="24"/>
        </w:rPr>
        <w:t xml:space="preserve">For a newly formed company to be provisionally registered, it had to have a minimum of seven </w:t>
      </w:r>
      <w:r w:rsidRPr="00136EA2">
        <w:rPr>
          <w:rFonts w:ascii="Times New Roman" w:hAnsi="Times New Roman"/>
          <w:i/>
          <w:sz w:val="24"/>
          <w:szCs w:val="24"/>
        </w:rPr>
        <w:t>members</w:t>
      </w:r>
      <w:r>
        <w:rPr>
          <w:rFonts w:ascii="Times New Roman" w:hAnsi="Times New Roman"/>
          <w:sz w:val="24"/>
          <w:szCs w:val="24"/>
        </w:rPr>
        <w:t xml:space="preserve"> (shareholders). After provisional registration it was permitted to publish a prospectus with the intention of issuing shares, bonds, or debentures (Companies’ Act of 1888, 19(2)).</w:t>
      </w:r>
      <w:r w:rsidRPr="00CA1694">
        <w:rPr>
          <w:rFonts w:ascii="Times New Roman" w:hAnsi="Times New Roman"/>
          <w:sz w:val="24"/>
          <w:szCs w:val="24"/>
        </w:rPr>
        <w:t xml:space="preserve"> </w:t>
      </w:r>
      <w:r>
        <w:rPr>
          <w:rFonts w:ascii="Times New Roman" w:hAnsi="Times New Roman"/>
          <w:sz w:val="24"/>
          <w:szCs w:val="24"/>
        </w:rPr>
        <w:t xml:space="preserve">U.K. corporate law required prospectuses for firms issuing securities to the public, although the contents thereof were not heavily regulated prior to 1900 (see Cheffins p. 194). Financial data were not required in a prospectus before 1929 (see Cheffins p. 274), although over three quarters of all firms in our sample had a basic level of financial disclosure (usually a couple of years of audited or unaudited profits were reported). Following the Companies’ Act 1892, a prospectus was required to disclose the amount paid by the company for any property currently owned by the vendors. In 1900 firms were required to divulge the compensation to be paid to the company’s </w:t>
      </w:r>
      <w:r w:rsidRPr="000B267B">
        <w:rPr>
          <w:rFonts w:ascii="Times New Roman" w:hAnsi="Times New Roman"/>
          <w:sz w:val="24"/>
          <w:szCs w:val="24"/>
        </w:rPr>
        <w:t>vendors</w:t>
      </w:r>
      <w:r>
        <w:rPr>
          <w:rFonts w:ascii="Times New Roman" w:hAnsi="Times New Roman"/>
          <w:sz w:val="24"/>
          <w:szCs w:val="24"/>
        </w:rPr>
        <w:t xml:space="preserve"> and </w:t>
      </w:r>
      <w:r w:rsidRPr="000B267B">
        <w:rPr>
          <w:rFonts w:ascii="Times New Roman" w:hAnsi="Times New Roman"/>
          <w:sz w:val="24"/>
          <w:szCs w:val="24"/>
        </w:rPr>
        <w:t>promoters</w:t>
      </w:r>
      <w:r>
        <w:rPr>
          <w:rFonts w:ascii="Times New Roman" w:hAnsi="Times New Roman"/>
          <w:sz w:val="24"/>
          <w:szCs w:val="24"/>
        </w:rPr>
        <w:t xml:space="preserve"> as well as the form of underwriting and any contracts that had been entered into between the vendors and the company (see </w:t>
      </w:r>
      <w:r w:rsidRPr="003A6A41">
        <w:rPr>
          <w:rFonts w:ascii="Times New Roman" w:hAnsi="Times New Roman"/>
          <w:i/>
          <w:sz w:val="24"/>
          <w:szCs w:val="24"/>
        </w:rPr>
        <w:t>The Economist</w:t>
      </w:r>
      <w:r>
        <w:rPr>
          <w:rFonts w:ascii="Times New Roman" w:hAnsi="Times New Roman"/>
          <w:sz w:val="24"/>
          <w:szCs w:val="24"/>
        </w:rPr>
        <w:t>, 26</w:t>
      </w:r>
      <w:r w:rsidRPr="003A6A41">
        <w:rPr>
          <w:rFonts w:ascii="Times New Roman" w:hAnsi="Times New Roman"/>
          <w:sz w:val="24"/>
          <w:szCs w:val="24"/>
          <w:vertAlign w:val="superscript"/>
        </w:rPr>
        <w:t>th</w:t>
      </w:r>
      <w:r>
        <w:rPr>
          <w:rFonts w:ascii="Times New Roman" w:hAnsi="Times New Roman"/>
          <w:sz w:val="24"/>
          <w:szCs w:val="24"/>
        </w:rPr>
        <w:t xml:space="preserve"> December 1903, p. 2196). To avoid or reduce the impact of this regulation a company could ‘introduce’ a company to the exchange and then sell off shares to the general public (thereby avoiding a prospectus), alternatively it could provide minimal details of the contracts (such as purely the names of the people party to a contract), or force potential subscribers to visit the firm’s lawyers or head office to inspect the contracts. Armstrong (1990, p. 124) has characterized the work of preparing a prospectus as a: ‘work of </w:t>
      </w:r>
      <w:r w:rsidRPr="00D01C98">
        <w:rPr>
          <w:rFonts w:ascii="Times New Roman" w:hAnsi="Times New Roman"/>
          <w:sz w:val="24"/>
          <w:szCs w:val="24"/>
        </w:rPr>
        <w:t>art [that] often owed more to the novelist than the lawyer</w:t>
      </w:r>
      <w:r>
        <w:rPr>
          <w:rFonts w:ascii="Times New Roman" w:hAnsi="Times New Roman"/>
          <w:sz w:val="24"/>
          <w:szCs w:val="24"/>
        </w:rPr>
        <w:t xml:space="preserve">.’ Disclosure requirements for vendors were further tightened in 1908 (see Companies’ Act of 1908, 81). However, investors were never protected from their own simplicity, with the Greene Commission (1925) ruling that: ‘the careless speculator who </w:t>
      </w:r>
      <w:r w:rsidRPr="008B7E4A">
        <w:rPr>
          <w:rFonts w:ascii="Times New Roman" w:hAnsi="Times New Roman"/>
          <w:sz w:val="24"/>
          <w:szCs w:val="24"/>
        </w:rPr>
        <w:t>is willing to accept at their face value statements w</w:t>
      </w:r>
      <w:r>
        <w:rPr>
          <w:rFonts w:ascii="Times New Roman" w:hAnsi="Times New Roman"/>
          <w:sz w:val="24"/>
          <w:szCs w:val="24"/>
        </w:rPr>
        <w:t xml:space="preserve">hich are obviously insufficient </w:t>
      </w:r>
      <w:r w:rsidRPr="008B7E4A">
        <w:rPr>
          <w:rFonts w:ascii="Times New Roman" w:hAnsi="Times New Roman"/>
          <w:sz w:val="24"/>
          <w:szCs w:val="24"/>
        </w:rPr>
        <w:t>and unsatisfactory cannot justly expe</w:t>
      </w:r>
      <w:r>
        <w:rPr>
          <w:rFonts w:ascii="Times New Roman" w:hAnsi="Times New Roman"/>
          <w:sz w:val="24"/>
          <w:szCs w:val="24"/>
        </w:rPr>
        <w:t>ct special protection.’</w:t>
      </w:r>
      <w:r>
        <w:rPr>
          <w:rStyle w:val="FootnoteReference"/>
          <w:sz w:val="24"/>
          <w:szCs w:val="24"/>
        </w:rPr>
        <w:footnoteReference w:id="10"/>
      </w:r>
      <w:r>
        <w:rPr>
          <w:rFonts w:ascii="Times New Roman" w:hAnsi="Times New Roman"/>
          <w:sz w:val="24"/>
          <w:szCs w:val="24"/>
        </w:rPr>
        <w:t xml:space="preserve"> </w:t>
      </w:r>
    </w:p>
    <w:p w:rsidR="005F76F3" w:rsidRDefault="005F76F3" w:rsidP="00E2521C">
      <w:pPr>
        <w:spacing w:line="480" w:lineRule="auto"/>
        <w:ind w:firstLine="720"/>
        <w:jc w:val="both"/>
        <w:rPr>
          <w:rFonts w:ascii="Times New Roman" w:hAnsi="Times New Roman"/>
          <w:sz w:val="24"/>
          <w:szCs w:val="24"/>
        </w:rPr>
      </w:pPr>
      <w:r>
        <w:rPr>
          <w:rFonts w:ascii="Times New Roman" w:hAnsi="Times New Roman"/>
          <w:sz w:val="24"/>
          <w:szCs w:val="24"/>
        </w:rPr>
        <w:t>Allotments needed to be completed within two months of the issue of the prospectus (Companies’ Act of 1888, 25). Companies were not required to follow pro-rata, or any other, rule for allotting shares to applicants, except that every allottee was required to be sent a list of the names and addresses of all other allottees within seven days of allotment taking place (Companies’ Act of 1888, 26). From 1900 onwards the full allotment list, comprising name, address and occupation of allottee, was required to be filed with the registrar of companies within one month (Companies’ Act of 1900, 7(1)).</w:t>
      </w:r>
    </w:p>
    <w:p w:rsidR="005F76F3" w:rsidRDefault="005F76F3" w:rsidP="00E2521C">
      <w:pPr>
        <w:spacing w:line="480" w:lineRule="auto"/>
        <w:ind w:firstLine="720"/>
        <w:jc w:val="both"/>
        <w:rPr>
          <w:rFonts w:ascii="Times New Roman" w:hAnsi="Times New Roman"/>
          <w:sz w:val="24"/>
          <w:szCs w:val="24"/>
        </w:rPr>
      </w:pPr>
      <w:r>
        <w:rPr>
          <w:rFonts w:ascii="Times New Roman" w:hAnsi="Times New Roman"/>
          <w:sz w:val="24"/>
          <w:szCs w:val="24"/>
        </w:rPr>
        <w:t>If an offering of shares was undersubscribed the vendors were forbidden to proceed to allotment after 1898, to avoid directors: ‘caus[ing] … loss to investors [after] directors have proceeded to allotment on an insufficient subscription of capital’ (Companies’ Acts Amendment Bill of 1898 (Memorandum)).</w:t>
      </w:r>
    </w:p>
    <w:p w:rsidR="005F76F3" w:rsidRDefault="005F76F3" w:rsidP="00382CFB">
      <w:pPr>
        <w:spacing w:line="480" w:lineRule="auto"/>
        <w:jc w:val="both"/>
        <w:rPr>
          <w:rFonts w:ascii="Times New Roman" w:hAnsi="Times New Roman"/>
          <w:i/>
          <w:sz w:val="24"/>
          <w:szCs w:val="24"/>
        </w:rPr>
      </w:pPr>
      <w:r>
        <w:rPr>
          <w:rFonts w:ascii="Times New Roman" w:hAnsi="Times New Roman"/>
          <w:i/>
          <w:sz w:val="24"/>
          <w:szCs w:val="24"/>
        </w:rPr>
        <w:t>2</w:t>
      </w:r>
      <w:r w:rsidRPr="00E2521C">
        <w:rPr>
          <w:rFonts w:ascii="Times New Roman" w:hAnsi="Times New Roman"/>
          <w:i/>
          <w:sz w:val="24"/>
          <w:szCs w:val="24"/>
        </w:rPr>
        <w:t xml:space="preserve">.3 The </w:t>
      </w:r>
      <w:r>
        <w:rPr>
          <w:rFonts w:ascii="Times New Roman" w:hAnsi="Times New Roman"/>
          <w:i/>
          <w:sz w:val="24"/>
          <w:szCs w:val="24"/>
        </w:rPr>
        <w:t>l</w:t>
      </w:r>
      <w:r w:rsidRPr="00E2521C">
        <w:rPr>
          <w:rFonts w:ascii="Times New Roman" w:hAnsi="Times New Roman"/>
          <w:i/>
          <w:sz w:val="24"/>
          <w:szCs w:val="24"/>
        </w:rPr>
        <w:t xml:space="preserve">isting </w:t>
      </w:r>
      <w:r>
        <w:rPr>
          <w:rFonts w:ascii="Times New Roman" w:hAnsi="Times New Roman"/>
          <w:i/>
          <w:sz w:val="24"/>
          <w:szCs w:val="24"/>
        </w:rPr>
        <w:t>p</w:t>
      </w:r>
      <w:r w:rsidRPr="00E2521C">
        <w:rPr>
          <w:rFonts w:ascii="Times New Roman" w:hAnsi="Times New Roman"/>
          <w:i/>
          <w:sz w:val="24"/>
          <w:szCs w:val="24"/>
        </w:rPr>
        <w:t>rocess</w:t>
      </w:r>
    </w:p>
    <w:p w:rsidR="005F76F3" w:rsidRDefault="005F76F3" w:rsidP="00382CFB">
      <w:pPr>
        <w:spacing w:line="480" w:lineRule="auto"/>
        <w:jc w:val="both"/>
        <w:rPr>
          <w:rFonts w:ascii="Times New Roman" w:hAnsi="Times New Roman"/>
          <w:sz w:val="24"/>
          <w:szCs w:val="24"/>
        </w:rPr>
      </w:pPr>
      <w:r>
        <w:rPr>
          <w:rFonts w:ascii="Times New Roman" w:hAnsi="Times New Roman"/>
          <w:sz w:val="24"/>
          <w:szCs w:val="24"/>
        </w:rPr>
        <w:t>To list on a British stock exchange companies had to submit a prospectus, articles of association, the applications for shares, the allotment book, the amount of deposits paid for shares, and certificates from the bankers confirming that deposits had been received.</w:t>
      </w:r>
      <w:r>
        <w:rPr>
          <w:rStyle w:val="FootnoteReference"/>
          <w:sz w:val="24"/>
          <w:szCs w:val="24"/>
        </w:rPr>
        <w:footnoteReference w:id="11"/>
      </w:r>
      <w:r>
        <w:rPr>
          <w:rFonts w:ascii="Times New Roman" w:hAnsi="Times New Roman"/>
          <w:sz w:val="24"/>
          <w:szCs w:val="24"/>
        </w:rPr>
        <w:t xml:space="preserve"> We have not been able to locate any application list for shares in an IPO, and these were never legally required to be filed with the authorities.</w:t>
      </w:r>
    </w:p>
    <w:p w:rsidR="005F76F3" w:rsidRDefault="005F76F3" w:rsidP="00E2521C">
      <w:pPr>
        <w:spacing w:line="480" w:lineRule="auto"/>
        <w:ind w:firstLine="720"/>
        <w:jc w:val="both"/>
        <w:rPr>
          <w:rFonts w:ascii="Times New Roman" w:hAnsi="Times New Roman"/>
          <w:sz w:val="24"/>
          <w:szCs w:val="24"/>
        </w:rPr>
      </w:pPr>
      <w:r>
        <w:rPr>
          <w:rFonts w:ascii="Times New Roman" w:hAnsi="Times New Roman"/>
          <w:sz w:val="24"/>
          <w:szCs w:val="24"/>
        </w:rPr>
        <w:t>The London Stock Exchange was willing to officially quote securities that generated enough trading interest, as long as the companies involved followed fairly basic rules. Around 90% of all applications for an official quotation to the London Stock Exchange for a listing were accepted, the main reason for refusal was too small a size or the absence of demand for trading activity (Michie p. 95-6). The exchange required a company’s articles of association to forbid the firm repurchasing its own shares, to restrict directors’ borrowing powers (after 1895), to require directors to hold a minimum number of shares and publish a balance sheet (after 1902), and finally in 1909 required reporting of annual profits (see Cheffins, 2008, p. 197).</w:t>
      </w:r>
    </w:p>
    <w:p w:rsidR="005F76F3" w:rsidRDefault="005F76F3" w:rsidP="00F94F65">
      <w:pPr>
        <w:spacing w:line="480" w:lineRule="auto"/>
        <w:ind w:firstLine="720"/>
        <w:jc w:val="both"/>
        <w:rPr>
          <w:rFonts w:ascii="Times New Roman" w:hAnsi="Times New Roman"/>
          <w:sz w:val="24"/>
          <w:szCs w:val="24"/>
        </w:rPr>
      </w:pPr>
      <w:r>
        <w:rPr>
          <w:rFonts w:ascii="Times New Roman" w:hAnsi="Times New Roman"/>
          <w:sz w:val="24"/>
          <w:szCs w:val="24"/>
        </w:rPr>
        <w:t>Gibson (1889) p. 37-38 states that the listing committee would decline applications from ‘shady promoters’ but were clear in stating to the public that an official quotation did not: ‘</w:t>
      </w:r>
      <w:r w:rsidRPr="002628DD">
        <w:rPr>
          <w:rFonts w:ascii="Times New Roman" w:hAnsi="Times New Roman"/>
          <w:sz w:val="24"/>
          <w:szCs w:val="24"/>
        </w:rPr>
        <w:t xml:space="preserve">indicate any opinion, personal or official, as to the value of such issues, or their real genuineness or soundness … </w:t>
      </w:r>
      <w:r w:rsidRPr="002628DD">
        <w:rPr>
          <w:rFonts w:ascii="Times New Roman" w:hAnsi="Times New Roman"/>
          <w:i/>
          <w:sz w:val="24"/>
          <w:szCs w:val="24"/>
        </w:rPr>
        <w:t>caveat emptor</w:t>
      </w:r>
      <w:r w:rsidRPr="002628DD">
        <w:rPr>
          <w:rFonts w:ascii="Times New Roman" w:hAnsi="Times New Roman"/>
          <w:sz w:val="24"/>
          <w:szCs w:val="24"/>
        </w:rPr>
        <w:t>.’</w:t>
      </w:r>
      <w:r w:rsidRPr="002628DD">
        <w:rPr>
          <w:rStyle w:val="FootnoteReference"/>
          <w:sz w:val="24"/>
          <w:szCs w:val="24"/>
        </w:rPr>
        <w:footnoteReference w:id="12"/>
      </w:r>
      <w:r w:rsidRPr="002628DD">
        <w:rPr>
          <w:rFonts w:ascii="Times New Roman" w:hAnsi="Times New Roman"/>
          <w:sz w:val="24"/>
          <w:szCs w:val="24"/>
        </w:rPr>
        <w:t xml:space="preserve"> If a company failed to gain an official quotation it could instead be traded in London under ‘special settlement’, and indeed several firms did just that (see </w:t>
      </w:r>
      <w:r>
        <w:rPr>
          <w:rFonts w:ascii="Times New Roman" w:hAnsi="Times New Roman"/>
          <w:sz w:val="24"/>
          <w:szCs w:val="24"/>
        </w:rPr>
        <w:t>Burhop, Chambers, and Cheffins, 2012,</w:t>
      </w:r>
      <w:r w:rsidRPr="002628DD">
        <w:rPr>
          <w:rFonts w:ascii="Times New Roman" w:hAnsi="Times New Roman"/>
          <w:sz w:val="24"/>
          <w:szCs w:val="24"/>
        </w:rPr>
        <w:t xml:space="preserve"> p. 14). Those authors find no instances of special settlement</w:t>
      </w:r>
      <w:r>
        <w:rPr>
          <w:rFonts w:ascii="Times New Roman" w:hAnsi="Times New Roman"/>
          <w:sz w:val="24"/>
          <w:szCs w:val="24"/>
        </w:rPr>
        <w:t xml:space="preserve"> being denied in the early 20</w:t>
      </w:r>
      <w:r w:rsidRPr="002628DD">
        <w:rPr>
          <w:rFonts w:ascii="Times New Roman" w:hAnsi="Times New Roman"/>
          <w:sz w:val="24"/>
          <w:szCs w:val="24"/>
          <w:vertAlign w:val="superscript"/>
        </w:rPr>
        <w:t>th</w:t>
      </w:r>
      <w:r>
        <w:rPr>
          <w:rFonts w:ascii="Times New Roman" w:hAnsi="Times New Roman"/>
          <w:sz w:val="24"/>
          <w:szCs w:val="24"/>
        </w:rPr>
        <w:t xml:space="preserve"> century.</w:t>
      </w:r>
    </w:p>
    <w:p w:rsidR="005F76F3" w:rsidRPr="00B70CC1" w:rsidRDefault="005F76F3" w:rsidP="00E2521C">
      <w:pPr>
        <w:spacing w:line="480" w:lineRule="auto"/>
        <w:jc w:val="both"/>
        <w:rPr>
          <w:rFonts w:ascii="Times New Roman" w:hAnsi="Times New Roman"/>
          <w:sz w:val="24"/>
          <w:szCs w:val="24"/>
        </w:rPr>
      </w:pPr>
      <w:r w:rsidRPr="00B70CC1">
        <w:rPr>
          <w:rFonts w:ascii="Times New Roman" w:hAnsi="Times New Roman"/>
          <w:sz w:val="24"/>
          <w:szCs w:val="24"/>
        </w:rPr>
        <w:t>Listing re</w:t>
      </w:r>
      <w:r>
        <w:rPr>
          <w:rFonts w:ascii="Times New Roman" w:hAnsi="Times New Roman"/>
          <w:sz w:val="24"/>
          <w:szCs w:val="24"/>
        </w:rPr>
        <w:t xml:space="preserve">quirements were not as rigorous on the provincial exchanges, and small companies often chose their local exchange for an IPO. One advantage of examining provincial IPOs is the (sometimes) better availability of price information. Most companies that eventually listed on London were first traded for months or years via special settlement, and the prices for these trades was not recorded anywhere (see Chambers and Dimson p. 411). The absence of an official quotation does not, however, imply that trading was slow or non-existent. For example, Beeston Pneumatic Tyre shares were traded, informally, on the Dublin market prior to an official quotation on that market. </w:t>
      </w:r>
      <w:r w:rsidRPr="00CF7469">
        <w:rPr>
          <w:rFonts w:ascii="Times New Roman" w:hAnsi="Times New Roman"/>
          <w:i/>
          <w:sz w:val="24"/>
          <w:szCs w:val="24"/>
        </w:rPr>
        <w:t>Freeman’s Journal</w:t>
      </w:r>
      <w:r>
        <w:rPr>
          <w:rFonts w:ascii="Times New Roman" w:hAnsi="Times New Roman"/>
          <w:sz w:val="24"/>
          <w:szCs w:val="24"/>
        </w:rPr>
        <w:t xml:space="preserve"> reported on July 1, 1895 that: ‘Beeston Pneumatics, the allotments</w:t>
      </w:r>
      <w:r w:rsidRPr="00B70CC1">
        <w:rPr>
          <w:rFonts w:ascii="Times New Roman" w:hAnsi="Times New Roman"/>
          <w:sz w:val="24"/>
          <w:szCs w:val="24"/>
        </w:rPr>
        <w:t xml:space="preserve"> which were out this morning, were very extensively dealt in.</w:t>
      </w:r>
      <w:r>
        <w:rPr>
          <w:rFonts w:ascii="Times New Roman" w:hAnsi="Times New Roman"/>
          <w:sz w:val="24"/>
          <w:szCs w:val="24"/>
        </w:rPr>
        <w:t>’ Naked short-selling also appears to have been used, with the same article noting: ‘t</w:t>
      </w:r>
      <w:r w:rsidRPr="00CF7469">
        <w:rPr>
          <w:rFonts w:ascii="Times New Roman" w:hAnsi="Times New Roman"/>
          <w:sz w:val="24"/>
          <w:szCs w:val="24"/>
        </w:rPr>
        <w:t xml:space="preserve">his </w:t>
      </w:r>
      <w:r>
        <w:rPr>
          <w:rFonts w:ascii="Times New Roman" w:hAnsi="Times New Roman"/>
          <w:sz w:val="24"/>
          <w:szCs w:val="24"/>
        </w:rPr>
        <w:t xml:space="preserve">[price] </w:t>
      </w:r>
      <w:r w:rsidRPr="00CF7469">
        <w:rPr>
          <w:rFonts w:ascii="Times New Roman" w:hAnsi="Times New Roman"/>
          <w:sz w:val="24"/>
          <w:szCs w:val="24"/>
        </w:rPr>
        <w:t>fall brought in repurchases on the part of those who had speculatively sold at premiums</w:t>
      </w:r>
      <w:r>
        <w:rPr>
          <w:rFonts w:ascii="Times New Roman" w:hAnsi="Times New Roman"/>
          <w:sz w:val="24"/>
          <w:szCs w:val="24"/>
        </w:rPr>
        <w:t>.’ However, with the exception of a handful of companies, we are only able to obtain “first-day” prices as the price at which a company officially entered an exchange. Given the long delays usually required for formal listing, we permit a company twenty-four months grace from the date of the prospectus to date of entry to an official quotation for it to qualify as an IPO.</w:t>
      </w:r>
    </w:p>
    <w:p w:rsidR="005F76F3" w:rsidRDefault="005F76F3" w:rsidP="00E2521C">
      <w:pPr>
        <w:spacing w:line="480" w:lineRule="auto"/>
        <w:jc w:val="both"/>
        <w:rPr>
          <w:rFonts w:ascii="Times New Roman" w:hAnsi="Times New Roman"/>
          <w:b/>
          <w:sz w:val="24"/>
          <w:szCs w:val="24"/>
        </w:rPr>
      </w:pPr>
      <w:r>
        <w:rPr>
          <w:rFonts w:ascii="Times New Roman" w:hAnsi="Times New Roman"/>
          <w:b/>
          <w:sz w:val="24"/>
          <w:szCs w:val="24"/>
        </w:rPr>
        <w:t>3</w:t>
      </w:r>
      <w:r w:rsidRPr="00D61383">
        <w:rPr>
          <w:rFonts w:ascii="Times New Roman" w:hAnsi="Times New Roman"/>
          <w:b/>
          <w:sz w:val="24"/>
          <w:szCs w:val="24"/>
        </w:rPr>
        <w:t>. Data description</w:t>
      </w:r>
    </w:p>
    <w:p w:rsidR="005F76F3" w:rsidRDefault="005F76F3" w:rsidP="00E2521C">
      <w:pPr>
        <w:spacing w:line="480" w:lineRule="auto"/>
        <w:ind w:firstLine="360"/>
        <w:jc w:val="both"/>
        <w:rPr>
          <w:rFonts w:ascii="Times New Roman" w:hAnsi="Times New Roman"/>
          <w:sz w:val="24"/>
          <w:szCs w:val="24"/>
        </w:rPr>
      </w:pPr>
      <w:r>
        <w:rPr>
          <w:rFonts w:ascii="Times New Roman" w:hAnsi="Times New Roman"/>
          <w:sz w:val="24"/>
          <w:szCs w:val="24"/>
        </w:rPr>
        <w:t xml:space="preserve">We examine all prospectuses that appear in </w:t>
      </w:r>
      <w:r w:rsidRPr="00B9605C">
        <w:rPr>
          <w:rFonts w:ascii="Times New Roman" w:hAnsi="Times New Roman"/>
          <w:i/>
          <w:sz w:val="24"/>
          <w:szCs w:val="24"/>
        </w:rPr>
        <w:t>The Times Book of Prospectuses</w:t>
      </w:r>
      <w:r>
        <w:rPr>
          <w:rFonts w:ascii="Times New Roman" w:hAnsi="Times New Roman"/>
          <w:sz w:val="24"/>
          <w:szCs w:val="24"/>
        </w:rPr>
        <w:t xml:space="preserve"> from 1891 until 1911 to locate IPOs. This is the same source used by Chambers and Dimson (2009). We define an IPO as having all of the following characteristics:</w:t>
      </w:r>
    </w:p>
    <w:p w:rsidR="005F76F3" w:rsidRDefault="005F76F3" w:rsidP="00E2521C">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The prospectus offered some ordinary and/or preference shares to the public, possibly in conjunction with a debt issue.</w:t>
      </w:r>
    </w:p>
    <w:p w:rsidR="005F76F3" w:rsidRDefault="005F76F3" w:rsidP="00E2521C">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If the shares offered were preference shares they needed to have voting power in ‘normal’ situations.</w:t>
      </w:r>
      <w:r>
        <w:rPr>
          <w:rStyle w:val="FootnoteReference"/>
          <w:sz w:val="24"/>
          <w:szCs w:val="24"/>
        </w:rPr>
        <w:footnoteReference w:id="13"/>
      </w:r>
    </w:p>
    <w:p w:rsidR="005F76F3" w:rsidRDefault="005F76F3" w:rsidP="00E2521C">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The firm did not, at the time of the prospectus, have any shares listed on a U.K. stock exchange. We find no mention that any of our firms were listed on foreign exchanges at the time of their prospectus either.</w:t>
      </w:r>
    </w:p>
    <w:p w:rsidR="005F76F3" w:rsidRDefault="005F76F3" w:rsidP="00E2521C">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The shares offered in the prospectus were subsequently officially listed on a U.K. stock exchange (an Official Quotation in London, or a provincial exchange) within 2 years of the date of the prospectus.</w:t>
      </w:r>
    </w:p>
    <w:p w:rsidR="005F76F3" w:rsidRPr="00DD22DA" w:rsidRDefault="005F76F3" w:rsidP="00E2521C">
      <w:pPr>
        <w:spacing w:line="480" w:lineRule="auto"/>
        <w:ind w:firstLine="360"/>
        <w:jc w:val="both"/>
        <w:rPr>
          <w:rFonts w:ascii="Times New Roman" w:hAnsi="Times New Roman"/>
          <w:sz w:val="24"/>
          <w:szCs w:val="24"/>
        </w:rPr>
      </w:pPr>
      <w:r>
        <w:rPr>
          <w:rFonts w:ascii="Times New Roman" w:hAnsi="Times New Roman"/>
          <w:sz w:val="24"/>
          <w:szCs w:val="24"/>
        </w:rPr>
        <w:t xml:space="preserve">We use the annual publication the </w:t>
      </w:r>
      <w:r w:rsidRPr="0096228E">
        <w:rPr>
          <w:rFonts w:ascii="Times New Roman" w:hAnsi="Times New Roman"/>
          <w:i/>
          <w:sz w:val="24"/>
          <w:szCs w:val="24"/>
        </w:rPr>
        <w:t>Stock Exchange Official Intelligence</w:t>
      </w:r>
      <w:r>
        <w:rPr>
          <w:rFonts w:ascii="Times New Roman" w:hAnsi="Times New Roman"/>
          <w:sz w:val="24"/>
          <w:szCs w:val="24"/>
        </w:rPr>
        <w:t xml:space="preserve"> (also known as </w:t>
      </w:r>
      <w:r w:rsidRPr="0096228E">
        <w:rPr>
          <w:rFonts w:ascii="Times New Roman" w:hAnsi="Times New Roman"/>
          <w:i/>
          <w:sz w:val="24"/>
          <w:szCs w:val="24"/>
        </w:rPr>
        <w:t>Burdett’s</w:t>
      </w:r>
      <w:r>
        <w:rPr>
          <w:rFonts w:ascii="Times New Roman" w:hAnsi="Times New Roman"/>
          <w:sz w:val="24"/>
          <w:szCs w:val="24"/>
        </w:rPr>
        <w:t xml:space="preserve">) to determine if a firm’s preference shares were voting. The same source reveals if the firm had any ordinary or preference shares outstanding on a U.K. stock exchange. If a firm went public on the London Stock Exchange, we can observe the first day and subsequent prices from the </w:t>
      </w:r>
      <w:r w:rsidRPr="003B7B62">
        <w:rPr>
          <w:rFonts w:ascii="Times New Roman" w:hAnsi="Times New Roman"/>
          <w:i/>
          <w:sz w:val="24"/>
          <w:szCs w:val="24"/>
        </w:rPr>
        <w:t>Stock Exchange Daily Official List</w:t>
      </w:r>
      <w:r>
        <w:rPr>
          <w:rFonts w:ascii="Times New Roman" w:hAnsi="Times New Roman"/>
          <w:sz w:val="24"/>
          <w:szCs w:val="24"/>
        </w:rPr>
        <w:t xml:space="preserve">. Provincial stock exchange official lists do not appear to have survived to the present day, with the exception of the Glasgow list (an important exchange for Scottish industrial firms) from which we also collect prices. We supplement these official lists with newspaper reports of provincial stock exchange activity, using sources such as: </w:t>
      </w:r>
      <w:r>
        <w:rPr>
          <w:rFonts w:ascii="Times New Roman" w:hAnsi="Times New Roman"/>
          <w:i/>
          <w:sz w:val="24"/>
          <w:szCs w:val="24"/>
        </w:rPr>
        <w:t xml:space="preserve">Freeman’s Journal, </w:t>
      </w:r>
      <w:r w:rsidRPr="00CF7469">
        <w:rPr>
          <w:rFonts w:ascii="Times New Roman" w:hAnsi="Times New Roman"/>
          <w:i/>
          <w:sz w:val="24"/>
          <w:szCs w:val="24"/>
        </w:rPr>
        <w:t>Manchester Courier a</w:t>
      </w:r>
      <w:r>
        <w:rPr>
          <w:rFonts w:ascii="Times New Roman" w:hAnsi="Times New Roman"/>
          <w:i/>
          <w:sz w:val="24"/>
          <w:szCs w:val="24"/>
        </w:rPr>
        <w:t xml:space="preserve">nd Lancashire General Advertiser, Liverpool Mercury, Bristol Mercury, Leeds Mercury, </w:t>
      </w:r>
      <w:r>
        <w:rPr>
          <w:rFonts w:ascii="Times New Roman" w:hAnsi="Times New Roman"/>
          <w:sz w:val="24"/>
          <w:szCs w:val="24"/>
        </w:rPr>
        <w:t xml:space="preserve">and </w:t>
      </w:r>
      <w:r>
        <w:rPr>
          <w:rFonts w:ascii="Times New Roman" w:hAnsi="Times New Roman"/>
          <w:i/>
          <w:sz w:val="24"/>
          <w:szCs w:val="24"/>
        </w:rPr>
        <w:t>Newcastle Courant</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Therefore we observe all U.K. IPOs (using the </w:t>
      </w:r>
      <w:r w:rsidRPr="0096228E">
        <w:rPr>
          <w:rFonts w:ascii="Times New Roman" w:hAnsi="Times New Roman"/>
          <w:i/>
          <w:sz w:val="24"/>
          <w:szCs w:val="24"/>
        </w:rPr>
        <w:t>Stock Exchange Official Intelligence</w:t>
      </w:r>
      <w:r>
        <w:rPr>
          <w:rFonts w:ascii="Times New Roman" w:hAnsi="Times New Roman"/>
          <w:sz w:val="24"/>
          <w:szCs w:val="24"/>
        </w:rPr>
        <w:t>), we can calculate first day returns for all IPOs that took place in London or Glasgow, and we can calculate first day returns for most (but not all) other U.K. IPOs (depending on the availability of historical newspapers).</w:t>
      </w:r>
    </w:p>
    <w:p w:rsidR="005F76F3" w:rsidRDefault="005F76F3" w:rsidP="00E2521C">
      <w:pPr>
        <w:spacing w:line="480" w:lineRule="auto"/>
        <w:ind w:firstLine="360"/>
        <w:jc w:val="both"/>
        <w:rPr>
          <w:rFonts w:ascii="Times New Roman" w:hAnsi="Times New Roman"/>
          <w:sz w:val="24"/>
          <w:szCs w:val="24"/>
        </w:rPr>
      </w:pPr>
      <w:r>
        <w:rPr>
          <w:rFonts w:ascii="Times New Roman" w:hAnsi="Times New Roman"/>
          <w:sz w:val="24"/>
          <w:szCs w:val="24"/>
        </w:rPr>
        <w:t>This classification of an IPO is fairly uncontroversial, with the possible exception of (4). We have excluded firms which traded in London via special settlement (styled a ‘junior market’ by</w:t>
      </w:r>
      <w:r w:rsidRPr="002628DD">
        <w:t xml:space="preserve"> </w:t>
      </w:r>
      <w:r w:rsidRPr="002628DD">
        <w:rPr>
          <w:rFonts w:ascii="Times New Roman" w:hAnsi="Times New Roman"/>
          <w:sz w:val="24"/>
          <w:szCs w:val="24"/>
        </w:rPr>
        <w:t>Burhop, Cha</w:t>
      </w:r>
      <w:r>
        <w:rPr>
          <w:rFonts w:ascii="Times New Roman" w:hAnsi="Times New Roman"/>
          <w:sz w:val="24"/>
          <w:szCs w:val="24"/>
        </w:rPr>
        <w:t>mbers, and Cheffins), mainly due to the non-reporting of prices for these issues pre-1915. A fair proportion of these securities eventually graduated to the Official List, albeit not within two years of the prospectus. Firms did not, and could not, claim that their securities would be officially quoted on the London Stock Exchange soon after the IPO. Instead many firms would indicate that listing would be soon sought. For example, the Amazon Telegraph Company stated in their 1895 prospectus that, ‘a Stock Exchange application will be applied for in due course’, and the Castner-Kellner Alkali Company were more explicit in 1895 in stating that ‘application in due course will be made to the [London] Stock Exchange for a [special] settlement and [official] quotation of the Company’s Shares.’</w:t>
      </w:r>
    </w:p>
    <w:p w:rsidR="005F76F3" w:rsidRPr="00E2463A" w:rsidRDefault="005F76F3" w:rsidP="00E2463A">
      <w:pPr>
        <w:spacing w:line="480" w:lineRule="auto"/>
        <w:jc w:val="both"/>
        <w:rPr>
          <w:rFonts w:ascii="Times New Roman" w:hAnsi="Times New Roman"/>
          <w:i/>
          <w:sz w:val="24"/>
          <w:szCs w:val="24"/>
        </w:rPr>
      </w:pPr>
      <w:r>
        <w:rPr>
          <w:rFonts w:ascii="Times New Roman" w:hAnsi="Times New Roman"/>
          <w:i/>
          <w:sz w:val="24"/>
          <w:szCs w:val="24"/>
        </w:rPr>
        <w:t>3</w:t>
      </w:r>
      <w:r w:rsidRPr="00E2463A">
        <w:rPr>
          <w:rFonts w:ascii="Times New Roman" w:hAnsi="Times New Roman"/>
          <w:i/>
          <w:sz w:val="24"/>
          <w:szCs w:val="24"/>
        </w:rPr>
        <w:t>.1 IPO allocations</w:t>
      </w:r>
    </w:p>
    <w:p w:rsidR="005F76F3" w:rsidRDefault="005F76F3" w:rsidP="00596830">
      <w:pPr>
        <w:spacing w:line="480" w:lineRule="auto"/>
        <w:ind w:firstLine="360"/>
        <w:jc w:val="both"/>
        <w:rPr>
          <w:rFonts w:ascii="Times New Roman" w:hAnsi="Times New Roman"/>
          <w:sz w:val="24"/>
          <w:szCs w:val="24"/>
        </w:rPr>
      </w:pPr>
      <w:r>
        <w:rPr>
          <w:rFonts w:ascii="Times New Roman" w:hAnsi="Times New Roman"/>
          <w:sz w:val="24"/>
          <w:szCs w:val="24"/>
        </w:rPr>
        <w:t xml:space="preserve">From </w:t>
      </w:r>
      <w:r w:rsidRPr="00B9605C">
        <w:rPr>
          <w:rFonts w:ascii="Times New Roman" w:hAnsi="Times New Roman"/>
          <w:i/>
          <w:sz w:val="24"/>
          <w:szCs w:val="24"/>
        </w:rPr>
        <w:t>The Times Book of Prospectuses</w:t>
      </w:r>
      <w:r>
        <w:rPr>
          <w:rFonts w:ascii="Times New Roman" w:hAnsi="Times New Roman"/>
          <w:sz w:val="24"/>
          <w:szCs w:val="24"/>
        </w:rPr>
        <w:t xml:space="preserve"> we extract IPO specific data on the price and number of shares offered to the public, the number of shares kept by the vendors, the firm’s historical profits (if stated), the industry of the firm, the names of the directors, the bank(s) associated with the IPO, the auditor, the geographical location of the firm’s main office and the main place of operations (for example, a firm could be headquartered in London and operate elsewhere), if any contracts had been entered into between the vendors/directors and the company, and if the desire for a Stock Exchange Official Quotation was mentioned.</w:t>
      </w:r>
    </w:p>
    <w:p w:rsidR="005F76F3" w:rsidRDefault="005F76F3" w:rsidP="00E2521C">
      <w:pPr>
        <w:spacing w:line="480" w:lineRule="auto"/>
        <w:ind w:firstLine="360"/>
        <w:jc w:val="both"/>
        <w:rPr>
          <w:rFonts w:ascii="Times New Roman" w:hAnsi="Times New Roman"/>
          <w:sz w:val="24"/>
          <w:szCs w:val="24"/>
        </w:rPr>
      </w:pPr>
      <w:r>
        <w:rPr>
          <w:rFonts w:ascii="Times New Roman" w:hAnsi="Times New Roman"/>
          <w:sz w:val="24"/>
          <w:szCs w:val="24"/>
        </w:rPr>
        <w:t>Firms that went public after passage of the Companies’ Act of 1900 were required to file an allotment list with the registrar (now Companies House) with the names, addresses, and occupations of allottees. The records of firms which are now ‘dead’ are not retained at Companies House but may have been sent to the National Archives. Shareholders’ lists, also known as Form Es, were required to be filed annually and are stored in The National Archives, allotment lists do not appear to have been retained at the archives. The shareholders’ lists contain the names, addresses, occupations and number of shares held, at the time of the meeting, as well as details of shares sold (but not bought). Some of these shareholders’ lists do report the names of the shareholders who bought shares (as well as those who sold them), therefore we can perfectly reverse engineer an allotment list. For the remaining firms we can quasi-reverse engineer the allotment list, by ‘adding back’ the shares sold since allotment, however we do not observe who had bought shares after the IPO so we cannot ‘subtract off’ post-IPO purchases. Although this introduces a measurement error, the low liquidity of these shares (roughly 5% of all shares were traded in between the allotment list and the first shareholders’ list) alleviates the problem. For all IPOs we identify the shares retained by the vendor and those allocated to the public. In order of priority, we collect allocation data from:</w:t>
      </w:r>
    </w:p>
    <w:p w:rsidR="005F76F3" w:rsidRDefault="005F76F3" w:rsidP="00E2521C">
      <w:pPr>
        <w:pStyle w:val="ListParagraph"/>
        <w:numPr>
          <w:ilvl w:val="0"/>
          <w:numId w:val="22"/>
        </w:numPr>
        <w:spacing w:line="480" w:lineRule="auto"/>
        <w:jc w:val="both"/>
        <w:rPr>
          <w:rFonts w:ascii="Times New Roman" w:hAnsi="Times New Roman"/>
          <w:sz w:val="24"/>
          <w:szCs w:val="24"/>
        </w:rPr>
      </w:pPr>
      <w:r>
        <w:rPr>
          <w:rFonts w:ascii="Times New Roman" w:hAnsi="Times New Roman"/>
          <w:sz w:val="24"/>
          <w:szCs w:val="24"/>
        </w:rPr>
        <w:t>Allotment lists at Companies House,</w:t>
      </w:r>
    </w:p>
    <w:p w:rsidR="005F76F3" w:rsidRDefault="005F76F3" w:rsidP="00E2521C">
      <w:pPr>
        <w:pStyle w:val="ListParagraph"/>
        <w:numPr>
          <w:ilvl w:val="0"/>
          <w:numId w:val="22"/>
        </w:numPr>
        <w:spacing w:line="480" w:lineRule="auto"/>
        <w:jc w:val="both"/>
        <w:rPr>
          <w:rFonts w:ascii="Times New Roman" w:hAnsi="Times New Roman"/>
          <w:sz w:val="24"/>
          <w:szCs w:val="24"/>
        </w:rPr>
      </w:pPr>
      <w:r>
        <w:rPr>
          <w:rFonts w:ascii="Times New Roman" w:hAnsi="Times New Roman"/>
          <w:sz w:val="24"/>
          <w:szCs w:val="24"/>
        </w:rPr>
        <w:t>Shareholder lists at the first annual general meeting following allotment, when details of both buyers and sellers of shares since allotment are available,</w:t>
      </w:r>
    </w:p>
    <w:p w:rsidR="005F76F3" w:rsidRPr="00F05323" w:rsidRDefault="005F76F3" w:rsidP="00E2521C">
      <w:pPr>
        <w:pStyle w:val="ListParagraph"/>
        <w:numPr>
          <w:ilvl w:val="0"/>
          <w:numId w:val="22"/>
        </w:numPr>
        <w:spacing w:line="480" w:lineRule="auto"/>
        <w:jc w:val="both"/>
        <w:rPr>
          <w:rFonts w:ascii="Times New Roman" w:hAnsi="Times New Roman"/>
          <w:sz w:val="24"/>
          <w:szCs w:val="24"/>
        </w:rPr>
      </w:pPr>
      <w:r>
        <w:rPr>
          <w:rFonts w:ascii="Times New Roman" w:hAnsi="Times New Roman"/>
          <w:sz w:val="24"/>
          <w:szCs w:val="24"/>
        </w:rPr>
        <w:t>Shareholder lists at the first annual general meeting following allotment, when only details of the sellers of shares after the IPO are available.</w:t>
      </w:r>
    </w:p>
    <w:p w:rsidR="005F76F3" w:rsidRDefault="005F76F3" w:rsidP="00E2521C">
      <w:pPr>
        <w:spacing w:line="480" w:lineRule="auto"/>
        <w:ind w:firstLine="360"/>
        <w:jc w:val="both"/>
        <w:rPr>
          <w:rFonts w:ascii="Times New Roman" w:hAnsi="Times New Roman"/>
          <w:sz w:val="24"/>
          <w:szCs w:val="24"/>
        </w:rPr>
      </w:pPr>
      <w:r>
        <w:rPr>
          <w:rFonts w:ascii="Times New Roman" w:hAnsi="Times New Roman"/>
          <w:sz w:val="24"/>
          <w:szCs w:val="24"/>
        </w:rPr>
        <w:t>We are unable to recover the allotment or shareholder lists for all firms. Pre-1900 IPO firms were not required to file an allotment list, and Companies House does not continue (in general) to hold the records for ‘dead’ companies. The National Archives, due to space constraints, destroyed many shareholder lists in the 1950s. We are able to recover allotment/shareholder lists for roughly half of all IPO firms. We have been able to recover some shareholder lists from provincial U.K. archives as well as a handful of corporate archives.</w:t>
      </w:r>
    </w:p>
    <w:p w:rsidR="005F76F3" w:rsidRPr="00E2463A" w:rsidRDefault="005F76F3" w:rsidP="006312CF">
      <w:pPr>
        <w:spacing w:line="480" w:lineRule="auto"/>
        <w:jc w:val="both"/>
        <w:rPr>
          <w:rFonts w:ascii="Times New Roman" w:hAnsi="Times New Roman"/>
          <w:i/>
          <w:sz w:val="24"/>
          <w:szCs w:val="24"/>
        </w:rPr>
      </w:pPr>
      <w:r>
        <w:rPr>
          <w:rFonts w:ascii="Times New Roman" w:hAnsi="Times New Roman"/>
          <w:i/>
          <w:sz w:val="24"/>
          <w:szCs w:val="24"/>
        </w:rPr>
        <w:t>3</w:t>
      </w:r>
      <w:r w:rsidRPr="00E2463A">
        <w:rPr>
          <w:rFonts w:ascii="Times New Roman" w:hAnsi="Times New Roman"/>
          <w:i/>
          <w:sz w:val="24"/>
          <w:szCs w:val="24"/>
        </w:rPr>
        <w:t>.1</w:t>
      </w:r>
      <w:r>
        <w:rPr>
          <w:rFonts w:ascii="Times New Roman" w:hAnsi="Times New Roman"/>
          <w:i/>
          <w:sz w:val="24"/>
          <w:szCs w:val="24"/>
        </w:rPr>
        <w:t>.1</w:t>
      </w:r>
      <w:r w:rsidRPr="00E2463A">
        <w:rPr>
          <w:rFonts w:ascii="Times New Roman" w:hAnsi="Times New Roman"/>
          <w:i/>
          <w:sz w:val="24"/>
          <w:szCs w:val="24"/>
        </w:rPr>
        <w:t xml:space="preserve"> </w:t>
      </w:r>
      <w:r>
        <w:rPr>
          <w:rFonts w:ascii="Times New Roman" w:hAnsi="Times New Roman"/>
          <w:i/>
          <w:sz w:val="24"/>
          <w:szCs w:val="24"/>
        </w:rPr>
        <w:t>Geographical classification</w:t>
      </w:r>
    </w:p>
    <w:p w:rsidR="005F76F3" w:rsidRDefault="005F76F3" w:rsidP="00E2521C">
      <w:pPr>
        <w:spacing w:line="480" w:lineRule="auto"/>
        <w:jc w:val="both"/>
        <w:rPr>
          <w:rFonts w:ascii="Times New Roman" w:hAnsi="Times New Roman"/>
          <w:sz w:val="24"/>
          <w:szCs w:val="24"/>
        </w:rPr>
      </w:pPr>
      <w:r>
        <w:rPr>
          <w:rFonts w:ascii="Times New Roman" w:hAnsi="Times New Roman"/>
          <w:sz w:val="24"/>
          <w:szCs w:val="24"/>
        </w:rPr>
        <w:t>We classify a shareholder’s and a firm’s geographical location as follows:</w:t>
      </w:r>
    </w:p>
    <w:p w:rsidR="005F76F3" w:rsidRDefault="005F76F3" w:rsidP="00E2521C">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If located outside the U.K. we report the country of residence (e.g., Egypt).</w:t>
      </w:r>
    </w:p>
    <w:p w:rsidR="005F76F3" w:rsidRDefault="005F76F3" w:rsidP="00E2521C">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If located outside a large city (fewer than 100,000 people at the 1911 census) we report the county of residence (e.g., Sussex).</w:t>
      </w:r>
    </w:p>
    <w:p w:rsidR="005F76F3" w:rsidRDefault="005F76F3" w:rsidP="00E2521C">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If located in a large provincial city we report the name of the city (e.g., Glasgow).</w:t>
      </w:r>
    </w:p>
    <w:p w:rsidR="005F76F3" w:rsidRDefault="005F76F3" w:rsidP="00E2521C">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If located in London we report the London postal district of the shareholder (N, NW, SW, SE, W, WC, E or</w:t>
      </w:r>
      <w:r w:rsidRPr="00C36E3D">
        <w:rPr>
          <w:rFonts w:ascii="Times New Roman" w:hAnsi="Times New Roman"/>
          <w:sz w:val="24"/>
          <w:szCs w:val="24"/>
        </w:rPr>
        <w:t xml:space="preserve"> EC</w:t>
      </w:r>
      <w:r>
        <w:rPr>
          <w:rFonts w:ascii="Times New Roman" w:hAnsi="Times New Roman"/>
          <w:sz w:val="24"/>
          <w:szCs w:val="24"/>
        </w:rPr>
        <w:t>).</w:t>
      </w:r>
    </w:p>
    <w:p w:rsidR="005F76F3" w:rsidRPr="00E2463A" w:rsidRDefault="005F76F3" w:rsidP="004B0E3E">
      <w:pPr>
        <w:spacing w:line="480" w:lineRule="auto"/>
        <w:jc w:val="both"/>
        <w:rPr>
          <w:rFonts w:ascii="Times New Roman" w:hAnsi="Times New Roman"/>
          <w:i/>
          <w:sz w:val="24"/>
          <w:szCs w:val="24"/>
        </w:rPr>
      </w:pPr>
      <w:r>
        <w:rPr>
          <w:rFonts w:ascii="Times New Roman" w:hAnsi="Times New Roman"/>
          <w:i/>
          <w:sz w:val="24"/>
          <w:szCs w:val="24"/>
        </w:rPr>
        <w:t>3</w:t>
      </w:r>
      <w:r w:rsidRPr="00E2463A">
        <w:rPr>
          <w:rFonts w:ascii="Times New Roman" w:hAnsi="Times New Roman"/>
          <w:i/>
          <w:sz w:val="24"/>
          <w:szCs w:val="24"/>
        </w:rPr>
        <w:t>.1</w:t>
      </w:r>
      <w:r>
        <w:rPr>
          <w:rFonts w:ascii="Times New Roman" w:hAnsi="Times New Roman"/>
          <w:i/>
          <w:sz w:val="24"/>
          <w:szCs w:val="24"/>
        </w:rPr>
        <w:t>.2</w:t>
      </w:r>
      <w:r w:rsidRPr="00E2463A">
        <w:rPr>
          <w:rFonts w:ascii="Times New Roman" w:hAnsi="Times New Roman"/>
          <w:i/>
          <w:sz w:val="24"/>
          <w:szCs w:val="24"/>
        </w:rPr>
        <w:t xml:space="preserve"> </w:t>
      </w:r>
      <w:r>
        <w:rPr>
          <w:rFonts w:ascii="Times New Roman" w:hAnsi="Times New Roman"/>
          <w:i/>
          <w:sz w:val="24"/>
          <w:szCs w:val="24"/>
        </w:rPr>
        <w:t>Occupational classification</w:t>
      </w:r>
    </w:p>
    <w:p w:rsidR="005F76F3" w:rsidRDefault="005F76F3" w:rsidP="003C2681">
      <w:pPr>
        <w:spacing w:line="480" w:lineRule="auto"/>
        <w:ind w:firstLine="360"/>
        <w:jc w:val="both"/>
        <w:rPr>
          <w:rFonts w:ascii="Times New Roman" w:hAnsi="Times New Roman"/>
          <w:sz w:val="24"/>
          <w:szCs w:val="24"/>
        </w:rPr>
      </w:pPr>
      <w:r>
        <w:rPr>
          <w:rFonts w:ascii="Times New Roman" w:hAnsi="Times New Roman"/>
          <w:sz w:val="24"/>
          <w:szCs w:val="24"/>
        </w:rPr>
        <w:t xml:space="preserve">We use the self-reported occupation of a shareholder that appears in the firm’s allotment or shareholder’s list. Not all shareholders reported occupations, and many used non-specific terms such as “gentleman” or “esquire”. We classify a shareholder’s occupation according to the scheme used by Woollard (1999) for the 1881 Census of England and Wales. To define who </w:t>
      </w:r>
      <w:r w:rsidRPr="00CC7DB9">
        <w:rPr>
          <w:rFonts w:ascii="Times New Roman" w:hAnsi="Times New Roman"/>
          <w:i/>
          <w:sz w:val="24"/>
          <w:szCs w:val="24"/>
        </w:rPr>
        <w:t>may</w:t>
      </w:r>
      <w:r>
        <w:rPr>
          <w:rFonts w:ascii="Times New Roman" w:hAnsi="Times New Roman"/>
          <w:sz w:val="24"/>
          <w:szCs w:val="24"/>
        </w:rPr>
        <w:t xml:space="preserve"> be occupationally informed for a particular IPO we first read the prospectus to identify the type of activities the firm participates in</w:t>
      </w:r>
      <w:r w:rsidRPr="00FD44EE">
        <w:rPr>
          <w:rFonts w:ascii="Times New Roman" w:hAnsi="Times New Roman"/>
          <w:sz w:val="24"/>
          <w:szCs w:val="24"/>
        </w:rPr>
        <w:t xml:space="preserve">. </w:t>
      </w:r>
      <w:r>
        <w:rPr>
          <w:rFonts w:ascii="Times New Roman" w:hAnsi="Times New Roman"/>
          <w:sz w:val="24"/>
          <w:szCs w:val="24"/>
        </w:rPr>
        <w:t>For example, Magadi Soda, which issued shares in January 1911 operated a soda mine and accompanying railway in Kenya (then British East Africa) under a 99 year lease from the Colonial Office (a branch of the British government). The firm mentions that its product is used in: “numerous industries, as, for instance, by Soap, Glass, and Paper Makers, and by Textile Manufacturers for Printing, Bleaching, and Dyeing.” We choose to define occupation codes 1.1 (which includes civil service officers and clerks), 3.6 (civil and mining engineers and surveyors), 6.1 (railway officials and clerks), 15.1 (dyeing manufacturers), and 18.6 (textile bleachers, printers and dyers). The classification is necessarily subjective, and the classifications used are available from the authors upon request.</w:t>
      </w:r>
    </w:p>
    <w:p w:rsidR="005F76F3" w:rsidRDefault="005F76F3" w:rsidP="008E6D01">
      <w:pPr>
        <w:spacing w:line="480" w:lineRule="auto"/>
        <w:jc w:val="both"/>
        <w:rPr>
          <w:rFonts w:ascii="Times New Roman" w:hAnsi="Times New Roman"/>
          <w:i/>
          <w:sz w:val="24"/>
          <w:szCs w:val="24"/>
        </w:rPr>
      </w:pPr>
      <w:r>
        <w:rPr>
          <w:rFonts w:ascii="Times New Roman" w:hAnsi="Times New Roman"/>
          <w:i/>
          <w:sz w:val="24"/>
          <w:szCs w:val="24"/>
        </w:rPr>
        <w:t>3.2</w:t>
      </w:r>
      <w:r w:rsidRPr="00FB63F0">
        <w:rPr>
          <w:rFonts w:ascii="Times New Roman" w:hAnsi="Times New Roman"/>
          <w:i/>
          <w:sz w:val="24"/>
          <w:szCs w:val="24"/>
        </w:rPr>
        <w:t xml:space="preserve"> Variables</w:t>
      </w:r>
    </w:p>
    <w:p w:rsidR="005F76F3" w:rsidRPr="00FD44EE" w:rsidRDefault="005F76F3" w:rsidP="008751D1">
      <w:pPr>
        <w:spacing w:line="480" w:lineRule="auto"/>
        <w:ind w:firstLine="720"/>
        <w:jc w:val="both"/>
        <w:rPr>
          <w:rFonts w:ascii="Times New Roman" w:hAnsi="Times New Roman"/>
          <w:color w:val="000000"/>
          <w:sz w:val="24"/>
          <w:szCs w:val="24"/>
          <w:lang w:eastAsia="en-AU"/>
        </w:rPr>
      </w:pPr>
      <w:r w:rsidRPr="00FD44EE">
        <w:rPr>
          <w:rFonts w:ascii="Times New Roman" w:hAnsi="Times New Roman"/>
          <w:i/>
          <w:sz w:val="24"/>
          <w:szCs w:val="24"/>
        </w:rPr>
        <w:t>RETURN</w:t>
      </w:r>
      <w:r>
        <w:rPr>
          <w:rFonts w:ascii="Times New Roman" w:hAnsi="Times New Roman"/>
          <w:i/>
          <w:sz w:val="24"/>
          <w:szCs w:val="24"/>
        </w:rPr>
        <w:t xml:space="preserve"> </w:t>
      </w:r>
      <w:r>
        <w:rPr>
          <w:rFonts w:ascii="Times New Roman" w:hAnsi="Times New Roman"/>
          <w:sz w:val="24"/>
          <w:szCs w:val="24"/>
        </w:rPr>
        <w:t>(first day underpricing)</w:t>
      </w:r>
      <w:r w:rsidRPr="00FD44EE">
        <w:rPr>
          <w:rFonts w:ascii="Times New Roman" w:hAnsi="Times New Roman"/>
          <w:sz w:val="24"/>
          <w:szCs w:val="24"/>
        </w:rPr>
        <w:t xml:space="preserve"> is calculated as the percentage change from the IPO offer price to the first day closing price</w:t>
      </w:r>
      <w:r>
        <w:rPr>
          <w:rFonts w:ascii="Times New Roman" w:hAnsi="Times New Roman"/>
          <w:sz w:val="24"/>
          <w:szCs w:val="24"/>
        </w:rPr>
        <w:t>, which may be up to 24 months post-prospectus</w:t>
      </w:r>
      <w:r w:rsidRPr="00FD44EE">
        <w:rPr>
          <w:rFonts w:ascii="Times New Roman" w:hAnsi="Times New Roman"/>
          <w:sz w:val="24"/>
          <w:szCs w:val="24"/>
        </w:rPr>
        <w:t>.</w:t>
      </w:r>
      <w:r>
        <w:rPr>
          <w:rFonts w:ascii="Times New Roman" w:hAnsi="Times New Roman"/>
          <w:sz w:val="24"/>
          <w:szCs w:val="24"/>
        </w:rPr>
        <w:t xml:space="preserve"> We define</w:t>
      </w:r>
      <w:r w:rsidRPr="00FD44EE">
        <w:rPr>
          <w:rFonts w:ascii="Times New Roman" w:hAnsi="Times New Roman"/>
          <w:sz w:val="24"/>
          <w:szCs w:val="24"/>
        </w:rPr>
        <w:t xml:space="preserve"> </w:t>
      </w:r>
      <w:r w:rsidRPr="00FD44EE">
        <w:rPr>
          <w:rFonts w:ascii="Times New Roman" w:hAnsi="Times New Roman"/>
          <w:i/>
          <w:sz w:val="24"/>
          <w:szCs w:val="24"/>
        </w:rPr>
        <w:t>OCCUPATION</w:t>
      </w:r>
      <w:r w:rsidRPr="00FD44EE">
        <w:rPr>
          <w:rFonts w:ascii="Times New Roman" w:hAnsi="Times New Roman"/>
          <w:sz w:val="24"/>
          <w:szCs w:val="24"/>
        </w:rPr>
        <w:t xml:space="preserve"> </w:t>
      </w:r>
      <w:r>
        <w:rPr>
          <w:rFonts w:ascii="Times New Roman" w:hAnsi="Times New Roman"/>
          <w:sz w:val="24"/>
          <w:szCs w:val="24"/>
        </w:rPr>
        <w:t>a</w:t>
      </w:r>
      <w:r w:rsidRPr="00FD44EE">
        <w:rPr>
          <w:rFonts w:ascii="Times New Roman" w:hAnsi="Times New Roman"/>
          <w:sz w:val="24"/>
          <w:szCs w:val="24"/>
        </w:rPr>
        <w:t xml:space="preserve">s the percentage </w:t>
      </w:r>
      <w:r>
        <w:rPr>
          <w:rFonts w:ascii="Times New Roman" w:hAnsi="Times New Roman"/>
          <w:sz w:val="24"/>
          <w:szCs w:val="24"/>
        </w:rPr>
        <w:t>of allocated shares</w:t>
      </w:r>
      <w:r w:rsidRPr="00FD44EE">
        <w:rPr>
          <w:rFonts w:ascii="Times New Roman" w:hAnsi="Times New Roman"/>
          <w:sz w:val="24"/>
          <w:szCs w:val="24"/>
        </w:rPr>
        <w:t xml:space="preserve"> given to investors who </w:t>
      </w:r>
      <w:r>
        <w:rPr>
          <w:rFonts w:ascii="Times New Roman" w:hAnsi="Times New Roman"/>
          <w:sz w:val="24"/>
          <w:szCs w:val="24"/>
        </w:rPr>
        <w:t>we</w:t>
      </w:r>
      <w:r w:rsidRPr="00FD44EE">
        <w:rPr>
          <w:rFonts w:ascii="Times New Roman" w:hAnsi="Times New Roman"/>
          <w:sz w:val="24"/>
          <w:szCs w:val="24"/>
        </w:rPr>
        <w:t xml:space="preserve"> </w:t>
      </w:r>
      <w:r>
        <w:rPr>
          <w:rFonts w:ascii="Times New Roman" w:hAnsi="Times New Roman"/>
          <w:sz w:val="24"/>
          <w:szCs w:val="24"/>
        </w:rPr>
        <w:t xml:space="preserve">regard to be occupationally </w:t>
      </w:r>
      <w:r w:rsidRPr="00FD44EE">
        <w:rPr>
          <w:rFonts w:ascii="Times New Roman" w:hAnsi="Times New Roman"/>
          <w:sz w:val="24"/>
          <w:szCs w:val="24"/>
        </w:rPr>
        <w:t>informed</w:t>
      </w:r>
      <w:r>
        <w:rPr>
          <w:rFonts w:ascii="Times New Roman" w:hAnsi="Times New Roman"/>
          <w:sz w:val="24"/>
          <w:szCs w:val="24"/>
        </w:rPr>
        <w:t xml:space="preserve"> for that IPO</w:t>
      </w:r>
      <w:r w:rsidRPr="00FD44EE">
        <w:rPr>
          <w:rFonts w:ascii="Times New Roman" w:hAnsi="Times New Roman"/>
          <w:sz w:val="24"/>
          <w:szCs w:val="24"/>
        </w:rPr>
        <w:t>.</w:t>
      </w:r>
      <w:r>
        <w:rPr>
          <w:rFonts w:ascii="Times New Roman" w:hAnsi="Times New Roman"/>
          <w:sz w:val="24"/>
          <w:szCs w:val="24"/>
        </w:rPr>
        <w:t xml:space="preserve"> </w:t>
      </w:r>
      <w:r w:rsidRPr="008A6784">
        <w:rPr>
          <w:rFonts w:ascii="Times New Roman" w:hAnsi="Times New Roman"/>
          <w:i/>
          <w:color w:val="000000"/>
          <w:sz w:val="24"/>
          <w:szCs w:val="24"/>
          <w:lang w:eastAsia="en-AU"/>
        </w:rPr>
        <w:t>GEOGRAPHY</w:t>
      </w:r>
      <w:r w:rsidRPr="00FD44EE">
        <w:rPr>
          <w:rFonts w:ascii="Times New Roman" w:hAnsi="Times New Roman"/>
          <w:sz w:val="24"/>
          <w:szCs w:val="24"/>
        </w:rPr>
        <w:t xml:space="preserve"> is t</w:t>
      </w:r>
      <w:r w:rsidRPr="00FD44EE">
        <w:rPr>
          <w:rFonts w:ascii="Times New Roman" w:hAnsi="Times New Roman"/>
          <w:color w:val="000000"/>
          <w:sz w:val="24"/>
          <w:szCs w:val="24"/>
          <w:lang w:eastAsia="en-AU"/>
        </w:rPr>
        <w:t xml:space="preserve">he percentage allocation </w:t>
      </w:r>
      <w:r>
        <w:rPr>
          <w:rFonts w:ascii="Times New Roman" w:hAnsi="Times New Roman"/>
          <w:color w:val="000000"/>
          <w:sz w:val="24"/>
          <w:szCs w:val="24"/>
          <w:lang w:eastAsia="en-AU"/>
        </w:rPr>
        <w:t>of shares</w:t>
      </w:r>
      <w:r w:rsidRPr="00FD44EE">
        <w:rPr>
          <w:rFonts w:ascii="Times New Roman" w:hAnsi="Times New Roman"/>
          <w:color w:val="000000"/>
          <w:sz w:val="24"/>
          <w:szCs w:val="24"/>
          <w:lang w:eastAsia="en-AU"/>
        </w:rPr>
        <w:t xml:space="preserve"> to investors in the same </w:t>
      </w:r>
      <w:r>
        <w:rPr>
          <w:rFonts w:ascii="Times New Roman" w:hAnsi="Times New Roman"/>
          <w:color w:val="000000"/>
          <w:sz w:val="24"/>
          <w:szCs w:val="24"/>
          <w:lang w:eastAsia="en-AU"/>
        </w:rPr>
        <w:t>geographical location</w:t>
      </w:r>
      <w:r w:rsidRPr="00FD44EE">
        <w:rPr>
          <w:rFonts w:ascii="Times New Roman" w:hAnsi="Times New Roman"/>
          <w:color w:val="000000"/>
          <w:sz w:val="24"/>
          <w:szCs w:val="24"/>
          <w:lang w:eastAsia="en-AU"/>
        </w:rPr>
        <w:t xml:space="preserve"> </w:t>
      </w:r>
      <w:r>
        <w:rPr>
          <w:rFonts w:ascii="Times New Roman" w:hAnsi="Times New Roman"/>
          <w:color w:val="000000"/>
          <w:sz w:val="24"/>
          <w:szCs w:val="24"/>
          <w:lang w:eastAsia="en-AU"/>
        </w:rPr>
        <w:t xml:space="preserve">(i.e., country/county/city/London area) </w:t>
      </w:r>
      <w:r w:rsidRPr="00FD44EE">
        <w:rPr>
          <w:rFonts w:ascii="Times New Roman" w:hAnsi="Times New Roman"/>
          <w:color w:val="000000"/>
          <w:sz w:val="24"/>
          <w:szCs w:val="24"/>
          <w:lang w:eastAsia="en-AU"/>
        </w:rPr>
        <w:t xml:space="preserve">as the </w:t>
      </w:r>
      <w:r>
        <w:rPr>
          <w:rFonts w:ascii="Times New Roman" w:hAnsi="Times New Roman"/>
          <w:color w:val="000000"/>
          <w:sz w:val="24"/>
          <w:szCs w:val="24"/>
          <w:lang w:eastAsia="en-AU"/>
        </w:rPr>
        <w:t xml:space="preserve">firm’s </w:t>
      </w:r>
      <w:r w:rsidRPr="00FD44EE">
        <w:rPr>
          <w:rFonts w:ascii="Times New Roman" w:hAnsi="Times New Roman"/>
          <w:color w:val="000000"/>
          <w:sz w:val="24"/>
          <w:szCs w:val="24"/>
          <w:lang w:eastAsia="en-AU"/>
        </w:rPr>
        <w:t xml:space="preserve">main office. </w:t>
      </w:r>
      <w:r>
        <w:rPr>
          <w:rFonts w:ascii="Times New Roman" w:hAnsi="Times New Roman"/>
          <w:color w:val="000000"/>
          <w:sz w:val="24"/>
          <w:szCs w:val="24"/>
          <w:lang w:eastAsia="en-AU"/>
        </w:rPr>
        <w:t>Lavington (1921) claims that: ‘</w:t>
      </w:r>
      <w:r>
        <w:rPr>
          <w:rFonts w:ascii="Times New Roman" w:hAnsi="Times New Roman"/>
          <w:sz w:val="24"/>
          <w:szCs w:val="24"/>
        </w:rPr>
        <w:t>l</w:t>
      </w:r>
      <w:r w:rsidRPr="00E86AA5">
        <w:rPr>
          <w:rFonts w:ascii="Times New Roman" w:hAnsi="Times New Roman"/>
          <w:sz w:val="24"/>
          <w:szCs w:val="24"/>
        </w:rPr>
        <w:t>ocal knowledge on the part of the investor both of the business reputation of the vendor and the prospects of his undertaking would do a good deal to eliminate dishonest promotion and ensure that securities were sold at fair prices fairl</w:t>
      </w:r>
      <w:r>
        <w:rPr>
          <w:rFonts w:ascii="Times New Roman" w:hAnsi="Times New Roman"/>
          <w:sz w:val="24"/>
          <w:szCs w:val="24"/>
        </w:rPr>
        <w:t>y near their investment values.</w:t>
      </w:r>
      <w:r>
        <w:rPr>
          <w:rFonts w:ascii="Times New Roman" w:hAnsi="Times New Roman"/>
          <w:color w:val="000000"/>
          <w:sz w:val="24"/>
          <w:szCs w:val="24"/>
          <w:lang w:eastAsia="en-AU"/>
        </w:rPr>
        <w:t>’</w:t>
      </w:r>
      <w:r>
        <w:rPr>
          <w:rStyle w:val="FootnoteReference"/>
          <w:color w:val="000000"/>
          <w:sz w:val="24"/>
          <w:szCs w:val="24"/>
          <w:lang w:eastAsia="en-AU"/>
        </w:rPr>
        <w:footnoteReference w:id="14"/>
      </w:r>
      <w:r>
        <w:rPr>
          <w:rFonts w:ascii="Times New Roman" w:hAnsi="Times New Roman"/>
          <w:color w:val="000000"/>
          <w:sz w:val="24"/>
          <w:szCs w:val="24"/>
          <w:lang w:eastAsia="en-AU"/>
        </w:rPr>
        <w:t xml:space="preserve"> Michie (2004) makes a similar claim, and Chambers and Dimson (2009) find some evidence of this. Previous studies (e.g., Michaely and Shaw, 1994; Hanley and Wilhelm, 1995, and </w:t>
      </w:r>
      <w:r>
        <w:rPr>
          <w:rFonts w:ascii="Times New Roman" w:hAnsi="Times New Roman"/>
          <w:sz w:val="24"/>
          <w:szCs w:val="24"/>
        </w:rPr>
        <w:t>Aggarwal et al., 2002)</w:t>
      </w:r>
      <w:r>
        <w:rPr>
          <w:rFonts w:ascii="Times New Roman" w:hAnsi="Times New Roman"/>
          <w:color w:val="000000"/>
          <w:sz w:val="24"/>
          <w:szCs w:val="24"/>
          <w:lang w:eastAsia="en-AU"/>
        </w:rPr>
        <w:t xml:space="preserve"> assume that institutional investors are more informed. </w:t>
      </w:r>
      <w:r w:rsidRPr="00A42F27">
        <w:rPr>
          <w:rFonts w:ascii="Times New Roman" w:hAnsi="Times New Roman"/>
          <w:i/>
          <w:color w:val="000000"/>
          <w:sz w:val="24"/>
          <w:szCs w:val="24"/>
          <w:lang w:eastAsia="en-AU"/>
        </w:rPr>
        <w:t>INSTITUTION</w:t>
      </w:r>
      <w:r w:rsidRPr="00EF6ABB">
        <w:rPr>
          <w:rFonts w:ascii="Times New Roman" w:hAnsi="Times New Roman"/>
          <w:i/>
          <w:color w:val="000000"/>
          <w:sz w:val="24"/>
          <w:szCs w:val="24"/>
          <w:lang w:eastAsia="en-AU"/>
        </w:rPr>
        <w:t xml:space="preserve"> </w:t>
      </w:r>
      <w:r>
        <w:rPr>
          <w:rFonts w:ascii="Times New Roman" w:hAnsi="Times New Roman"/>
          <w:color w:val="000000"/>
          <w:sz w:val="24"/>
          <w:szCs w:val="24"/>
          <w:lang w:eastAsia="en-AU"/>
        </w:rPr>
        <w:t>is the percentage allocation to institutional investors.</w:t>
      </w:r>
    </w:p>
    <w:p w:rsidR="005F76F3" w:rsidRPr="00FD44EE" w:rsidRDefault="005F76F3" w:rsidP="002C3EC6">
      <w:pPr>
        <w:spacing w:line="480" w:lineRule="auto"/>
        <w:ind w:firstLine="720"/>
        <w:jc w:val="both"/>
        <w:rPr>
          <w:rFonts w:ascii="Times New Roman" w:hAnsi="Times New Roman"/>
          <w:sz w:val="24"/>
          <w:szCs w:val="24"/>
        </w:rPr>
      </w:pPr>
      <w:r w:rsidRPr="00A90C84">
        <w:rPr>
          <w:rFonts w:ascii="Times New Roman" w:hAnsi="Times New Roman"/>
          <w:sz w:val="24"/>
          <w:szCs w:val="24"/>
        </w:rPr>
        <w:t>Chambers and Dimson (2009)</w:t>
      </w:r>
      <w:r>
        <w:rPr>
          <w:rFonts w:ascii="Times New Roman" w:hAnsi="Times New Roman"/>
          <w:sz w:val="24"/>
          <w:szCs w:val="24"/>
        </w:rPr>
        <w:t xml:space="preserve"> investigate first day returns on the London Stock Exchange from 1917 to 1986. We therefore control for the same measures of firm risk as them. </w:t>
      </w:r>
      <w:r w:rsidRPr="00FD44EE">
        <w:rPr>
          <w:rFonts w:ascii="Times New Roman" w:hAnsi="Times New Roman"/>
          <w:i/>
          <w:sz w:val="24"/>
          <w:szCs w:val="24"/>
        </w:rPr>
        <w:t>LNMCAP</w:t>
      </w:r>
      <w:r w:rsidRPr="00FD44EE">
        <w:rPr>
          <w:rFonts w:ascii="Times New Roman" w:hAnsi="Times New Roman"/>
          <w:sz w:val="24"/>
          <w:szCs w:val="24"/>
        </w:rPr>
        <w:t xml:space="preserve"> is the natural logarithm of </w:t>
      </w:r>
      <w:r>
        <w:rPr>
          <w:rFonts w:ascii="Times New Roman" w:hAnsi="Times New Roman"/>
          <w:sz w:val="24"/>
          <w:szCs w:val="24"/>
        </w:rPr>
        <w:t xml:space="preserve">outstanding shares (both those retained by the vendors and those issued to the public) multiplied by </w:t>
      </w:r>
      <w:r w:rsidRPr="00FD44EE">
        <w:rPr>
          <w:rFonts w:ascii="Times New Roman" w:hAnsi="Times New Roman"/>
          <w:sz w:val="24"/>
          <w:szCs w:val="24"/>
        </w:rPr>
        <w:t xml:space="preserve">the offer price. </w:t>
      </w:r>
      <w:r w:rsidRPr="00FD44EE">
        <w:rPr>
          <w:rFonts w:ascii="Times New Roman" w:hAnsi="Times New Roman"/>
          <w:i/>
          <w:sz w:val="24"/>
          <w:szCs w:val="24"/>
        </w:rPr>
        <w:t>LNAGE</w:t>
      </w:r>
      <w:r>
        <w:rPr>
          <w:rFonts w:ascii="Times New Roman" w:hAnsi="Times New Roman"/>
          <w:sz w:val="24"/>
          <w:szCs w:val="24"/>
        </w:rPr>
        <w:t xml:space="preserve"> </w:t>
      </w:r>
      <w:r w:rsidRPr="00FD44EE">
        <w:rPr>
          <w:rFonts w:ascii="Times New Roman" w:hAnsi="Times New Roman"/>
          <w:sz w:val="24"/>
          <w:szCs w:val="24"/>
        </w:rPr>
        <w:t>is the natural logar</w:t>
      </w:r>
      <w:r>
        <w:rPr>
          <w:rFonts w:ascii="Times New Roman" w:hAnsi="Times New Roman"/>
          <w:sz w:val="24"/>
          <w:szCs w:val="24"/>
        </w:rPr>
        <w:t>ithm of the age of the company,</w:t>
      </w:r>
      <w:r w:rsidRPr="002D4D29">
        <w:rPr>
          <w:rFonts w:ascii="Times New Roman" w:hAnsi="Times New Roman"/>
          <w:sz w:val="24"/>
          <w:szCs w:val="24"/>
        </w:rPr>
        <w:t xml:space="preserve"> </w:t>
      </w:r>
      <w:r w:rsidRPr="00FD44EE">
        <w:rPr>
          <w:rFonts w:ascii="Times New Roman" w:hAnsi="Times New Roman"/>
          <w:sz w:val="24"/>
          <w:szCs w:val="24"/>
        </w:rPr>
        <w:t>calculated from the foundation year of the underlying business when reported (or date of incorporation when foundation year is not reported</w:t>
      </w:r>
      <w:r>
        <w:rPr>
          <w:rFonts w:ascii="Times New Roman" w:hAnsi="Times New Roman"/>
          <w:sz w:val="24"/>
          <w:szCs w:val="24"/>
        </w:rPr>
        <w:t xml:space="preserve">). </w:t>
      </w:r>
      <w:r w:rsidRPr="00FD44EE">
        <w:rPr>
          <w:rFonts w:ascii="Times New Roman" w:hAnsi="Times New Roman"/>
          <w:i/>
          <w:sz w:val="24"/>
          <w:szCs w:val="24"/>
        </w:rPr>
        <w:t>TRACK</w:t>
      </w:r>
      <w:r w:rsidRPr="00FD44EE">
        <w:rPr>
          <w:rFonts w:ascii="Times New Roman" w:hAnsi="Times New Roman"/>
          <w:sz w:val="24"/>
          <w:szCs w:val="24"/>
        </w:rPr>
        <w:t xml:space="preserve"> is the number of years </w:t>
      </w:r>
      <w:r>
        <w:rPr>
          <w:rFonts w:ascii="Times New Roman" w:hAnsi="Times New Roman"/>
          <w:sz w:val="24"/>
          <w:szCs w:val="24"/>
        </w:rPr>
        <w:t>of</w:t>
      </w:r>
      <w:r w:rsidRPr="00FD44EE">
        <w:rPr>
          <w:rFonts w:ascii="Times New Roman" w:hAnsi="Times New Roman"/>
          <w:sz w:val="24"/>
          <w:szCs w:val="24"/>
        </w:rPr>
        <w:t xml:space="preserve"> historic profits </w:t>
      </w:r>
      <w:r>
        <w:rPr>
          <w:rFonts w:ascii="Times New Roman" w:hAnsi="Times New Roman"/>
          <w:sz w:val="24"/>
          <w:szCs w:val="24"/>
        </w:rPr>
        <w:t xml:space="preserve">reported </w:t>
      </w:r>
      <w:r w:rsidRPr="00FD44EE">
        <w:rPr>
          <w:rFonts w:ascii="Times New Roman" w:hAnsi="Times New Roman"/>
          <w:sz w:val="24"/>
          <w:szCs w:val="24"/>
        </w:rPr>
        <w:t xml:space="preserve">in the prospectus. </w:t>
      </w:r>
      <w:r w:rsidRPr="00FD44EE">
        <w:rPr>
          <w:rFonts w:ascii="Times New Roman" w:hAnsi="Times New Roman"/>
          <w:i/>
          <w:sz w:val="24"/>
          <w:szCs w:val="24"/>
        </w:rPr>
        <w:t>AUDIT</w:t>
      </w:r>
      <w:r w:rsidRPr="00FD44EE">
        <w:rPr>
          <w:rFonts w:ascii="Times New Roman" w:hAnsi="Times New Roman"/>
          <w:sz w:val="24"/>
          <w:szCs w:val="24"/>
        </w:rPr>
        <w:t xml:space="preserve"> </w:t>
      </w:r>
      <w:r>
        <w:rPr>
          <w:rFonts w:ascii="Times New Roman" w:hAnsi="Times New Roman"/>
          <w:sz w:val="24"/>
          <w:szCs w:val="24"/>
        </w:rPr>
        <w:t>is a dummy variable</w:t>
      </w:r>
      <w:r w:rsidRPr="00FD44EE">
        <w:rPr>
          <w:rFonts w:ascii="Times New Roman" w:hAnsi="Times New Roman"/>
          <w:sz w:val="24"/>
          <w:szCs w:val="24"/>
        </w:rPr>
        <w:t xml:space="preserve"> </w:t>
      </w:r>
      <w:r>
        <w:rPr>
          <w:rFonts w:ascii="Times New Roman" w:hAnsi="Times New Roman"/>
          <w:sz w:val="24"/>
          <w:szCs w:val="24"/>
        </w:rPr>
        <w:t>equal to one</w:t>
      </w:r>
      <w:r w:rsidRPr="00FD44EE">
        <w:rPr>
          <w:rFonts w:ascii="Times New Roman" w:hAnsi="Times New Roman"/>
          <w:sz w:val="24"/>
          <w:szCs w:val="24"/>
        </w:rPr>
        <w:t xml:space="preserve"> if the asset valuation is made by an auditor or professional appraiser</w:t>
      </w:r>
      <w:r>
        <w:rPr>
          <w:rFonts w:ascii="Times New Roman" w:hAnsi="Times New Roman"/>
          <w:sz w:val="24"/>
          <w:szCs w:val="24"/>
        </w:rPr>
        <w:t xml:space="preserve"> and zero otherwise.</w:t>
      </w:r>
      <w:r w:rsidRPr="00FD44EE">
        <w:rPr>
          <w:rFonts w:ascii="Times New Roman" w:hAnsi="Times New Roman"/>
          <w:sz w:val="24"/>
          <w:szCs w:val="24"/>
        </w:rPr>
        <w:t xml:space="preserve"> </w:t>
      </w:r>
      <w:r w:rsidRPr="00FD44EE">
        <w:rPr>
          <w:rFonts w:ascii="Times New Roman" w:hAnsi="Times New Roman"/>
          <w:i/>
          <w:sz w:val="24"/>
          <w:szCs w:val="24"/>
        </w:rPr>
        <w:t>UW</w:t>
      </w:r>
      <w:r w:rsidRPr="00FD44EE">
        <w:rPr>
          <w:rFonts w:ascii="Times New Roman" w:hAnsi="Times New Roman"/>
          <w:sz w:val="24"/>
          <w:szCs w:val="24"/>
        </w:rPr>
        <w:t xml:space="preserve"> </w:t>
      </w:r>
      <w:r>
        <w:rPr>
          <w:rFonts w:ascii="Times New Roman" w:hAnsi="Times New Roman"/>
          <w:sz w:val="24"/>
          <w:szCs w:val="24"/>
        </w:rPr>
        <w:t>is a dummy variable</w:t>
      </w:r>
      <w:r w:rsidRPr="00FD44EE">
        <w:rPr>
          <w:rFonts w:ascii="Times New Roman" w:hAnsi="Times New Roman"/>
          <w:sz w:val="24"/>
          <w:szCs w:val="24"/>
        </w:rPr>
        <w:t xml:space="preserve"> that takes the value of one if the IPO is</w:t>
      </w:r>
      <w:r>
        <w:rPr>
          <w:rFonts w:ascii="Times New Roman" w:hAnsi="Times New Roman"/>
          <w:sz w:val="24"/>
          <w:szCs w:val="24"/>
        </w:rPr>
        <w:t xml:space="preserve"> underwritten by an arms-length underwriter and zero otherwise</w:t>
      </w:r>
      <w:r w:rsidRPr="00FD44EE">
        <w:rPr>
          <w:rFonts w:ascii="Times New Roman" w:hAnsi="Times New Roman"/>
          <w:sz w:val="24"/>
          <w:szCs w:val="24"/>
        </w:rPr>
        <w:t xml:space="preserve">. </w:t>
      </w:r>
      <w:r w:rsidRPr="00FD44EE">
        <w:rPr>
          <w:rFonts w:ascii="Times New Roman" w:hAnsi="Times New Roman"/>
          <w:i/>
          <w:sz w:val="24"/>
          <w:szCs w:val="24"/>
        </w:rPr>
        <w:t>PROPSOLD</w:t>
      </w:r>
      <w:r w:rsidRPr="00FD44EE">
        <w:rPr>
          <w:rFonts w:ascii="Times New Roman" w:hAnsi="Times New Roman"/>
          <w:sz w:val="24"/>
          <w:szCs w:val="24"/>
        </w:rPr>
        <w:t xml:space="preserve"> is the proportion of </w:t>
      </w:r>
      <w:r>
        <w:rPr>
          <w:rFonts w:ascii="Times New Roman" w:hAnsi="Times New Roman"/>
          <w:sz w:val="24"/>
          <w:szCs w:val="24"/>
        </w:rPr>
        <w:t>outstanding</w:t>
      </w:r>
      <w:r w:rsidRPr="00FD44EE">
        <w:rPr>
          <w:rFonts w:ascii="Times New Roman" w:hAnsi="Times New Roman"/>
          <w:sz w:val="24"/>
          <w:szCs w:val="24"/>
        </w:rPr>
        <w:t xml:space="preserve"> </w:t>
      </w:r>
      <w:r>
        <w:rPr>
          <w:rFonts w:ascii="Times New Roman" w:hAnsi="Times New Roman"/>
          <w:sz w:val="24"/>
          <w:szCs w:val="24"/>
        </w:rPr>
        <w:t>shares</w:t>
      </w:r>
      <w:r w:rsidRPr="00FD44EE">
        <w:rPr>
          <w:rFonts w:ascii="Times New Roman" w:hAnsi="Times New Roman"/>
          <w:sz w:val="24"/>
          <w:szCs w:val="24"/>
        </w:rPr>
        <w:t xml:space="preserve"> </w:t>
      </w:r>
      <w:r>
        <w:rPr>
          <w:rFonts w:ascii="Times New Roman" w:hAnsi="Times New Roman"/>
          <w:sz w:val="24"/>
          <w:szCs w:val="24"/>
        </w:rPr>
        <w:t>offered to the public in the IPO</w:t>
      </w:r>
      <w:r w:rsidRPr="00FD44EE">
        <w:rPr>
          <w:rFonts w:ascii="Times New Roman" w:hAnsi="Times New Roman"/>
          <w:sz w:val="24"/>
          <w:szCs w:val="24"/>
        </w:rPr>
        <w:t>.</w:t>
      </w:r>
    </w:p>
    <w:p w:rsidR="005F76F3" w:rsidRPr="00494170" w:rsidRDefault="005F76F3" w:rsidP="00102F99">
      <w:pPr>
        <w:spacing w:line="480" w:lineRule="auto"/>
        <w:jc w:val="both"/>
        <w:rPr>
          <w:rFonts w:ascii="Times New Roman" w:hAnsi="Times New Roman"/>
          <w:sz w:val="24"/>
          <w:szCs w:val="24"/>
        </w:rPr>
      </w:pPr>
      <w:r>
        <w:rPr>
          <w:rFonts w:ascii="Times New Roman" w:hAnsi="Times New Roman"/>
          <w:i/>
          <w:sz w:val="24"/>
          <w:szCs w:val="24"/>
        </w:rPr>
        <w:t>3.3</w:t>
      </w:r>
      <w:r w:rsidRPr="00494170">
        <w:rPr>
          <w:rFonts w:ascii="Times New Roman" w:hAnsi="Times New Roman"/>
          <w:i/>
          <w:sz w:val="24"/>
          <w:szCs w:val="24"/>
        </w:rPr>
        <w:t xml:space="preserve"> Descriptive statistics</w:t>
      </w:r>
      <w:r w:rsidRPr="00494170">
        <w:rPr>
          <w:rFonts w:ascii="Times New Roman" w:hAnsi="Times New Roman"/>
          <w:sz w:val="24"/>
          <w:szCs w:val="24"/>
        </w:rPr>
        <w:t xml:space="preserve"> </w:t>
      </w:r>
    </w:p>
    <w:p w:rsidR="005F76F3" w:rsidRDefault="005F76F3" w:rsidP="00F91926">
      <w:pPr>
        <w:spacing w:line="480" w:lineRule="auto"/>
        <w:ind w:firstLine="720"/>
        <w:jc w:val="both"/>
        <w:rPr>
          <w:rFonts w:ascii="Times New Roman" w:hAnsi="Times New Roman"/>
          <w:sz w:val="24"/>
          <w:szCs w:val="24"/>
        </w:rPr>
      </w:pPr>
      <w:r w:rsidRPr="00494170">
        <w:rPr>
          <w:rFonts w:ascii="Times New Roman" w:hAnsi="Times New Roman"/>
          <w:sz w:val="24"/>
          <w:szCs w:val="24"/>
        </w:rPr>
        <w:t>Table 1 list</w:t>
      </w:r>
      <w:r>
        <w:rPr>
          <w:rFonts w:ascii="Times New Roman" w:hAnsi="Times New Roman"/>
          <w:sz w:val="24"/>
          <w:szCs w:val="24"/>
        </w:rPr>
        <w:t>s</w:t>
      </w:r>
      <w:r w:rsidRPr="00494170">
        <w:rPr>
          <w:rFonts w:ascii="Times New Roman" w:hAnsi="Times New Roman"/>
          <w:sz w:val="24"/>
          <w:szCs w:val="24"/>
        </w:rPr>
        <w:t xml:space="preserve"> the number of IPOs per year</w:t>
      </w:r>
      <w:r>
        <w:rPr>
          <w:rFonts w:ascii="Times New Roman" w:hAnsi="Times New Roman"/>
          <w:sz w:val="24"/>
          <w:szCs w:val="24"/>
        </w:rPr>
        <w:t xml:space="preserve"> and the average first day return for IPOs that took place in that year</w:t>
      </w:r>
      <w:r w:rsidRPr="00494170">
        <w:rPr>
          <w:rFonts w:ascii="Times New Roman" w:hAnsi="Times New Roman"/>
          <w:sz w:val="24"/>
          <w:szCs w:val="24"/>
        </w:rPr>
        <w:t>.</w:t>
      </w:r>
      <w:r>
        <w:rPr>
          <w:rFonts w:ascii="Times New Roman" w:hAnsi="Times New Roman"/>
          <w:sz w:val="24"/>
          <w:szCs w:val="24"/>
        </w:rPr>
        <w:t xml:space="preserve"> We find one clear IPO wave that took place from 1896 to 1899. The wave was broadly based, that is not concentrated in any particular industry. IPO underpricing varies greatly from year to year, without any clear trend. The average over the 1891-1911 period is 7.2%.</w:t>
      </w:r>
    </w:p>
    <w:p w:rsidR="005F76F3" w:rsidRDefault="005F76F3" w:rsidP="00F91926">
      <w:pPr>
        <w:spacing w:line="480" w:lineRule="auto"/>
        <w:ind w:firstLine="720"/>
        <w:jc w:val="both"/>
        <w:rPr>
          <w:rFonts w:ascii="Times New Roman" w:hAnsi="Times New Roman"/>
          <w:color w:val="000000"/>
          <w:sz w:val="24"/>
          <w:szCs w:val="24"/>
          <w:lang w:eastAsia="en-AU"/>
        </w:rPr>
      </w:pPr>
      <w:r w:rsidRPr="00494170">
        <w:rPr>
          <w:rFonts w:ascii="Times New Roman" w:hAnsi="Times New Roman"/>
          <w:sz w:val="24"/>
          <w:szCs w:val="24"/>
        </w:rPr>
        <w:t xml:space="preserve">Table 2 </w:t>
      </w:r>
      <w:r>
        <w:rPr>
          <w:rFonts w:ascii="Times New Roman" w:hAnsi="Times New Roman"/>
          <w:sz w:val="24"/>
          <w:szCs w:val="24"/>
        </w:rPr>
        <w:t>presents</w:t>
      </w:r>
      <w:r w:rsidRPr="00494170">
        <w:rPr>
          <w:rFonts w:ascii="Times New Roman" w:hAnsi="Times New Roman"/>
          <w:sz w:val="24"/>
          <w:szCs w:val="24"/>
        </w:rPr>
        <w:t xml:space="preserve"> </w:t>
      </w:r>
      <w:r>
        <w:rPr>
          <w:rFonts w:ascii="Times New Roman" w:hAnsi="Times New Roman"/>
          <w:sz w:val="24"/>
          <w:szCs w:val="24"/>
        </w:rPr>
        <w:t>the</w:t>
      </w:r>
      <w:r w:rsidRPr="00494170">
        <w:rPr>
          <w:rFonts w:ascii="Times New Roman" w:hAnsi="Times New Roman"/>
          <w:sz w:val="24"/>
          <w:szCs w:val="24"/>
        </w:rPr>
        <w:t xml:space="preserve"> characteristics</w:t>
      </w:r>
      <w:r>
        <w:rPr>
          <w:rFonts w:ascii="Times New Roman" w:hAnsi="Times New Roman"/>
          <w:sz w:val="24"/>
          <w:szCs w:val="24"/>
        </w:rPr>
        <w:t xml:space="preserve"> of the firms that undertook IPOs</w:t>
      </w:r>
      <w:r w:rsidRPr="00494170">
        <w:rPr>
          <w:rFonts w:ascii="Times New Roman" w:hAnsi="Times New Roman"/>
          <w:sz w:val="24"/>
          <w:szCs w:val="24"/>
        </w:rPr>
        <w:t>.</w:t>
      </w:r>
      <w:r>
        <w:rPr>
          <w:rFonts w:ascii="Times New Roman" w:hAnsi="Times New Roman"/>
          <w:sz w:val="24"/>
          <w:szCs w:val="24"/>
        </w:rPr>
        <w:t xml:space="preserve"> Across the 70 firms which experienced a negative (or zero) first day return, the average first day return was -14%, for the 71 firms which had a positive first day return, the average return was 28%. </w:t>
      </w:r>
      <w:r w:rsidRPr="00494170">
        <w:rPr>
          <w:rFonts w:ascii="Times New Roman" w:hAnsi="Times New Roman"/>
          <w:color w:val="000000"/>
          <w:sz w:val="24"/>
          <w:szCs w:val="24"/>
          <w:lang w:eastAsia="en-AU"/>
        </w:rPr>
        <w:t>The average</w:t>
      </w:r>
      <w:r>
        <w:rPr>
          <w:rFonts w:ascii="Times New Roman" w:hAnsi="Times New Roman"/>
          <w:color w:val="000000"/>
          <w:sz w:val="24"/>
          <w:szCs w:val="24"/>
          <w:lang w:eastAsia="en-AU"/>
        </w:rPr>
        <w:t xml:space="preserve"> firm issued almost 15% of the shares to investors in the same geographical area as the firm, although some issued none to local investors, and one issued almost half of the capital locally. The average firm allocated 3.1% of the capital to investors with occupations that we have classified as occupationally informed. The mean firm issued 0.86% of the shares to investors who were both geographically and occupationally close to the firm, although one firm allocated 8.5% of the capital to those investors. Shareholders who did not report their occupation were allocated 24% of the IPO shares on average. Institutions as a group only took 2.4% of the firms’ shares, with a maximum of 21.3%. The mean firm had 576 investors who were allocated shares, one firm completed an IPO with only 6 public shareholders and the company with the most diverse shareholder base ended up with 5131 public shareholders.</w:t>
      </w:r>
    </w:p>
    <w:p w:rsidR="005F76F3" w:rsidRDefault="005F76F3" w:rsidP="00F91926">
      <w:pPr>
        <w:spacing w:line="480" w:lineRule="auto"/>
        <w:ind w:firstLine="720"/>
        <w:jc w:val="both"/>
        <w:rPr>
          <w:rFonts w:ascii="Times New Roman" w:hAnsi="Times New Roman"/>
          <w:sz w:val="24"/>
          <w:szCs w:val="24"/>
        </w:rPr>
      </w:pPr>
      <w:r>
        <w:rPr>
          <w:rFonts w:ascii="Times New Roman" w:hAnsi="Times New Roman"/>
          <w:sz w:val="24"/>
          <w:szCs w:val="24"/>
        </w:rPr>
        <w:t>The average firm went public with an issued capital (valued at the IPO offer price, which was usually par) of £342,052. The smallest firm undertook an IPO with a little over £20,000 in capital and the largest at £1.8 million.</w:t>
      </w:r>
      <w:r w:rsidRPr="00494170">
        <w:rPr>
          <w:rFonts w:ascii="Times New Roman" w:hAnsi="Times New Roman"/>
          <w:sz w:val="24"/>
          <w:szCs w:val="24"/>
        </w:rPr>
        <w:t xml:space="preserve"> </w:t>
      </w:r>
      <w:r>
        <w:rPr>
          <w:rFonts w:ascii="Times New Roman" w:hAnsi="Times New Roman"/>
          <w:sz w:val="24"/>
          <w:szCs w:val="24"/>
        </w:rPr>
        <w:t xml:space="preserve">The mean firm had existed for 17.6 years prior to the IPO, although one venerable institution had been in existence for a touch over two centuries. The mean firm reported a little under two and a half years of profits in the prospectus, and almost all of those profits were audited. 30% of firms used underwriters that were either acting at arms-length or were not obviously linked to the vendors or the directors. 27% of the firms used “prestigious” auditors, where we define a prestigious auditor to be one of the top three auditors (Price, Waterhouse &amp; Co., </w:t>
      </w:r>
      <w:r w:rsidRPr="00FF6E2A">
        <w:rPr>
          <w:rFonts w:ascii="Times New Roman" w:hAnsi="Times New Roman"/>
          <w:sz w:val="24"/>
          <w:szCs w:val="24"/>
        </w:rPr>
        <w:t>Deloitte</w:t>
      </w:r>
      <w:r>
        <w:rPr>
          <w:rFonts w:ascii="Times New Roman" w:hAnsi="Times New Roman"/>
          <w:sz w:val="24"/>
          <w:szCs w:val="24"/>
        </w:rPr>
        <w:t>,</w:t>
      </w:r>
      <w:r w:rsidRPr="00FF6E2A">
        <w:rPr>
          <w:rFonts w:ascii="Times New Roman" w:hAnsi="Times New Roman"/>
          <w:sz w:val="24"/>
          <w:szCs w:val="24"/>
        </w:rPr>
        <w:t xml:space="preserve"> Plender</w:t>
      </w:r>
      <w:r>
        <w:rPr>
          <w:rFonts w:ascii="Times New Roman" w:hAnsi="Times New Roman"/>
          <w:sz w:val="24"/>
          <w:szCs w:val="24"/>
        </w:rPr>
        <w:t>,</w:t>
      </w:r>
      <w:r w:rsidRPr="00FF6E2A">
        <w:rPr>
          <w:rFonts w:ascii="Times New Roman" w:hAnsi="Times New Roman"/>
          <w:sz w:val="24"/>
          <w:szCs w:val="24"/>
        </w:rPr>
        <w:t xml:space="preserve"> Griffiths and Co.</w:t>
      </w:r>
      <w:r>
        <w:rPr>
          <w:rFonts w:ascii="Times New Roman" w:hAnsi="Times New Roman"/>
          <w:sz w:val="24"/>
          <w:szCs w:val="24"/>
        </w:rPr>
        <w:t>, and T</w:t>
      </w:r>
      <w:r w:rsidRPr="00FF6E2A">
        <w:rPr>
          <w:rFonts w:ascii="Times New Roman" w:hAnsi="Times New Roman"/>
          <w:sz w:val="24"/>
          <w:szCs w:val="24"/>
        </w:rPr>
        <w:t>urquand</w:t>
      </w:r>
      <w:r>
        <w:rPr>
          <w:rFonts w:ascii="Times New Roman" w:hAnsi="Times New Roman"/>
          <w:sz w:val="24"/>
          <w:szCs w:val="24"/>
        </w:rPr>
        <w:t>,</w:t>
      </w:r>
      <w:r w:rsidRPr="00FF6E2A">
        <w:rPr>
          <w:rFonts w:ascii="Times New Roman" w:hAnsi="Times New Roman"/>
          <w:sz w:val="24"/>
          <w:szCs w:val="24"/>
        </w:rPr>
        <w:t xml:space="preserve"> Youngs and Co.</w:t>
      </w:r>
      <w:r>
        <w:rPr>
          <w:rFonts w:ascii="Times New Roman" w:hAnsi="Times New Roman"/>
          <w:sz w:val="24"/>
          <w:szCs w:val="24"/>
        </w:rPr>
        <w:t>) by number of prospectuses audited. Only one per cent of the firms mentioned in their prospectus that they were engaged in research and development. The average firm issued 70.2% of the voting equity to the public (and kept 29.8% for the vendors), although some went public with as little as 7.4% issued to the public and some issued the entire capital to outside investors.</w:t>
      </w:r>
    </w:p>
    <w:p w:rsidR="005F76F3" w:rsidRDefault="005F76F3" w:rsidP="00F91926">
      <w:pPr>
        <w:spacing w:line="480" w:lineRule="auto"/>
        <w:ind w:firstLine="720"/>
        <w:jc w:val="both"/>
        <w:rPr>
          <w:rFonts w:ascii="Times New Roman" w:hAnsi="Times New Roman"/>
          <w:color w:val="000000"/>
          <w:sz w:val="24"/>
          <w:szCs w:val="24"/>
          <w:lang w:eastAsia="en-AU"/>
        </w:rPr>
      </w:pPr>
      <w:r>
        <w:rPr>
          <w:rFonts w:ascii="Times New Roman" w:hAnsi="Times New Roman"/>
          <w:color w:val="000000"/>
          <w:sz w:val="24"/>
          <w:szCs w:val="24"/>
          <w:lang w:eastAsia="en-AU"/>
        </w:rPr>
        <w:t>In Table 3 we present summary statistics of the public investors that were allocated shares in our sample. We have excluded from this table the vendors of the private firm that went public. We have a total of 81,191 external investors in the 141 IPOs in our sample, we split these between those that were allocated underpriced (Panel A) shares and those that were allocated overpriced (Panel B) shares. Each observation is an IPO-investor pair, that is, individuals who were allocated shares in multiple IPOs will appear as multiple observations. The average investor received 0.10% of the public shares in an underpriced IPO, compared to 0.11% in an overpriced IPO. Only 5.5% of the allottees in underpriced IPOs were occupationally informed, on average, whereas 15.5% of investors were geographically informed, and 1.0% were institutions. 0.7% of investors were both geographically and occupationally close to an underpriced firm. In overpriced IPOs, 15.2% of the allottees were geographically close to the firm. 4.5% of such allottees were occupationally informed, and 1.1% were both. The average underpriced IPO allocated shares to 608 individuals, whereas the average overpriced IPO allocated shares to 543 persons.</w:t>
      </w:r>
    </w:p>
    <w:p w:rsidR="005F76F3" w:rsidRDefault="005F76F3" w:rsidP="00F91926">
      <w:pPr>
        <w:spacing w:line="480" w:lineRule="auto"/>
        <w:ind w:firstLine="720"/>
        <w:jc w:val="both"/>
        <w:rPr>
          <w:rFonts w:ascii="Times New Roman" w:hAnsi="Times New Roman"/>
          <w:b/>
          <w:color w:val="000000"/>
          <w:sz w:val="24"/>
          <w:szCs w:val="24"/>
          <w:lang w:eastAsia="en-AU"/>
        </w:rPr>
      </w:pPr>
      <w:r>
        <w:rPr>
          <w:rFonts w:ascii="Times New Roman" w:hAnsi="Times New Roman"/>
          <w:color w:val="000000"/>
          <w:sz w:val="24"/>
          <w:szCs w:val="24"/>
          <w:lang w:eastAsia="en-AU"/>
        </w:rPr>
        <w:t>In Table 4 panel A we report, for selected occupations, whether individuals in that group received more shares in under or overpriced allocations. For each occupation we determine the percentage of all IPO shares that were allotted in under versus overpriced public offerings. Somewhat surprisingly some occupations that might appear to have superior financial acumen, such as accountants and chartered accountants received roughly 7 overpriced shares for every 3 underpriced shares. Gentlemen, reverends, and married women did better, receiving roughly 6 overpriced shares for every 4 underpriced shares. Widows and unmarried women were even more astute, picking up roughly 1 underpriced share for every overpriced share they were allotted. Newsagents avoided, almost completely, overpriced IPOs, although their allotments came in only 8 of the 141 public issues.</w:t>
      </w:r>
    </w:p>
    <w:p w:rsidR="005F76F3" w:rsidRPr="00B26211" w:rsidRDefault="005F76F3" w:rsidP="00F91926">
      <w:pPr>
        <w:spacing w:line="480" w:lineRule="auto"/>
        <w:ind w:firstLine="720"/>
        <w:jc w:val="both"/>
        <w:rPr>
          <w:rFonts w:ascii="Times New Roman" w:hAnsi="Times New Roman"/>
          <w:sz w:val="24"/>
          <w:szCs w:val="24"/>
        </w:rPr>
      </w:pPr>
      <w:r>
        <w:rPr>
          <w:rFonts w:ascii="Times New Roman" w:hAnsi="Times New Roman"/>
          <w:color w:val="000000"/>
          <w:sz w:val="24"/>
          <w:szCs w:val="24"/>
          <w:lang w:eastAsia="en-AU"/>
        </w:rPr>
        <w:t>In Panel B we report, by the under/over categorization, as well as a total calculation, which investors received IPO shares in aggregate. Bankers, as a group, were allocated almost 3% of all IPO shares issued to the public, with more of those coming in underpriced offerings. Self-styled gentlemen and esquires received 17.6% and 3.9% (with slightly more of this coming in overpriced offers). Married women received almost 5% of the shares on offer, merchants 3.7%, solicitors 1.8% and stockbrokers 1.6%. Widows were allocated slightly under one percent of the shares, and reverends and other ministers of religion a paltry 0.15%. The smaller occupations (aggregated in OTHER) received 26.2% of the shares, and individuals with unreported occupations 26.3%</w:t>
      </w:r>
    </w:p>
    <w:p w:rsidR="005F76F3" w:rsidRDefault="005F76F3" w:rsidP="009C5C1D">
      <w:pPr>
        <w:spacing w:line="480" w:lineRule="auto"/>
        <w:jc w:val="both"/>
        <w:rPr>
          <w:rFonts w:ascii="Times New Roman" w:hAnsi="Times New Roman"/>
          <w:sz w:val="24"/>
          <w:szCs w:val="24"/>
        </w:rPr>
      </w:pPr>
      <w:r>
        <w:rPr>
          <w:rFonts w:ascii="Times New Roman" w:hAnsi="Times New Roman"/>
          <w:b/>
          <w:sz w:val="24"/>
          <w:szCs w:val="24"/>
        </w:rPr>
        <w:t>4</w:t>
      </w:r>
      <w:r w:rsidRPr="009C5C1D">
        <w:rPr>
          <w:rFonts w:ascii="Times New Roman" w:hAnsi="Times New Roman"/>
          <w:b/>
          <w:sz w:val="24"/>
          <w:szCs w:val="24"/>
        </w:rPr>
        <w:t xml:space="preserve">. </w:t>
      </w:r>
      <w:r>
        <w:rPr>
          <w:rFonts w:ascii="Times New Roman" w:hAnsi="Times New Roman"/>
          <w:b/>
          <w:sz w:val="24"/>
          <w:szCs w:val="24"/>
        </w:rPr>
        <w:t>Results</w:t>
      </w:r>
      <w:r w:rsidRPr="009C5C1D">
        <w:rPr>
          <w:rFonts w:ascii="Times New Roman" w:hAnsi="Times New Roman"/>
          <w:sz w:val="24"/>
          <w:szCs w:val="24"/>
        </w:rPr>
        <w:t xml:space="preserve">  </w:t>
      </w:r>
    </w:p>
    <w:p w:rsidR="005F76F3" w:rsidRPr="000B5AD5" w:rsidRDefault="005F76F3" w:rsidP="000B5AD5">
      <w:pPr>
        <w:spacing w:line="480" w:lineRule="auto"/>
        <w:jc w:val="both"/>
        <w:rPr>
          <w:rFonts w:ascii="Times New Roman" w:hAnsi="Times New Roman"/>
          <w:i/>
          <w:sz w:val="24"/>
          <w:szCs w:val="24"/>
        </w:rPr>
      </w:pPr>
      <w:r>
        <w:rPr>
          <w:rFonts w:ascii="Times New Roman" w:hAnsi="Times New Roman"/>
          <w:i/>
          <w:sz w:val="24"/>
          <w:szCs w:val="24"/>
        </w:rPr>
        <w:t>4</w:t>
      </w:r>
      <w:r w:rsidRPr="000B5AD5">
        <w:rPr>
          <w:rFonts w:ascii="Times New Roman" w:hAnsi="Times New Roman"/>
          <w:i/>
          <w:sz w:val="24"/>
          <w:szCs w:val="24"/>
        </w:rPr>
        <w:t xml:space="preserve">.1 </w:t>
      </w:r>
      <w:r>
        <w:rPr>
          <w:rFonts w:ascii="Times New Roman" w:hAnsi="Times New Roman"/>
          <w:i/>
          <w:sz w:val="24"/>
          <w:szCs w:val="24"/>
        </w:rPr>
        <w:t>Informed and uninformed investors</w:t>
      </w:r>
    </w:p>
    <w:p w:rsidR="005F76F3" w:rsidRDefault="005F76F3" w:rsidP="00523435">
      <w:pPr>
        <w:spacing w:line="480" w:lineRule="auto"/>
        <w:ind w:firstLine="720"/>
        <w:jc w:val="both"/>
        <w:rPr>
          <w:rFonts w:ascii="Times New Roman" w:hAnsi="Times New Roman"/>
          <w:sz w:val="24"/>
          <w:szCs w:val="24"/>
        </w:rPr>
      </w:pPr>
      <w:r>
        <w:rPr>
          <w:rFonts w:ascii="Times New Roman" w:hAnsi="Times New Roman"/>
          <w:sz w:val="24"/>
          <w:szCs w:val="24"/>
        </w:rPr>
        <w:t>We now investigate econometrically who receives allocated shares in an IPO. Our dependent variable is an investor’s percentage allocation (</w:t>
      </w:r>
      <w:r w:rsidRPr="00920E0B">
        <w:rPr>
          <w:rFonts w:ascii="Times New Roman" w:hAnsi="Times New Roman"/>
          <w:i/>
          <w:sz w:val="24"/>
          <w:szCs w:val="24"/>
        </w:rPr>
        <w:t>IPO Allocation</w:t>
      </w:r>
      <w:r>
        <w:rPr>
          <w:rFonts w:ascii="Times New Roman" w:hAnsi="Times New Roman"/>
          <w:sz w:val="24"/>
          <w:szCs w:val="24"/>
        </w:rPr>
        <w:t>), defined as the number of shares that investor received in a particular IPO divided by the total number allocated to the public. Our main items of interest are the occupation, geographic, and institutional variables. We condition on whether the IPO was underpriced, as well as control for firm size, age, presence of an auditor, auditor quality, whether underwritten or not, whether the firm was engaged in research and development, and the proportion of the shares issued to the public.</w:t>
      </w:r>
    </w:p>
    <w:p w:rsidR="005F76F3" w:rsidRDefault="005F76F3" w:rsidP="00523435">
      <w:pPr>
        <w:spacing w:line="480" w:lineRule="auto"/>
        <w:ind w:firstLine="720"/>
        <w:jc w:val="both"/>
        <w:rPr>
          <w:rFonts w:ascii="Times New Roman" w:hAnsi="Times New Roman"/>
          <w:sz w:val="24"/>
          <w:szCs w:val="24"/>
        </w:rPr>
      </w:pPr>
      <w:r>
        <w:rPr>
          <w:rFonts w:ascii="Times New Roman" w:hAnsi="Times New Roman"/>
          <w:sz w:val="24"/>
          <w:szCs w:val="24"/>
        </w:rPr>
        <w:t>Specification (1) indicates that geographically close investors received an allotment 0.08 percentage points larger than non-close investors. These investors tended to receive larger allocations in overpriced IPOs than in underpriced issues, which suggests that being geographically close to the firm enabled one to receive more shares, but was not much help in avoiding overpriced offerings. The relation between an investor’s occupation and allocation is not statistically robust. Turning to the interaction of geography and occupation, we find that investors which were close in both senses tended to receive 0.04 percentage points lower allocations than other investors in overpriced IPOs, but 0.05 percentage points higher in underpriced IPOs. Allotments tended to be smaller (in other words, there were more allocated investors) in underpriced IPOs, which is perhaps suggestive that underpriced IPOs received more applications for shares. Larger firms ended up with more investors, as did younger firms. Firms that reported more financial information (years of profit history) were associated with more investors, as were IPOs that were underwritten. Somewhat surprisingly, firms that were audited by more well-known accountants had fewer investors at the end of the IPO process. Companies that issued a larger fraction of the capital stock to the public ended up with more shareholders.</w:t>
      </w:r>
    </w:p>
    <w:p w:rsidR="005F76F3" w:rsidRDefault="005F76F3" w:rsidP="00C55A9A">
      <w:pPr>
        <w:spacing w:line="480" w:lineRule="auto"/>
        <w:ind w:firstLine="720"/>
        <w:jc w:val="both"/>
        <w:rPr>
          <w:rFonts w:ascii="Times New Roman" w:hAnsi="Times New Roman"/>
          <w:sz w:val="24"/>
          <w:szCs w:val="24"/>
        </w:rPr>
      </w:pPr>
      <w:r>
        <w:rPr>
          <w:rFonts w:ascii="Times New Roman" w:hAnsi="Times New Roman"/>
          <w:sz w:val="24"/>
          <w:szCs w:val="24"/>
        </w:rPr>
        <w:t>Specifications (2) and (3) use firm fixed-effects, rather than controls for firm characteristics. We run separate regressions for under- (2) and over- (3) priced IPOs. In underpriced IPOs geographically close investors receive .03 percentage points more shares than geographically distant investors. However, the close investors receive proportionally more shares (.08) than distant investors in over-priced offerings, which suggests that geographical proximity does not aid one is distinguishing a good from a bad prospectus. Occupationally related investors receive more shares than non-related investors, with the largest effect in over-priced IPOs. Only investors which are both geographically and occupationally close seem to be able to partially screen out the worse companies. Being close in both senses aids one to get a .04 percentage point larger allotment in an under-priced IPO (relative to an investors that is not close in both senses) but a .04 percentage point smaller allotment in over-priced IPOs. Institutions, being naturally larger than most individuals, tend to receive larger allotments. However, they receive even larger allotments in the over-priced offerings rather than the under-priced issues. Aggarwal et al. and Michaely and Shaw show that institutional investors earn higher average returns than retail investors. Aggarwal et al. and Michaely and Shaw argue that this is consistent with Rock as institutions are more likely to be informed. Hanley and William, in contradiction to Aggarwal et al. and Michaely and Shaw, find that institutional investors also participate in less attractive offerings. Our result more closely aligns with that of Hanley and William.</w:t>
      </w:r>
    </w:p>
    <w:p w:rsidR="005F76F3" w:rsidRDefault="005F76F3" w:rsidP="00C55A9A">
      <w:pPr>
        <w:spacing w:line="480" w:lineRule="auto"/>
        <w:ind w:firstLine="720"/>
        <w:jc w:val="both"/>
        <w:rPr>
          <w:rFonts w:ascii="Times New Roman" w:hAnsi="Times New Roman"/>
          <w:sz w:val="24"/>
          <w:szCs w:val="24"/>
        </w:rPr>
      </w:pPr>
      <w:r>
        <w:rPr>
          <w:rFonts w:ascii="Times New Roman" w:hAnsi="Times New Roman"/>
          <w:sz w:val="24"/>
          <w:szCs w:val="24"/>
        </w:rPr>
        <w:t>For an individual, being close to the firm, or in a related occupation, by itself leads one to receive more shares in the allocation process, however these are disproportionately acquired in poorly performing IPOs. Only if one is close in both metrics does one seem to have an ability to avoid the worse IPOs. Another way to phrase this is that a Newcastle publican will tend to be allotted more shares than other individuals when a Newcastle brewery issues under-priced shares, but fewer shares if that offering were over-priced.</w:t>
      </w:r>
    </w:p>
    <w:p w:rsidR="005F76F3" w:rsidRDefault="005F76F3" w:rsidP="001A04CB">
      <w:pPr>
        <w:spacing w:line="480" w:lineRule="auto"/>
        <w:ind w:firstLine="720"/>
        <w:jc w:val="both"/>
        <w:rPr>
          <w:rFonts w:ascii="Times New Roman" w:hAnsi="Times New Roman"/>
          <w:sz w:val="24"/>
          <w:szCs w:val="24"/>
        </w:rPr>
      </w:pPr>
      <w:r>
        <w:rPr>
          <w:rFonts w:ascii="Times New Roman" w:hAnsi="Times New Roman"/>
          <w:sz w:val="24"/>
          <w:szCs w:val="24"/>
        </w:rPr>
        <w:t>In Table 6 we repeat the analysis of Table 5, but we split the sample along three dimensions: whether the IPO was underpriced, whether the firm used an underwriter, and whether the firm used a prestigious auditor. The presence of an underwriter probably reduces the information asymmetry between the firm and the public. Since the underwriter may get stuck holding all or most of the shares, an underwriter will presumably only agree to provide underwriting services for firms above a certain quality threshold. The public will anticipate this certification effect, which may cause occupationally or geographically close investors to have less of an informational advantage. Similarly, a prestigious accounting firm may reduce the information asymmetry for investors.</w:t>
      </w:r>
    </w:p>
    <w:p w:rsidR="005F76F3" w:rsidRPr="00D61F1D" w:rsidRDefault="005F76F3" w:rsidP="001A04CB">
      <w:pPr>
        <w:spacing w:line="480" w:lineRule="auto"/>
        <w:ind w:firstLine="720"/>
        <w:jc w:val="both"/>
        <w:rPr>
          <w:rFonts w:ascii="Times New Roman" w:hAnsi="Times New Roman"/>
          <w:sz w:val="24"/>
          <w:szCs w:val="24"/>
        </w:rPr>
      </w:pPr>
      <w:r>
        <w:rPr>
          <w:rFonts w:ascii="Times New Roman" w:hAnsi="Times New Roman"/>
          <w:sz w:val="24"/>
          <w:szCs w:val="24"/>
        </w:rPr>
        <w:t>We find that using certification (an underwriter or a prestigious auditory) leads geographically close investors to receive more shares in the IPO, and that this effect is present in both over- and under-priced offerings. Occupationally close individuals tend to receive more IPO shares than others, and this effect is not strongly affected by the presence or absence of certification. Occupationally and geographically close investors tend to be able to discriminate between good and bad IPOs, and this result holds regardless of whether or not underwriters or prestigious auditors are used. Such investors tend to receive proportionally larger allocations than other investors when there is a lack of certification in a good IPO, perhaps since they do not need certifiers to spot a good bargain. However, the result is reversed for bad IPOs. Occupationally and geographically close investors’ ability to reduce their allocations in bad IPOs is aided by underwriters and prestigious auditors. The results for institutions are robust. Institutions receive more shares in over-priced IPOs than under-priced IPOs, and the magnitude of this difference is little changed regardless of whether or not underwriters or auditors are used.</w:t>
      </w:r>
    </w:p>
    <w:p w:rsidR="005F76F3" w:rsidRPr="007E43F9" w:rsidRDefault="005F76F3" w:rsidP="00162C3D">
      <w:pPr>
        <w:spacing w:line="480" w:lineRule="auto"/>
        <w:jc w:val="both"/>
        <w:rPr>
          <w:rFonts w:ascii="Times New Roman" w:hAnsi="Times New Roman"/>
          <w:b/>
          <w:sz w:val="24"/>
          <w:szCs w:val="24"/>
        </w:rPr>
      </w:pPr>
      <w:r>
        <w:rPr>
          <w:rFonts w:ascii="Times New Roman" w:hAnsi="Times New Roman"/>
          <w:b/>
          <w:sz w:val="24"/>
          <w:szCs w:val="24"/>
        </w:rPr>
        <w:t>5</w:t>
      </w:r>
      <w:r w:rsidRPr="007E43F9">
        <w:rPr>
          <w:rFonts w:ascii="Times New Roman" w:hAnsi="Times New Roman"/>
          <w:b/>
          <w:sz w:val="24"/>
          <w:szCs w:val="24"/>
        </w:rPr>
        <w:t xml:space="preserve">. </w:t>
      </w:r>
      <w:r>
        <w:rPr>
          <w:rFonts w:ascii="Times New Roman" w:hAnsi="Times New Roman"/>
          <w:b/>
          <w:sz w:val="24"/>
          <w:szCs w:val="24"/>
        </w:rPr>
        <w:t>Conclusion</w:t>
      </w:r>
    </w:p>
    <w:p w:rsidR="005F76F3" w:rsidRDefault="005F76F3" w:rsidP="00DC249D">
      <w:pPr>
        <w:spacing w:line="480" w:lineRule="auto"/>
        <w:ind w:firstLine="720"/>
        <w:jc w:val="both"/>
        <w:rPr>
          <w:rFonts w:ascii="Times New Roman" w:hAnsi="Times New Roman"/>
          <w:sz w:val="24"/>
          <w:szCs w:val="24"/>
        </w:rPr>
      </w:pPr>
      <w:r>
        <w:rPr>
          <w:rFonts w:ascii="Times New Roman" w:hAnsi="Times New Roman"/>
          <w:sz w:val="24"/>
          <w:szCs w:val="24"/>
        </w:rPr>
        <w:t>W</w:t>
      </w:r>
      <w:r w:rsidRPr="009C5C1D">
        <w:rPr>
          <w:rFonts w:ascii="Times New Roman" w:hAnsi="Times New Roman"/>
          <w:sz w:val="24"/>
          <w:szCs w:val="24"/>
        </w:rPr>
        <w:t xml:space="preserve">e </w:t>
      </w:r>
      <w:r>
        <w:rPr>
          <w:rFonts w:ascii="Times New Roman" w:hAnsi="Times New Roman"/>
          <w:sz w:val="24"/>
          <w:szCs w:val="24"/>
        </w:rPr>
        <w:t xml:space="preserve">observe actual IPO allocations for a random sample of 141 IPO allocations over a 20 year period in the U.K. We </w:t>
      </w:r>
      <w:r w:rsidRPr="009C5C1D">
        <w:rPr>
          <w:rFonts w:ascii="Times New Roman" w:hAnsi="Times New Roman"/>
          <w:sz w:val="24"/>
          <w:szCs w:val="24"/>
        </w:rPr>
        <w:t xml:space="preserve">have </w:t>
      </w:r>
      <w:r>
        <w:rPr>
          <w:rFonts w:ascii="Times New Roman" w:hAnsi="Times New Roman"/>
          <w:sz w:val="24"/>
          <w:szCs w:val="24"/>
        </w:rPr>
        <w:t xml:space="preserve">detailed </w:t>
      </w:r>
      <w:r w:rsidRPr="009C5C1D">
        <w:rPr>
          <w:rFonts w:ascii="Times New Roman" w:hAnsi="Times New Roman"/>
          <w:sz w:val="24"/>
          <w:szCs w:val="24"/>
        </w:rPr>
        <w:t xml:space="preserve">information on </w:t>
      </w:r>
      <w:r>
        <w:rPr>
          <w:rFonts w:ascii="Times New Roman" w:hAnsi="Times New Roman"/>
          <w:sz w:val="24"/>
          <w:szCs w:val="24"/>
        </w:rPr>
        <w:t>the occupation and address of each investor</w:t>
      </w:r>
      <w:r w:rsidRPr="009C5C1D">
        <w:rPr>
          <w:rFonts w:ascii="Times New Roman" w:hAnsi="Times New Roman"/>
          <w:sz w:val="24"/>
          <w:szCs w:val="24"/>
        </w:rPr>
        <w:t xml:space="preserve"> </w:t>
      </w:r>
      <w:r>
        <w:rPr>
          <w:rFonts w:ascii="Times New Roman" w:hAnsi="Times New Roman"/>
          <w:sz w:val="24"/>
          <w:szCs w:val="24"/>
        </w:rPr>
        <w:t xml:space="preserve">which we believe is likely to be correlated with whether the investor is </w:t>
      </w:r>
      <w:r w:rsidRPr="009C5C1D">
        <w:rPr>
          <w:rFonts w:ascii="Times New Roman" w:hAnsi="Times New Roman"/>
          <w:sz w:val="24"/>
          <w:szCs w:val="24"/>
        </w:rPr>
        <w:t xml:space="preserve">informed </w:t>
      </w:r>
      <w:r>
        <w:rPr>
          <w:rFonts w:ascii="Times New Roman" w:hAnsi="Times New Roman"/>
          <w:sz w:val="24"/>
          <w:szCs w:val="24"/>
        </w:rPr>
        <w:t>or not about the value of the company issuing a prospectus.</w:t>
      </w:r>
    </w:p>
    <w:p w:rsidR="005F76F3" w:rsidRDefault="005F76F3" w:rsidP="00DC249D">
      <w:pPr>
        <w:spacing w:line="480" w:lineRule="auto"/>
        <w:ind w:firstLine="720"/>
        <w:jc w:val="both"/>
        <w:rPr>
          <w:rFonts w:ascii="Times New Roman" w:hAnsi="Times New Roman"/>
          <w:sz w:val="24"/>
          <w:szCs w:val="24"/>
        </w:rPr>
      </w:pPr>
      <w:r>
        <w:rPr>
          <w:rFonts w:ascii="Times New Roman" w:hAnsi="Times New Roman"/>
          <w:sz w:val="24"/>
          <w:szCs w:val="24"/>
        </w:rPr>
        <w:t>We test Rock’s (1986) model of IPO underpricing using actual IPO allocation data for all investors. We find that an investor who possesses occupation or geographical proximity (but not both) tends to receive larger allocations of over-priced (bad) IPOs. However, an individual who is both geographically close and works in a related occupation appears to be able to receive larger allotments in under-priced IPOs, and smaller allotments in over-priced IPOs, than individuals without both forms of proximity.</w:t>
      </w:r>
    </w:p>
    <w:p w:rsidR="005F76F3" w:rsidRDefault="005F76F3" w:rsidP="00DC249D">
      <w:pPr>
        <w:spacing w:line="480" w:lineRule="auto"/>
        <w:ind w:firstLine="720"/>
        <w:jc w:val="both"/>
        <w:rPr>
          <w:rFonts w:ascii="Times New Roman" w:hAnsi="Times New Roman"/>
          <w:sz w:val="24"/>
          <w:szCs w:val="24"/>
        </w:rPr>
      </w:pPr>
      <w:r>
        <w:rPr>
          <w:rFonts w:ascii="Times New Roman" w:hAnsi="Times New Roman"/>
          <w:sz w:val="24"/>
          <w:szCs w:val="24"/>
        </w:rPr>
        <w:t>Institutions do not get allocated more underpriced IPO shares; in fact they take more of the overpriced IPOs. This may indicate that institutional investors who are found to receive better IPO allocations in other data sets do so because of other reasons (such as Benveniste and Spindt’s information trade-off or rent seeking).</w:t>
      </w:r>
    </w:p>
    <w:p w:rsidR="005F76F3" w:rsidRDefault="005F76F3" w:rsidP="00AF0DA0">
      <w:pPr>
        <w:spacing w:line="480" w:lineRule="auto"/>
        <w:ind w:firstLine="720"/>
        <w:jc w:val="both"/>
        <w:rPr>
          <w:rFonts w:ascii="Times New Roman" w:hAnsi="Times New Roman"/>
          <w:sz w:val="24"/>
          <w:szCs w:val="24"/>
        </w:rPr>
      </w:pPr>
      <w:r>
        <w:rPr>
          <w:rFonts w:ascii="Times New Roman" w:hAnsi="Times New Roman"/>
          <w:sz w:val="24"/>
          <w:szCs w:val="24"/>
        </w:rPr>
        <w:br w:type="page"/>
      </w:r>
    </w:p>
    <w:p w:rsidR="005F76F3" w:rsidRPr="00F534F3" w:rsidRDefault="005F76F3" w:rsidP="00910BBD">
      <w:pPr>
        <w:spacing w:line="240" w:lineRule="auto"/>
        <w:jc w:val="both"/>
        <w:rPr>
          <w:rFonts w:ascii="Times New Roman" w:hAnsi="Times New Roman"/>
          <w:b/>
          <w:sz w:val="24"/>
          <w:szCs w:val="24"/>
        </w:rPr>
      </w:pPr>
      <w:r>
        <w:rPr>
          <w:rFonts w:ascii="Times New Roman" w:hAnsi="Times New Roman"/>
          <w:b/>
          <w:sz w:val="24"/>
          <w:szCs w:val="24"/>
        </w:rPr>
        <w:t>R</w:t>
      </w:r>
      <w:r w:rsidRPr="00F534F3">
        <w:rPr>
          <w:rFonts w:ascii="Times New Roman" w:hAnsi="Times New Roman"/>
          <w:b/>
          <w:sz w:val="24"/>
          <w:szCs w:val="24"/>
        </w:rPr>
        <w:t>eferences</w:t>
      </w:r>
    </w:p>
    <w:p w:rsidR="005F76F3" w:rsidRDefault="005F76F3" w:rsidP="00B277AF">
      <w:pPr>
        <w:spacing w:line="240" w:lineRule="auto"/>
        <w:jc w:val="both"/>
        <w:rPr>
          <w:rFonts w:ascii="Times New Roman" w:hAnsi="Times New Roman"/>
          <w:sz w:val="24"/>
          <w:szCs w:val="24"/>
        </w:rPr>
      </w:pPr>
      <w:r w:rsidRPr="00E04F13">
        <w:rPr>
          <w:rFonts w:ascii="Times New Roman" w:hAnsi="Times New Roman"/>
          <w:sz w:val="24"/>
          <w:szCs w:val="24"/>
        </w:rPr>
        <w:t>Aggarwal, Reena (2002) Allocation of initial public offerings and flipping activity. Journal of Financial Economics 68: 111-135</w:t>
      </w:r>
      <w:r>
        <w:rPr>
          <w:rFonts w:ascii="Times New Roman" w:hAnsi="Times New Roman"/>
          <w:sz w:val="24"/>
          <w:szCs w:val="24"/>
        </w:rPr>
        <w:t>.</w:t>
      </w:r>
    </w:p>
    <w:p w:rsidR="005F76F3" w:rsidRPr="00F534F3" w:rsidRDefault="005F76F3" w:rsidP="00B277AF">
      <w:pPr>
        <w:spacing w:line="240" w:lineRule="auto"/>
        <w:jc w:val="both"/>
        <w:rPr>
          <w:rFonts w:ascii="Times New Roman" w:hAnsi="Times New Roman"/>
          <w:sz w:val="24"/>
          <w:szCs w:val="24"/>
        </w:rPr>
      </w:pPr>
      <w:r w:rsidRPr="00F534F3">
        <w:rPr>
          <w:rFonts w:ascii="Times New Roman" w:hAnsi="Times New Roman"/>
          <w:sz w:val="24"/>
          <w:szCs w:val="24"/>
        </w:rPr>
        <w:t>Aggarwal, Reena, Nagpurnanand R. Prabhala, and Manju Puri (2002), Institutional allocation in initial public offerings: Empirical evidence, Journal of Finance 57, 1421-1442.</w:t>
      </w:r>
    </w:p>
    <w:p w:rsidR="005F76F3" w:rsidRPr="00F534F3" w:rsidRDefault="005F76F3" w:rsidP="00B277AF">
      <w:pPr>
        <w:spacing w:line="240" w:lineRule="auto"/>
        <w:jc w:val="both"/>
        <w:rPr>
          <w:rFonts w:ascii="Times New Roman" w:hAnsi="Times New Roman"/>
          <w:sz w:val="24"/>
          <w:szCs w:val="24"/>
          <w:highlight w:val="yellow"/>
        </w:rPr>
      </w:pPr>
      <w:r w:rsidRPr="00F534F3">
        <w:rPr>
          <w:rFonts w:ascii="Times New Roman" w:hAnsi="Times New Roman"/>
          <w:sz w:val="24"/>
          <w:szCs w:val="24"/>
        </w:rPr>
        <w:t>Amihud, Yakov, Shmuel Hauser, and Amir Kirsh (2003), Allocations, adverse selection, and the cascades in IPOs: Evidence from the Tel Aviv Stock Exchange, Journal of Financial Economics 68, 137-158.</w:t>
      </w:r>
    </w:p>
    <w:p w:rsidR="005F76F3" w:rsidRDefault="005F76F3" w:rsidP="00B277AF">
      <w:pPr>
        <w:spacing w:line="240" w:lineRule="auto"/>
        <w:jc w:val="both"/>
        <w:rPr>
          <w:rFonts w:ascii="Times New Roman" w:hAnsi="Times New Roman"/>
          <w:sz w:val="24"/>
          <w:szCs w:val="24"/>
        </w:rPr>
      </w:pPr>
      <w:r w:rsidRPr="00B3776E">
        <w:rPr>
          <w:rFonts w:ascii="Times New Roman" w:hAnsi="Times New Roman"/>
          <w:sz w:val="24"/>
          <w:szCs w:val="24"/>
        </w:rPr>
        <w:t>Armstrong, John</w:t>
      </w:r>
      <w:r>
        <w:rPr>
          <w:rFonts w:ascii="Times New Roman" w:hAnsi="Times New Roman"/>
          <w:sz w:val="24"/>
          <w:szCs w:val="24"/>
        </w:rPr>
        <w:t xml:space="preserve"> (1990)</w:t>
      </w:r>
      <w:r w:rsidRPr="00B3776E">
        <w:rPr>
          <w:rFonts w:ascii="Times New Roman" w:hAnsi="Times New Roman"/>
          <w:sz w:val="24"/>
          <w:szCs w:val="24"/>
        </w:rPr>
        <w:t xml:space="preserve"> “The Rise and Fall of the Company Promoter and the Financing </w:t>
      </w:r>
      <w:r w:rsidRPr="00B3776E">
        <w:rPr>
          <w:rFonts w:ascii="Times New Roman" w:hAnsi="Times New Roman"/>
          <w:spacing w:val="12"/>
          <w:sz w:val="24"/>
          <w:szCs w:val="24"/>
        </w:rPr>
        <w:br/>
      </w:r>
      <w:r w:rsidRPr="00B3776E">
        <w:rPr>
          <w:rFonts w:ascii="Times New Roman" w:hAnsi="Times New Roman"/>
          <w:sz w:val="24"/>
          <w:szCs w:val="24"/>
        </w:rPr>
        <w:t xml:space="preserve">of British Industry.” In </w:t>
      </w:r>
      <w:r w:rsidRPr="00B3776E">
        <w:rPr>
          <w:rStyle w:val="Italics"/>
          <w:rFonts w:ascii="Times New Roman" w:hAnsi="Times New Roman"/>
          <w:iCs/>
          <w:sz w:val="24"/>
          <w:szCs w:val="24"/>
        </w:rPr>
        <w:t>Capitalism in a Mature Economy: Financial Institutions, Capital Exports, and British Industry, 1870</w:t>
      </w:r>
      <w:r w:rsidRPr="00B3776E">
        <w:rPr>
          <w:rFonts w:ascii="Times New Roman" w:hAnsi="Times New Roman"/>
          <w:sz w:val="24"/>
          <w:szCs w:val="24"/>
        </w:rPr>
        <w:t>‒</w:t>
      </w:r>
      <w:r w:rsidRPr="00B3776E">
        <w:rPr>
          <w:rStyle w:val="Italics"/>
          <w:rFonts w:ascii="Times New Roman" w:hAnsi="Times New Roman"/>
          <w:iCs/>
          <w:sz w:val="24"/>
          <w:szCs w:val="24"/>
        </w:rPr>
        <w:t>1939</w:t>
      </w:r>
      <w:r w:rsidRPr="00B3776E">
        <w:rPr>
          <w:rFonts w:ascii="Times New Roman" w:hAnsi="Times New Roman"/>
          <w:sz w:val="24"/>
          <w:szCs w:val="24"/>
        </w:rPr>
        <w:t>, edited by J. J. van Helten and Y. Cassis, 115‒39. Aldershot, UK: Edwin Elgar Publishing, 1990.</w:t>
      </w:r>
    </w:p>
    <w:p w:rsidR="005F76F3" w:rsidRDefault="005F76F3" w:rsidP="00B277AF">
      <w:pPr>
        <w:spacing w:line="240" w:lineRule="auto"/>
        <w:jc w:val="both"/>
        <w:rPr>
          <w:rFonts w:ascii="Times New Roman" w:hAnsi="Times New Roman"/>
          <w:sz w:val="24"/>
          <w:szCs w:val="24"/>
        </w:rPr>
      </w:pPr>
      <w:r w:rsidRPr="00AF0DA0">
        <w:rPr>
          <w:rFonts w:ascii="Times New Roman" w:hAnsi="Times New Roman"/>
          <w:sz w:val="24"/>
          <w:szCs w:val="24"/>
        </w:rPr>
        <w:t>Baron David, (1982)</w:t>
      </w:r>
      <w:r w:rsidRPr="00AF0DA0">
        <w:t xml:space="preserve"> </w:t>
      </w:r>
      <w:r w:rsidRPr="00AF0DA0">
        <w:rPr>
          <w:rFonts w:ascii="Times New Roman" w:hAnsi="Times New Roman"/>
          <w:sz w:val="24"/>
          <w:szCs w:val="24"/>
        </w:rPr>
        <w:t>A Model of the Demand for Investment Banking Advising and Distribution Services for New Issues</w:t>
      </w:r>
      <w:r>
        <w:rPr>
          <w:rFonts w:ascii="Times New Roman" w:hAnsi="Times New Roman"/>
          <w:sz w:val="24"/>
          <w:szCs w:val="24"/>
        </w:rPr>
        <w:t>, Journal of Finance, 37, 955-976.</w:t>
      </w:r>
    </w:p>
    <w:p w:rsidR="005F76F3" w:rsidRPr="00B3776E" w:rsidRDefault="005F76F3" w:rsidP="00B277AF">
      <w:pPr>
        <w:spacing w:line="240" w:lineRule="auto"/>
        <w:jc w:val="both"/>
        <w:rPr>
          <w:rFonts w:ascii="Times New Roman" w:hAnsi="Times New Roman"/>
          <w:sz w:val="24"/>
          <w:szCs w:val="24"/>
        </w:rPr>
      </w:pPr>
      <w:r w:rsidRPr="00B3776E">
        <w:rPr>
          <w:rFonts w:ascii="Times New Roman" w:hAnsi="Times New Roman"/>
          <w:sz w:val="24"/>
          <w:szCs w:val="24"/>
        </w:rPr>
        <w:t xml:space="preserve">Benveniste, Lawrence M., and Paul A. Spindt (1989), How investment bankers determine the final offer price and allocation of new issues, Journal of Financial Economics 24, 343-361.  </w:t>
      </w:r>
    </w:p>
    <w:p w:rsidR="005F76F3" w:rsidRPr="00B3776E" w:rsidRDefault="005F76F3" w:rsidP="00B277AF">
      <w:pPr>
        <w:spacing w:line="240" w:lineRule="auto"/>
        <w:jc w:val="both"/>
        <w:rPr>
          <w:rFonts w:ascii="Times New Roman" w:hAnsi="Times New Roman"/>
          <w:sz w:val="24"/>
          <w:szCs w:val="24"/>
        </w:rPr>
      </w:pPr>
      <w:r w:rsidRPr="00B3776E">
        <w:rPr>
          <w:rFonts w:ascii="Times New Roman" w:hAnsi="Times New Roman"/>
          <w:sz w:val="24"/>
          <w:szCs w:val="24"/>
        </w:rPr>
        <w:t>Burhop, Carsten, David Chambers, and Brian Cheffins. “Is Regulation Essential to Stock Market Development? Going Public in London and Berlin, 1900‒1913.” Working Paper, University of Cambridge, 2011.</w:t>
      </w:r>
    </w:p>
    <w:p w:rsidR="005F76F3" w:rsidRDefault="005F76F3" w:rsidP="00B277AF">
      <w:pPr>
        <w:spacing w:line="240" w:lineRule="auto"/>
        <w:jc w:val="both"/>
        <w:rPr>
          <w:rFonts w:ascii="Times New Roman" w:hAnsi="Times New Roman"/>
          <w:sz w:val="24"/>
          <w:szCs w:val="24"/>
        </w:rPr>
      </w:pPr>
      <w:r w:rsidRPr="00B3776E">
        <w:rPr>
          <w:rFonts w:ascii="Times New Roman" w:hAnsi="Times New Roman"/>
          <w:sz w:val="24"/>
          <w:szCs w:val="24"/>
        </w:rPr>
        <w:t>Braggion, Fabio and Lyndon Moore (</w:t>
      </w:r>
      <w:r>
        <w:rPr>
          <w:rFonts w:ascii="Times New Roman" w:hAnsi="Times New Roman"/>
          <w:sz w:val="24"/>
          <w:szCs w:val="24"/>
        </w:rPr>
        <w:t xml:space="preserve">2013), </w:t>
      </w:r>
      <w:r w:rsidRPr="00B3776E">
        <w:rPr>
          <w:rFonts w:ascii="Times New Roman" w:hAnsi="Times New Roman"/>
          <w:sz w:val="24"/>
          <w:szCs w:val="24"/>
        </w:rPr>
        <w:t>The Economic Benefits of Political Connections in Late Victorian Britain</w:t>
      </w:r>
      <w:r>
        <w:rPr>
          <w:rFonts w:ascii="Times New Roman" w:hAnsi="Times New Roman"/>
          <w:sz w:val="24"/>
          <w:szCs w:val="24"/>
        </w:rPr>
        <w:t>, Journal of Economic History 73, 142-176.</w:t>
      </w:r>
    </w:p>
    <w:p w:rsidR="005F76F3" w:rsidRDefault="005F76F3" w:rsidP="00B277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Brennan, Michal J., and Julian Franks (1997), Underpricing, ownership and control in initial public offerings of equity securities in the U.K., Journal of Financial Economics 45, 391-413. </w:t>
      </w:r>
    </w:p>
    <w:p w:rsidR="005F76F3" w:rsidRDefault="005F76F3" w:rsidP="00B277AF">
      <w:pPr>
        <w:spacing w:line="240" w:lineRule="auto"/>
        <w:jc w:val="both"/>
        <w:rPr>
          <w:rFonts w:ascii="Times New Roman" w:hAnsi="Times New Roman"/>
          <w:sz w:val="24"/>
          <w:szCs w:val="24"/>
        </w:rPr>
      </w:pPr>
    </w:p>
    <w:p w:rsidR="005F76F3" w:rsidRDefault="005F76F3" w:rsidP="00B277AF">
      <w:pPr>
        <w:spacing w:line="240" w:lineRule="auto"/>
        <w:jc w:val="both"/>
        <w:rPr>
          <w:rFonts w:ascii="Times New Roman" w:hAnsi="Times New Roman"/>
          <w:sz w:val="24"/>
          <w:szCs w:val="24"/>
        </w:rPr>
      </w:pPr>
      <w:r w:rsidRPr="00F534F3">
        <w:rPr>
          <w:rFonts w:ascii="Times New Roman" w:hAnsi="Times New Roman"/>
          <w:sz w:val="24"/>
          <w:szCs w:val="24"/>
        </w:rPr>
        <w:t xml:space="preserve">Chambers, David and Elroy Dimson (2009), IPO underpricing over the very long run, Journal of Finance 64, 1407-1443. </w:t>
      </w:r>
    </w:p>
    <w:p w:rsidR="005F76F3" w:rsidRDefault="005F76F3" w:rsidP="00B277AF">
      <w:pPr>
        <w:spacing w:line="240" w:lineRule="auto"/>
        <w:jc w:val="both"/>
        <w:rPr>
          <w:rFonts w:ascii="Times New Roman" w:hAnsi="Times New Roman"/>
          <w:sz w:val="24"/>
          <w:szCs w:val="24"/>
        </w:rPr>
      </w:pPr>
      <w:r w:rsidRPr="00B3776E">
        <w:rPr>
          <w:rFonts w:ascii="Times New Roman" w:hAnsi="Times New Roman"/>
          <w:sz w:val="24"/>
          <w:szCs w:val="24"/>
        </w:rPr>
        <w:t>Cheffins</w:t>
      </w:r>
      <w:r>
        <w:rPr>
          <w:rFonts w:ascii="Times New Roman" w:hAnsi="Times New Roman"/>
          <w:sz w:val="24"/>
          <w:szCs w:val="24"/>
        </w:rPr>
        <w:t>, Brian (2008),</w:t>
      </w:r>
      <w:r w:rsidRPr="00B3776E">
        <w:t xml:space="preserve"> </w:t>
      </w:r>
      <w:r w:rsidRPr="00B3776E">
        <w:rPr>
          <w:rFonts w:ascii="Times New Roman" w:hAnsi="Times New Roman"/>
          <w:sz w:val="24"/>
          <w:szCs w:val="24"/>
        </w:rPr>
        <w:t>Corporate Ownership and Control: Britis</w:t>
      </w:r>
      <w:r>
        <w:rPr>
          <w:rFonts w:ascii="Times New Roman" w:hAnsi="Times New Roman"/>
          <w:sz w:val="24"/>
          <w:szCs w:val="24"/>
        </w:rPr>
        <w:t>h Business Transformed. Oxford University Press</w:t>
      </w:r>
      <w:r w:rsidRPr="00B3776E">
        <w:rPr>
          <w:rFonts w:ascii="Times New Roman" w:hAnsi="Times New Roman"/>
          <w:sz w:val="24"/>
          <w:szCs w:val="24"/>
        </w:rPr>
        <w:t>.</w:t>
      </w:r>
    </w:p>
    <w:p w:rsidR="005F76F3" w:rsidRPr="009E1704" w:rsidRDefault="005F76F3" w:rsidP="00B277AF">
      <w:pPr>
        <w:spacing w:line="240" w:lineRule="auto"/>
        <w:jc w:val="both"/>
        <w:rPr>
          <w:rFonts w:ascii="Times New Roman" w:hAnsi="Times New Roman"/>
          <w:bCs/>
          <w:color w:val="000000"/>
          <w:sz w:val="24"/>
          <w:szCs w:val="24"/>
        </w:rPr>
      </w:pPr>
      <w:r w:rsidRPr="009E1704">
        <w:rPr>
          <w:rFonts w:ascii="Times New Roman" w:hAnsi="Times New Roman"/>
          <w:bCs/>
          <w:color w:val="000000"/>
          <w:sz w:val="24"/>
          <w:szCs w:val="24"/>
        </w:rPr>
        <w:t>Cornelli,</w:t>
      </w:r>
      <w:r>
        <w:rPr>
          <w:rFonts w:ascii="Times New Roman" w:hAnsi="Times New Roman"/>
          <w:bCs/>
          <w:color w:val="000000"/>
          <w:sz w:val="24"/>
          <w:szCs w:val="24"/>
        </w:rPr>
        <w:t xml:space="preserve"> Francesca and David Goldreich (</w:t>
      </w:r>
      <w:r w:rsidRPr="009E1704">
        <w:rPr>
          <w:rFonts w:ascii="Times New Roman" w:hAnsi="Times New Roman"/>
          <w:bCs/>
          <w:color w:val="000000"/>
          <w:sz w:val="24"/>
          <w:szCs w:val="24"/>
        </w:rPr>
        <w:t>2001</w:t>
      </w:r>
      <w:r>
        <w:rPr>
          <w:rFonts w:ascii="Times New Roman" w:hAnsi="Times New Roman"/>
          <w:bCs/>
          <w:color w:val="000000"/>
          <w:sz w:val="24"/>
          <w:szCs w:val="24"/>
        </w:rPr>
        <w:t>)</w:t>
      </w:r>
      <w:r w:rsidRPr="009E1704">
        <w:rPr>
          <w:rFonts w:ascii="Times New Roman" w:hAnsi="Times New Roman"/>
          <w:bCs/>
          <w:color w:val="000000"/>
          <w:sz w:val="24"/>
          <w:szCs w:val="24"/>
        </w:rPr>
        <w:t>, Bookbuilding and strategic allocation, Journal of Finance 56, 2337-2369.</w:t>
      </w:r>
    </w:p>
    <w:p w:rsidR="005F76F3" w:rsidRPr="009E1704" w:rsidRDefault="005F76F3" w:rsidP="00B277AF">
      <w:pPr>
        <w:spacing w:line="240" w:lineRule="auto"/>
        <w:jc w:val="both"/>
        <w:rPr>
          <w:rFonts w:ascii="Times New Roman" w:hAnsi="Times New Roman"/>
          <w:bCs/>
          <w:color w:val="000000"/>
          <w:sz w:val="24"/>
          <w:szCs w:val="24"/>
        </w:rPr>
      </w:pPr>
      <w:r w:rsidRPr="009E1704">
        <w:rPr>
          <w:rFonts w:ascii="Times New Roman" w:hAnsi="Times New Roman"/>
          <w:bCs/>
          <w:color w:val="000000"/>
          <w:sz w:val="24"/>
          <w:szCs w:val="24"/>
        </w:rPr>
        <w:t>Cornelli, Francesca and David Goldreich</w:t>
      </w:r>
      <w:r>
        <w:rPr>
          <w:rFonts w:ascii="Times New Roman" w:hAnsi="Times New Roman"/>
          <w:bCs/>
          <w:color w:val="000000"/>
          <w:sz w:val="24"/>
          <w:szCs w:val="24"/>
        </w:rPr>
        <w:t xml:space="preserve"> (</w:t>
      </w:r>
      <w:r w:rsidRPr="009E1704">
        <w:rPr>
          <w:rFonts w:ascii="Times New Roman" w:hAnsi="Times New Roman"/>
          <w:bCs/>
          <w:color w:val="000000"/>
          <w:sz w:val="24"/>
          <w:szCs w:val="24"/>
        </w:rPr>
        <w:t>2003</w:t>
      </w:r>
      <w:r>
        <w:rPr>
          <w:rFonts w:ascii="Times New Roman" w:hAnsi="Times New Roman"/>
          <w:bCs/>
          <w:color w:val="000000"/>
          <w:sz w:val="24"/>
          <w:szCs w:val="24"/>
        </w:rPr>
        <w:t>),</w:t>
      </w:r>
      <w:r w:rsidRPr="009E1704">
        <w:rPr>
          <w:rFonts w:ascii="Times New Roman" w:hAnsi="Times New Roman"/>
          <w:bCs/>
          <w:color w:val="000000"/>
          <w:sz w:val="24"/>
          <w:szCs w:val="24"/>
        </w:rPr>
        <w:t xml:space="preserve"> Bookbuilding: How informative is the order book?, Journal of Finance 58, 1415-1443.</w:t>
      </w:r>
    </w:p>
    <w:p w:rsidR="005F76F3" w:rsidRPr="00F534F3" w:rsidRDefault="005F76F3" w:rsidP="00B277AF">
      <w:pPr>
        <w:spacing w:line="240" w:lineRule="auto"/>
        <w:jc w:val="both"/>
        <w:rPr>
          <w:rFonts w:ascii="Times New Roman" w:hAnsi="Times New Roman"/>
          <w:sz w:val="24"/>
          <w:szCs w:val="24"/>
        </w:rPr>
      </w:pPr>
      <w:r w:rsidRPr="00F534F3">
        <w:rPr>
          <w:rFonts w:ascii="Times New Roman" w:hAnsi="Times New Roman"/>
          <w:sz w:val="24"/>
          <w:szCs w:val="24"/>
        </w:rPr>
        <w:t>Franks, Julian, Colin Mayer, and Stefano Rossi (2009), Ownership: Evolution and Regulation, Review of Financial Studies 22, 4009-4056.</w:t>
      </w:r>
    </w:p>
    <w:p w:rsidR="005F76F3" w:rsidRDefault="005F76F3" w:rsidP="00B277AF">
      <w:pPr>
        <w:spacing w:line="240" w:lineRule="auto"/>
        <w:jc w:val="both"/>
        <w:rPr>
          <w:rFonts w:ascii="Times New Roman" w:hAnsi="Times New Roman"/>
          <w:sz w:val="24"/>
          <w:szCs w:val="24"/>
        </w:rPr>
      </w:pPr>
      <w:r w:rsidRPr="00F534F3">
        <w:rPr>
          <w:rFonts w:ascii="Times New Roman" w:hAnsi="Times New Roman"/>
          <w:sz w:val="24"/>
          <w:szCs w:val="24"/>
        </w:rPr>
        <w:t>Hanley, Kathleen Weiss, and William J., Wilhem Jr. (1995), Evidence on the strategic allocation of initial public offerings, Journal of Financial Economics 37, 239-257.</w:t>
      </w:r>
    </w:p>
    <w:p w:rsidR="005F76F3" w:rsidRDefault="005F76F3" w:rsidP="00B277AF">
      <w:pPr>
        <w:spacing w:line="240" w:lineRule="auto"/>
        <w:jc w:val="both"/>
        <w:rPr>
          <w:rFonts w:ascii="Times New Roman" w:hAnsi="Times New Roman"/>
          <w:sz w:val="24"/>
          <w:szCs w:val="24"/>
        </w:rPr>
      </w:pPr>
      <w:r w:rsidRPr="00B3776E">
        <w:rPr>
          <w:rFonts w:ascii="Times New Roman" w:hAnsi="Times New Roman"/>
          <w:sz w:val="24"/>
          <w:szCs w:val="24"/>
        </w:rPr>
        <w:t>Hannah (2007)</w:t>
      </w:r>
      <w:r w:rsidRPr="00B3776E">
        <w:t xml:space="preserve"> </w:t>
      </w:r>
      <w:r w:rsidRPr="00B3776E">
        <w:rPr>
          <w:rFonts w:ascii="Times New Roman" w:hAnsi="Times New Roman"/>
          <w:sz w:val="24"/>
          <w:szCs w:val="24"/>
        </w:rPr>
        <w:t>“Pioneering Modern Corporate Governance: A View from London in 1900.”</w:t>
      </w:r>
      <w:r>
        <w:rPr>
          <w:rFonts w:ascii="Times New Roman" w:hAnsi="Times New Roman"/>
          <w:sz w:val="24"/>
          <w:szCs w:val="24"/>
        </w:rPr>
        <w:t xml:space="preserve"> </w:t>
      </w:r>
      <w:r w:rsidRPr="00B3776E">
        <w:rPr>
          <w:rFonts w:ascii="Times New Roman" w:hAnsi="Times New Roman"/>
          <w:sz w:val="24"/>
          <w:szCs w:val="24"/>
        </w:rPr>
        <w:t>Enterpr</w:t>
      </w:r>
      <w:r>
        <w:rPr>
          <w:rFonts w:ascii="Times New Roman" w:hAnsi="Times New Roman"/>
          <w:sz w:val="24"/>
          <w:szCs w:val="24"/>
        </w:rPr>
        <w:t>ise and Society 8,</w:t>
      </w:r>
      <w:r w:rsidRPr="00B3776E">
        <w:rPr>
          <w:rFonts w:ascii="Times New Roman" w:hAnsi="Times New Roman"/>
          <w:sz w:val="24"/>
          <w:szCs w:val="24"/>
        </w:rPr>
        <w:t xml:space="preserve"> 642‒86.</w:t>
      </w:r>
    </w:p>
    <w:p w:rsidR="005F76F3" w:rsidRDefault="005F76F3" w:rsidP="00B277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Hensler, D.A., (1995), Litigation costs and the underpricing of initial public offerings,</w:t>
      </w:r>
    </w:p>
    <w:p w:rsidR="005F76F3" w:rsidRDefault="005F76F3" w:rsidP="00B277AF">
      <w:pPr>
        <w:spacing w:line="240" w:lineRule="auto"/>
        <w:jc w:val="both"/>
        <w:rPr>
          <w:rFonts w:ascii="Times New Roman" w:hAnsi="Times New Roman"/>
          <w:sz w:val="24"/>
          <w:szCs w:val="24"/>
        </w:rPr>
      </w:pPr>
      <w:r>
        <w:rPr>
          <w:rFonts w:ascii="Times New Roman" w:hAnsi="Times New Roman"/>
          <w:sz w:val="24"/>
          <w:szCs w:val="24"/>
        </w:rPr>
        <w:t>Managerial and Decision Economics 16, 111-128.</w:t>
      </w:r>
    </w:p>
    <w:p w:rsidR="005F76F3" w:rsidRDefault="005F76F3" w:rsidP="00B277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Hughes, P.J., and A.V. Thakor (1992), Litigation risk, intermediation, and the underpricing of</w:t>
      </w:r>
    </w:p>
    <w:p w:rsidR="005F76F3" w:rsidRDefault="005F76F3" w:rsidP="00B277AF">
      <w:pPr>
        <w:spacing w:line="240" w:lineRule="auto"/>
        <w:jc w:val="both"/>
        <w:rPr>
          <w:rFonts w:ascii="Times New Roman" w:hAnsi="Times New Roman"/>
          <w:sz w:val="24"/>
          <w:szCs w:val="24"/>
          <w:highlight w:val="yellow"/>
        </w:rPr>
      </w:pPr>
      <w:r>
        <w:rPr>
          <w:rFonts w:ascii="Times New Roman" w:hAnsi="Times New Roman"/>
          <w:sz w:val="24"/>
          <w:szCs w:val="24"/>
        </w:rPr>
        <w:t>initial public offerings, Review of Financial Studies 5, 709-742.</w:t>
      </w:r>
      <w:r w:rsidRPr="00834CFD">
        <w:rPr>
          <w:rFonts w:ascii="Times New Roman" w:hAnsi="Times New Roman"/>
          <w:sz w:val="24"/>
          <w:szCs w:val="24"/>
          <w:highlight w:val="yellow"/>
        </w:rPr>
        <w:t xml:space="preserve"> </w:t>
      </w:r>
    </w:p>
    <w:p w:rsidR="005F76F3" w:rsidRDefault="005F76F3" w:rsidP="00B277AF">
      <w:pPr>
        <w:spacing w:line="240" w:lineRule="auto"/>
        <w:jc w:val="both"/>
        <w:rPr>
          <w:rFonts w:ascii="Times New Roman" w:hAnsi="Times New Roman"/>
          <w:bCs/>
          <w:color w:val="000000"/>
          <w:sz w:val="24"/>
          <w:szCs w:val="24"/>
        </w:rPr>
      </w:pPr>
      <w:r w:rsidRPr="00F534F3">
        <w:rPr>
          <w:rFonts w:ascii="Times New Roman" w:hAnsi="Times New Roman"/>
          <w:bCs/>
          <w:color w:val="000000"/>
          <w:sz w:val="24"/>
          <w:szCs w:val="24"/>
        </w:rPr>
        <w:t>Jenkinson, Tim and Howard Jones (2004), Bids and allocations in European IPO bookbuilding, Journal of Finance 59, 2309-2338.</w:t>
      </w:r>
    </w:p>
    <w:p w:rsidR="005F76F3" w:rsidRPr="00F534F3" w:rsidRDefault="005F76F3" w:rsidP="00B277AF">
      <w:pPr>
        <w:spacing w:line="240" w:lineRule="auto"/>
        <w:jc w:val="both"/>
        <w:rPr>
          <w:rFonts w:ascii="Times New Roman" w:hAnsi="Times New Roman"/>
          <w:bCs/>
          <w:color w:val="000000"/>
          <w:sz w:val="24"/>
          <w:szCs w:val="24"/>
        </w:rPr>
      </w:pPr>
      <w:r>
        <w:rPr>
          <w:rFonts w:ascii="Times New Roman" w:hAnsi="Times New Roman"/>
          <w:bCs/>
          <w:color w:val="000000"/>
          <w:sz w:val="24"/>
          <w:szCs w:val="24"/>
        </w:rPr>
        <w:t>Jenkinson Tim and Howard Jones</w:t>
      </w:r>
      <w:r w:rsidRPr="00231D7F">
        <w:rPr>
          <w:rFonts w:ascii="Times New Roman" w:hAnsi="Times New Roman"/>
          <w:bCs/>
          <w:color w:val="000000"/>
          <w:sz w:val="24"/>
          <w:szCs w:val="24"/>
        </w:rPr>
        <w:t xml:space="preserve"> </w:t>
      </w:r>
      <w:r>
        <w:rPr>
          <w:rFonts w:ascii="Times New Roman" w:hAnsi="Times New Roman"/>
          <w:bCs/>
          <w:color w:val="000000"/>
          <w:sz w:val="24"/>
          <w:szCs w:val="24"/>
        </w:rPr>
        <w:t>(2009),</w:t>
      </w:r>
      <w:r w:rsidRPr="00231D7F">
        <w:rPr>
          <w:rFonts w:ascii="Times New Roman" w:hAnsi="Times New Roman"/>
          <w:bCs/>
          <w:color w:val="000000"/>
          <w:sz w:val="24"/>
          <w:szCs w:val="24"/>
        </w:rPr>
        <w:t xml:space="preserve"> Competitive IPOs. Eur</w:t>
      </w:r>
      <w:r>
        <w:rPr>
          <w:rFonts w:ascii="Times New Roman" w:hAnsi="Times New Roman"/>
          <w:bCs/>
          <w:color w:val="000000"/>
          <w:sz w:val="24"/>
          <w:szCs w:val="24"/>
        </w:rPr>
        <w:t xml:space="preserve">opean Financial Management 15, </w:t>
      </w:r>
      <w:r w:rsidRPr="00231D7F">
        <w:rPr>
          <w:rFonts w:ascii="Times New Roman" w:hAnsi="Times New Roman"/>
          <w:bCs/>
          <w:color w:val="000000"/>
          <w:sz w:val="24"/>
          <w:szCs w:val="24"/>
        </w:rPr>
        <w:t>733–56</w:t>
      </w:r>
    </w:p>
    <w:p w:rsidR="005F76F3" w:rsidRDefault="005F76F3" w:rsidP="00B277AF">
      <w:pPr>
        <w:spacing w:line="240" w:lineRule="auto"/>
        <w:jc w:val="both"/>
        <w:rPr>
          <w:rFonts w:ascii="Times New Roman" w:hAnsi="Times New Roman"/>
          <w:sz w:val="24"/>
          <w:szCs w:val="24"/>
        </w:rPr>
      </w:pPr>
      <w:r w:rsidRPr="00F534F3">
        <w:rPr>
          <w:rFonts w:ascii="Times New Roman" w:hAnsi="Times New Roman"/>
          <w:sz w:val="24"/>
          <w:szCs w:val="24"/>
        </w:rPr>
        <w:t xml:space="preserve">Keloharju, Matti (1993), The winners’s curse, legal liability, and the long-run price performance of initial public offerings in Finland. </w:t>
      </w:r>
    </w:p>
    <w:p w:rsidR="005F76F3" w:rsidRDefault="005F76F3" w:rsidP="00B277AF">
      <w:pPr>
        <w:spacing w:line="240" w:lineRule="auto"/>
        <w:jc w:val="both"/>
        <w:rPr>
          <w:rFonts w:ascii="Times New Roman" w:hAnsi="Times New Roman"/>
          <w:sz w:val="24"/>
          <w:szCs w:val="24"/>
        </w:rPr>
      </w:pPr>
      <w:r>
        <w:rPr>
          <w:rFonts w:ascii="Times New Roman" w:hAnsi="Times New Roman"/>
          <w:sz w:val="24"/>
          <w:szCs w:val="24"/>
        </w:rPr>
        <w:t>Kennedy,William (1987),</w:t>
      </w:r>
      <w:r w:rsidRPr="00B3776E">
        <w:rPr>
          <w:rFonts w:ascii="Times New Roman" w:hAnsi="Times New Roman"/>
          <w:sz w:val="24"/>
          <w:szCs w:val="24"/>
        </w:rPr>
        <w:t xml:space="preserve"> Industrial Structure, Capital Mark</w:t>
      </w:r>
      <w:r>
        <w:rPr>
          <w:rFonts w:ascii="Times New Roman" w:hAnsi="Times New Roman"/>
          <w:sz w:val="24"/>
          <w:szCs w:val="24"/>
        </w:rPr>
        <w:t xml:space="preserve">ets, and the Origins of British </w:t>
      </w:r>
      <w:r w:rsidRPr="00B3776E">
        <w:rPr>
          <w:rFonts w:ascii="Times New Roman" w:hAnsi="Times New Roman"/>
          <w:sz w:val="24"/>
          <w:szCs w:val="24"/>
        </w:rPr>
        <w:t>Economic Decline. Cambridge,</w:t>
      </w:r>
      <w:r>
        <w:rPr>
          <w:rFonts w:ascii="Times New Roman" w:hAnsi="Times New Roman"/>
          <w:sz w:val="24"/>
          <w:szCs w:val="24"/>
        </w:rPr>
        <w:t xml:space="preserve"> MA: Cambridge University Press</w:t>
      </w:r>
      <w:r w:rsidRPr="00B3776E">
        <w:rPr>
          <w:rFonts w:ascii="Times New Roman" w:hAnsi="Times New Roman"/>
          <w:sz w:val="24"/>
          <w:szCs w:val="24"/>
        </w:rPr>
        <w:t>.</w:t>
      </w:r>
    </w:p>
    <w:p w:rsidR="005F76F3" w:rsidRDefault="005F76F3" w:rsidP="00B277AF">
      <w:pPr>
        <w:spacing w:line="240" w:lineRule="auto"/>
        <w:jc w:val="both"/>
        <w:rPr>
          <w:rFonts w:ascii="Times New Roman" w:hAnsi="Times New Roman"/>
          <w:sz w:val="24"/>
          <w:szCs w:val="24"/>
        </w:rPr>
      </w:pPr>
      <w:r w:rsidRPr="00F534F3">
        <w:rPr>
          <w:rFonts w:ascii="Times New Roman" w:hAnsi="Times New Roman"/>
          <w:sz w:val="24"/>
          <w:szCs w:val="24"/>
        </w:rPr>
        <w:t>Koh, Francis and Terry Walter (1989), A direct test of Rock’s model of the pricing of unseasoned issues, Journal of Financial Economics 23, 251-272.</w:t>
      </w:r>
    </w:p>
    <w:p w:rsidR="005F76F3" w:rsidRDefault="005F76F3" w:rsidP="00B277AF">
      <w:pPr>
        <w:spacing w:line="240" w:lineRule="auto"/>
        <w:jc w:val="both"/>
        <w:rPr>
          <w:rFonts w:ascii="Times New Roman" w:hAnsi="Times New Roman"/>
          <w:sz w:val="24"/>
          <w:szCs w:val="24"/>
        </w:rPr>
      </w:pPr>
      <w:r w:rsidRPr="00E04F13">
        <w:rPr>
          <w:rFonts w:ascii="Times New Roman" w:hAnsi="Times New Roman"/>
          <w:sz w:val="24"/>
          <w:szCs w:val="24"/>
        </w:rPr>
        <w:t>Krigman, L. Shaw, W.H. Womack, K. (1999): The persistence of IPO mispricing and the predictive power of flipping. Journal of Finance 3, 1015-1044</w:t>
      </w:r>
    </w:p>
    <w:p w:rsidR="005F76F3" w:rsidRPr="00F534F3" w:rsidRDefault="005F76F3" w:rsidP="00B277AF">
      <w:pPr>
        <w:spacing w:line="240" w:lineRule="auto"/>
        <w:jc w:val="both"/>
        <w:rPr>
          <w:rFonts w:ascii="Times New Roman" w:hAnsi="Times New Roman"/>
          <w:sz w:val="24"/>
          <w:szCs w:val="24"/>
        </w:rPr>
      </w:pPr>
      <w:r w:rsidRPr="00173CDB">
        <w:rPr>
          <w:rFonts w:ascii="Times New Roman" w:hAnsi="Times New Roman"/>
          <w:sz w:val="24"/>
          <w:szCs w:val="24"/>
        </w:rPr>
        <w:t>Lavington, Frederick (1921), The English capital market, Methuen, London.</w:t>
      </w:r>
      <w:r>
        <w:rPr>
          <w:rFonts w:ascii="Times New Roman" w:hAnsi="Times New Roman"/>
          <w:sz w:val="24"/>
          <w:szCs w:val="24"/>
        </w:rPr>
        <w:t>1921</w:t>
      </w:r>
    </w:p>
    <w:p w:rsidR="005F76F3" w:rsidRDefault="005F76F3" w:rsidP="00B277AF">
      <w:pPr>
        <w:spacing w:line="240" w:lineRule="auto"/>
        <w:jc w:val="both"/>
        <w:rPr>
          <w:rFonts w:ascii="Times New Roman" w:hAnsi="Times New Roman"/>
          <w:sz w:val="24"/>
          <w:szCs w:val="24"/>
        </w:rPr>
      </w:pPr>
      <w:r w:rsidRPr="00F534F3">
        <w:rPr>
          <w:rFonts w:ascii="Times New Roman" w:hAnsi="Times New Roman"/>
          <w:sz w:val="24"/>
          <w:szCs w:val="24"/>
        </w:rPr>
        <w:t xml:space="preserve">Levis, Mario (1990), The winner’s curse problem, interest costs and the underpricing of initial </w:t>
      </w:r>
      <w:r w:rsidRPr="001E1FE8">
        <w:rPr>
          <w:rFonts w:ascii="Times New Roman" w:hAnsi="Times New Roman"/>
          <w:sz w:val="24"/>
          <w:szCs w:val="24"/>
        </w:rPr>
        <w:t>public offerings, The Economic Journal 100, 76-89.</w:t>
      </w:r>
    </w:p>
    <w:p w:rsidR="005F76F3" w:rsidRPr="001E1FE8" w:rsidRDefault="005F76F3" w:rsidP="00B277AF">
      <w:pPr>
        <w:spacing w:line="240" w:lineRule="auto"/>
        <w:jc w:val="both"/>
        <w:rPr>
          <w:rFonts w:ascii="Times New Roman" w:hAnsi="Times New Roman"/>
          <w:sz w:val="24"/>
          <w:szCs w:val="24"/>
        </w:rPr>
      </w:pPr>
      <w:r w:rsidRPr="001E1FE8">
        <w:rPr>
          <w:rFonts w:ascii="Times New Roman" w:hAnsi="Times New Roman"/>
          <w:sz w:val="24"/>
          <w:szCs w:val="24"/>
        </w:rPr>
        <w:t>Liu, Xiaoding and Jay Ritter (2011), Local underwriter oligopolies and IPO underpricing,  Journal of Financial Economics, forthcoming.</w:t>
      </w:r>
    </w:p>
    <w:p w:rsidR="005F76F3" w:rsidRDefault="005F76F3" w:rsidP="00B277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Ljungqvist, A., V. Nanda, and R. Singh (2006), Hot markets, investor sentiment, and IPO</w:t>
      </w:r>
    </w:p>
    <w:p w:rsidR="005F76F3" w:rsidRDefault="005F76F3" w:rsidP="00B277AF">
      <w:pPr>
        <w:spacing w:line="240" w:lineRule="auto"/>
        <w:jc w:val="both"/>
        <w:rPr>
          <w:rFonts w:ascii="Times New Roman" w:hAnsi="Times New Roman"/>
          <w:sz w:val="24"/>
          <w:szCs w:val="24"/>
        </w:rPr>
      </w:pPr>
      <w:r>
        <w:rPr>
          <w:rFonts w:ascii="Times New Roman" w:hAnsi="Times New Roman"/>
          <w:sz w:val="24"/>
          <w:szCs w:val="24"/>
        </w:rPr>
        <w:t xml:space="preserve">pricing, Journal of Business 4, </w:t>
      </w:r>
      <w:r>
        <w:rPr>
          <w:rFonts w:ascii="Verdana" w:hAnsi="Verdana"/>
          <w:color w:val="333333"/>
        </w:rPr>
        <w:t>1667-1702.</w:t>
      </w:r>
      <w:r>
        <w:rPr>
          <w:rFonts w:ascii="Times New Roman" w:hAnsi="Times New Roman"/>
          <w:sz w:val="24"/>
          <w:szCs w:val="24"/>
        </w:rPr>
        <w:t xml:space="preserve"> </w:t>
      </w:r>
    </w:p>
    <w:p w:rsidR="005F76F3" w:rsidRPr="005E0909" w:rsidRDefault="005F76F3" w:rsidP="00B277AF">
      <w:pPr>
        <w:spacing w:line="240" w:lineRule="auto"/>
        <w:jc w:val="both"/>
        <w:rPr>
          <w:rFonts w:ascii="Times New Roman" w:hAnsi="Times New Roman"/>
          <w:sz w:val="24"/>
          <w:szCs w:val="24"/>
        </w:rPr>
      </w:pPr>
      <w:r w:rsidRPr="00F534F3">
        <w:rPr>
          <w:rFonts w:ascii="Times New Roman" w:hAnsi="Times New Roman"/>
          <w:sz w:val="24"/>
          <w:szCs w:val="24"/>
        </w:rPr>
        <w:t xml:space="preserve">Ljungqvist, Alexander P. (2007), IPO underpricing, in B.E. Eckbo, ed. Handbook of Corporate </w:t>
      </w:r>
      <w:r w:rsidRPr="005E0909">
        <w:rPr>
          <w:rFonts w:ascii="Times New Roman" w:hAnsi="Times New Roman"/>
          <w:sz w:val="24"/>
          <w:szCs w:val="24"/>
        </w:rPr>
        <w:t>Finance: Empirical Corporate Finance (Elsevier, Amsterdam).</w:t>
      </w:r>
    </w:p>
    <w:p w:rsidR="005F76F3" w:rsidRDefault="005F76F3" w:rsidP="00B277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Loughran, Tim, and Jay Ritter (2002), Why don’t issuers get upset about leaving money on the table in IPOs?, Review of Financial Studies 15, 413-443.</w:t>
      </w:r>
    </w:p>
    <w:p w:rsidR="005F76F3" w:rsidRPr="00AD2451" w:rsidRDefault="005F76F3" w:rsidP="00B277AF">
      <w:pPr>
        <w:autoSpaceDE w:val="0"/>
        <w:autoSpaceDN w:val="0"/>
        <w:adjustRightInd w:val="0"/>
        <w:spacing w:after="0" w:line="240" w:lineRule="auto"/>
        <w:jc w:val="both"/>
      </w:pPr>
    </w:p>
    <w:p w:rsidR="005F76F3" w:rsidRPr="005E0909" w:rsidRDefault="005F76F3" w:rsidP="00B277AF">
      <w:pPr>
        <w:spacing w:line="240" w:lineRule="auto"/>
        <w:jc w:val="both"/>
        <w:rPr>
          <w:rFonts w:ascii="Times New Roman" w:hAnsi="Times New Roman"/>
          <w:sz w:val="24"/>
          <w:szCs w:val="24"/>
        </w:rPr>
      </w:pPr>
      <w:r w:rsidRPr="005E0909">
        <w:rPr>
          <w:rFonts w:ascii="Times New Roman" w:hAnsi="Times New Roman"/>
          <w:sz w:val="24"/>
          <w:szCs w:val="24"/>
        </w:rPr>
        <w:t>Loughran, Tim and Jay Ritter, (2004), Why has IPO underpricing changed over t</w:t>
      </w:r>
      <w:r>
        <w:rPr>
          <w:rFonts w:ascii="Times New Roman" w:hAnsi="Times New Roman"/>
          <w:sz w:val="24"/>
          <w:szCs w:val="24"/>
        </w:rPr>
        <w:t xml:space="preserve">ime?, </w:t>
      </w:r>
      <w:r w:rsidRPr="005E0909">
        <w:rPr>
          <w:rFonts w:ascii="Times New Roman" w:hAnsi="Times New Roman"/>
          <w:sz w:val="24"/>
          <w:szCs w:val="24"/>
        </w:rPr>
        <w:t>Financial Management 3, 5-37.</w:t>
      </w:r>
    </w:p>
    <w:p w:rsidR="005F76F3" w:rsidRDefault="005F76F3" w:rsidP="00B277AF">
      <w:pPr>
        <w:spacing w:line="240" w:lineRule="auto"/>
        <w:jc w:val="both"/>
        <w:rPr>
          <w:rFonts w:ascii="Times New Roman" w:hAnsi="Times New Roman"/>
          <w:sz w:val="24"/>
          <w:szCs w:val="24"/>
        </w:rPr>
      </w:pPr>
      <w:r w:rsidRPr="00F534F3">
        <w:rPr>
          <w:rFonts w:ascii="Times New Roman" w:hAnsi="Times New Roman"/>
          <w:sz w:val="24"/>
          <w:szCs w:val="24"/>
        </w:rPr>
        <w:t>Michaely, Roni and Wayne H. Shaw (1994), The pricing or initial public offerings: Tests of adverse-selection and signalling theories, Review of Financial Studies 7, 279-319.</w:t>
      </w:r>
    </w:p>
    <w:p w:rsidR="005F76F3" w:rsidRDefault="005F76F3" w:rsidP="00B277AF">
      <w:pPr>
        <w:spacing w:line="240" w:lineRule="auto"/>
        <w:jc w:val="both"/>
        <w:rPr>
          <w:rFonts w:ascii="Times New Roman" w:hAnsi="Times New Roman"/>
          <w:sz w:val="24"/>
          <w:szCs w:val="24"/>
        </w:rPr>
      </w:pPr>
      <w:r w:rsidRPr="00B3776E">
        <w:rPr>
          <w:rFonts w:ascii="Times New Roman" w:hAnsi="Times New Roman"/>
          <w:sz w:val="24"/>
          <w:szCs w:val="24"/>
        </w:rPr>
        <w:t>Michie</w:t>
      </w:r>
      <w:r>
        <w:rPr>
          <w:rFonts w:ascii="Times New Roman" w:hAnsi="Times New Roman"/>
          <w:sz w:val="24"/>
          <w:szCs w:val="24"/>
        </w:rPr>
        <w:t>, Ranald</w:t>
      </w:r>
      <w:r w:rsidRPr="00B3776E">
        <w:rPr>
          <w:rFonts w:ascii="Times New Roman" w:hAnsi="Times New Roman"/>
          <w:sz w:val="24"/>
          <w:szCs w:val="24"/>
        </w:rPr>
        <w:t xml:space="preserve"> (2004)</w:t>
      </w:r>
      <w:r>
        <w:rPr>
          <w:rFonts w:ascii="Times New Roman" w:hAnsi="Times New Roman"/>
          <w:sz w:val="24"/>
          <w:szCs w:val="24"/>
        </w:rPr>
        <w:t>, The London Stock Exchange: A History, Oxford University Press.</w:t>
      </w:r>
    </w:p>
    <w:p w:rsidR="005F76F3" w:rsidRDefault="005F76F3" w:rsidP="00B277AF">
      <w:pPr>
        <w:spacing w:line="240" w:lineRule="auto"/>
        <w:jc w:val="both"/>
        <w:rPr>
          <w:rFonts w:ascii="Times New Roman" w:hAnsi="Times New Roman"/>
          <w:sz w:val="24"/>
          <w:szCs w:val="24"/>
        </w:rPr>
      </w:pPr>
      <w:r w:rsidRPr="00AF0DA0">
        <w:rPr>
          <w:rFonts w:ascii="Times New Roman" w:hAnsi="Times New Roman"/>
          <w:sz w:val="24"/>
          <w:szCs w:val="24"/>
        </w:rPr>
        <w:t>Rajan and Zingales (2003)</w:t>
      </w:r>
      <w:r>
        <w:rPr>
          <w:rFonts w:ascii="Times New Roman" w:hAnsi="Times New Roman"/>
          <w:sz w:val="24"/>
          <w:szCs w:val="24"/>
        </w:rPr>
        <w:t>,</w:t>
      </w:r>
      <w:r w:rsidRPr="00AF0DA0">
        <w:rPr>
          <w:rFonts w:ascii="Times New Roman" w:hAnsi="Times New Roman"/>
          <w:sz w:val="24"/>
          <w:szCs w:val="24"/>
        </w:rPr>
        <w:t xml:space="preserve"> The great reversals: the politics of financial development in the twentieth century</w:t>
      </w:r>
      <w:r>
        <w:rPr>
          <w:rFonts w:ascii="Times New Roman" w:hAnsi="Times New Roman"/>
          <w:sz w:val="24"/>
          <w:szCs w:val="24"/>
        </w:rPr>
        <w:t>, Journal of Financial Economics, 69, 5-50.</w:t>
      </w:r>
    </w:p>
    <w:p w:rsidR="005F76F3" w:rsidRDefault="005F76F3" w:rsidP="00A80D09">
      <w:pPr>
        <w:spacing w:line="240" w:lineRule="auto"/>
        <w:jc w:val="both"/>
        <w:rPr>
          <w:rFonts w:ascii="Times New Roman" w:hAnsi="Times New Roman"/>
          <w:sz w:val="24"/>
          <w:szCs w:val="24"/>
        </w:rPr>
      </w:pPr>
      <w:r w:rsidRPr="00A80D09">
        <w:rPr>
          <w:rFonts w:ascii="Times New Roman" w:hAnsi="Times New Roman"/>
          <w:sz w:val="24"/>
          <w:szCs w:val="24"/>
        </w:rPr>
        <w:t xml:space="preserve">Ritter (2011), Equilibrium in the Initial Public Offerings Market, </w:t>
      </w:r>
      <w:r>
        <w:rPr>
          <w:rFonts w:ascii="Times New Roman" w:hAnsi="Times New Roman"/>
          <w:sz w:val="24"/>
          <w:szCs w:val="24"/>
        </w:rPr>
        <w:t xml:space="preserve">Annual Review of Financial Economics, 3, </w:t>
      </w:r>
      <w:r w:rsidRPr="00A80D09">
        <w:rPr>
          <w:rFonts w:ascii="Times New Roman" w:hAnsi="Times New Roman"/>
          <w:sz w:val="24"/>
          <w:szCs w:val="24"/>
        </w:rPr>
        <w:t>347–74</w:t>
      </w:r>
      <w:r>
        <w:rPr>
          <w:rFonts w:ascii="Times New Roman" w:hAnsi="Times New Roman"/>
          <w:sz w:val="24"/>
          <w:szCs w:val="24"/>
        </w:rPr>
        <w:t>.</w:t>
      </w:r>
    </w:p>
    <w:p w:rsidR="005F76F3" w:rsidRDefault="005F76F3" w:rsidP="00B277AF">
      <w:pPr>
        <w:spacing w:line="240" w:lineRule="auto"/>
        <w:jc w:val="both"/>
        <w:rPr>
          <w:rFonts w:ascii="Times New Roman" w:hAnsi="Times New Roman"/>
          <w:sz w:val="24"/>
          <w:szCs w:val="24"/>
        </w:rPr>
      </w:pPr>
      <w:r w:rsidRPr="00F534F3">
        <w:rPr>
          <w:rFonts w:ascii="Times New Roman" w:hAnsi="Times New Roman"/>
          <w:sz w:val="24"/>
          <w:szCs w:val="24"/>
        </w:rPr>
        <w:t>Rock, Kevin (1986), Why new issues are underpriced?, Journal of Financial Economics 15, 187-212.</w:t>
      </w:r>
    </w:p>
    <w:p w:rsidR="005F76F3" w:rsidRDefault="005F76F3" w:rsidP="00B277AF">
      <w:pPr>
        <w:spacing w:line="240" w:lineRule="auto"/>
        <w:jc w:val="both"/>
        <w:rPr>
          <w:rFonts w:ascii="Times New Roman" w:hAnsi="Times New Roman"/>
          <w:sz w:val="24"/>
          <w:szCs w:val="24"/>
        </w:rPr>
      </w:pPr>
      <w:r w:rsidRPr="00F534F3">
        <w:rPr>
          <w:rFonts w:ascii="Times New Roman" w:hAnsi="Times New Roman"/>
          <w:sz w:val="24"/>
          <w:szCs w:val="24"/>
        </w:rPr>
        <w:t>Rutterford, Janette (2011), ‘Propositions put forward by quite honest men’: Company prospectuses and their contents, 1856 to 1940, Business History 53, 866-899.</w:t>
      </w:r>
    </w:p>
    <w:p w:rsidR="005F76F3" w:rsidRDefault="005F76F3" w:rsidP="00B277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Ruud, J.S., (1993), Underwriter price support and the IPO underpricing puzzle, Journal of</w:t>
      </w:r>
    </w:p>
    <w:p w:rsidR="005F76F3" w:rsidRDefault="005F76F3" w:rsidP="00B277AF">
      <w:pPr>
        <w:spacing w:line="240" w:lineRule="auto"/>
        <w:jc w:val="both"/>
        <w:rPr>
          <w:rFonts w:ascii="Times New Roman" w:hAnsi="Times New Roman"/>
          <w:sz w:val="24"/>
          <w:szCs w:val="24"/>
          <w:highlight w:val="yellow"/>
        </w:rPr>
      </w:pPr>
      <w:r>
        <w:rPr>
          <w:rFonts w:ascii="Times New Roman" w:hAnsi="Times New Roman"/>
          <w:sz w:val="24"/>
          <w:szCs w:val="24"/>
        </w:rPr>
        <w:t>Financial Economics 34, 135-151.</w:t>
      </w:r>
      <w:r w:rsidRPr="00A84BB4">
        <w:rPr>
          <w:rFonts w:ascii="Times New Roman" w:hAnsi="Times New Roman"/>
          <w:sz w:val="24"/>
          <w:szCs w:val="24"/>
          <w:highlight w:val="yellow"/>
        </w:rPr>
        <w:t xml:space="preserve"> </w:t>
      </w:r>
    </w:p>
    <w:p w:rsidR="005F76F3" w:rsidRDefault="005F76F3" w:rsidP="00B277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Rydqvist, Kristian (1997), IPO Underpricing as tax-efficient compensation, </w:t>
      </w:r>
      <w:r>
        <w:rPr>
          <w:rFonts w:ascii="Times New Roman" w:hAnsi="Times New Roman"/>
          <w:i/>
          <w:iCs/>
          <w:sz w:val="24"/>
          <w:szCs w:val="24"/>
        </w:rPr>
        <w:t xml:space="preserve">Journal of Banking and Finance </w:t>
      </w:r>
      <w:r>
        <w:rPr>
          <w:rFonts w:ascii="Times New Roman" w:hAnsi="Times New Roman"/>
          <w:sz w:val="24"/>
          <w:szCs w:val="24"/>
        </w:rPr>
        <w:t>21, 295–313.</w:t>
      </w:r>
    </w:p>
    <w:p w:rsidR="005F76F3" w:rsidRDefault="005F76F3" w:rsidP="00B277AF">
      <w:pPr>
        <w:autoSpaceDE w:val="0"/>
        <w:autoSpaceDN w:val="0"/>
        <w:adjustRightInd w:val="0"/>
        <w:spacing w:after="0" w:line="240" w:lineRule="auto"/>
        <w:jc w:val="both"/>
        <w:rPr>
          <w:rFonts w:ascii="Times New Roman" w:hAnsi="Times New Roman"/>
          <w:sz w:val="24"/>
          <w:szCs w:val="24"/>
        </w:rPr>
      </w:pPr>
    </w:p>
    <w:p w:rsidR="005F76F3" w:rsidRDefault="005F76F3" w:rsidP="00B277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Stoughton, N. M., and J. Zechner (1998), IPO mechanisms, monitoring and ownership structure,</w:t>
      </w:r>
    </w:p>
    <w:p w:rsidR="005F76F3" w:rsidRDefault="005F76F3" w:rsidP="00B277AF">
      <w:pPr>
        <w:spacing w:line="240" w:lineRule="auto"/>
        <w:jc w:val="both"/>
        <w:rPr>
          <w:rFonts w:ascii="Times New Roman" w:hAnsi="Times New Roman"/>
          <w:sz w:val="24"/>
          <w:szCs w:val="24"/>
          <w:highlight w:val="yellow"/>
        </w:rPr>
      </w:pPr>
      <w:r>
        <w:rPr>
          <w:rFonts w:ascii="Times New Roman" w:hAnsi="Times New Roman"/>
          <w:sz w:val="24"/>
          <w:szCs w:val="24"/>
        </w:rPr>
        <w:t>Journal of Financial Economics 49, 45-78.</w:t>
      </w:r>
      <w:r w:rsidRPr="00EA25FC">
        <w:rPr>
          <w:rFonts w:ascii="Times New Roman" w:hAnsi="Times New Roman"/>
          <w:sz w:val="24"/>
          <w:szCs w:val="24"/>
          <w:highlight w:val="yellow"/>
        </w:rPr>
        <w:t xml:space="preserve"> </w:t>
      </w:r>
    </w:p>
    <w:p w:rsidR="005F76F3" w:rsidRDefault="005F76F3" w:rsidP="00B277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Taranto, Mark (2003), Employee stock options and the underpricing of initial public offerings,</w:t>
      </w:r>
    </w:p>
    <w:p w:rsidR="005F76F3" w:rsidRDefault="005F76F3" w:rsidP="00B277AF">
      <w:pPr>
        <w:spacing w:line="240" w:lineRule="auto"/>
        <w:jc w:val="both"/>
        <w:rPr>
          <w:rFonts w:ascii="Times New Roman" w:hAnsi="Times New Roman"/>
          <w:sz w:val="24"/>
          <w:szCs w:val="24"/>
          <w:highlight w:val="yellow"/>
        </w:rPr>
      </w:pPr>
      <w:r>
        <w:rPr>
          <w:rFonts w:ascii="Times New Roman" w:hAnsi="Times New Roman"/>
          <w:sz w:val="24"/>
          <w:szCs w:val="24"/>
        </w:rPr>
        <w:t>unpublished working paper, University of Pennsylvania.</w:t>
      </w:r>
      <w:r w:rsidRPr="00A84BB4">
        <w:rPr>
          <w:rFonts w:ascii="Times New Roman" w:hAnsi="Times New Roman"/>
          <w:sz w:val="24"/>
          <w:szCs w:val="24"/>
          <w:highlight w:val="yellow"/>
        </w:rPr>
        <w:t xml:space="preserve"> </w:t>
      </w:r>
    </w:p>
    <w:p w:rsidR="005F76F3" w:rsidRDefault="005F76F3" w:rsidP="00B277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Tinic, S.M. (1988), Anatomy of initial public offerings of common stock, Journal of Finance 43,</w:t>
      </w:r>
    </w:p>
    <w:p w:rsidR="005F76F3" w:rsidRDefault="005F76F3" w:rsidP="00B277AF">
      <w:pPr>
        <w:spacing w:line="240" w:lineRule="auto"/>
        <w:jc w:val="both"/>
        <w:rPr>
          <w:rFonts w:ascii="Times New Roman" w:hAnsi="Times New Roman"/>
          <w:sz w:val="24"/>
          <w:szCs w:val="24"/>
          <w:highlight w:val="yellow"/>
        </w:rPr>
      </w:pPr>
      <w:r>
        <w:rPr>
          <w:rFonts w:ascii="Times New Roman" w:hAnsi="Times New Roman"/>
          <w:sz w:val="24"/>
          <w:szCs w:val="24"/>
        </w:rPr>
        <w:t>789-822.</w:t>
      </w:r>
    </w:p>
    <w:p w:rsidR="005F76F3" w:rsidRDefault="005F76F3" w:rsidP="00B277AF">
      <w:pPr>
        <w:spacing w:line="240" w:lineRule="auto"/>
        <w:jc w:val="both"/>
        <w:rPr>
          <w:rFonts w:ascii="Times New Roman" w:hAnsi="Times New Roman"/>
          <w:sz w:val="24"/>
          <w:szCs w:val="24"/>
          <w:highlight w:val="yellow"/>
        </w:rPr>
      </w:pPr>
      <w:r>
        <w:rPr>
          <w:rFonts w:ascii="Times New Roman" w:hAnsi="Times New Roman"/>
          <w:sz w:val="24"/>
          <w:szCs w:val="24"/>
        </w:rPr>
        <w:t>Welch, Ivo (1992), Sequential sales, learning and cascades, Journal of Finance 47, 695-732.</w:t>
      </w:r>
      <w:r w:rsidRPr="00EA25FC">
        <w:rPr>
          <w:rFonts w:ascii="Times New Roman" w:hAnsi="Times New Roman"/>
          <w:sz w:val="24"/>
          <w:szCs w:val="24"/>
          <w:highlight w:val="yellow"/>
        </w:rPr>
        <w:t xml:space="preserve"> </w:t>
      </w:r>
    </w:p>
    <w:p w:rsidR="005F76F3" w:rsidRDefault="005F76F3" w:rsidP="00CA731C">
      <w:pPr>
        <w:shd w:val="clear" w:color="auto" w:fill="FFFFFF"/>
        <w:spacing w:line="240" w:lineRule="auto"/>
        <w:jc w:val="both"/>
        <w:rPr>
          <w:rFonts w:ascii="Times New Roman" w:hAnsi="Times New Roman"/>
          <w:sz w:val="24"/>
          <w:szCs w:val="24"/>
          <w:lang w:eastAsia="en-AU"/>
        </w:rPr>
      </w:pPr>
      <w:r w:rsidRPr="00F534F3">
        <w:rPr>
          <w:rFonts w:ascii="Times New Roman" w:hAnsi="Times New Roman"/>
          <w:sz w:val="24"/>
          <w:szCs w:val="24"/>
          <w:lang w:eastAsia="en-AU"/>
        </w:rPr>
        <w:t xml:space="preserve">White, H. (1980), A heteroskedasticity-consistent covariance matrix estimator and a direct test for heteroskedasticity, </w:t>
      </w:r>
      <w:r w:rsidRPr="00F534F3">
        <w:rPr>
          <w:rFonts w:ascii="Times New Roman" w:hAnsi="Times New Roman"/>
          <w:iCs/>
          <w:sz w:val="24"/>
          <w:szCs w:val="24"/>
          <w:lang w:eastAsia="en-AU"/>
        </w:rPr>
        <w:t>Econometrica</w:t>
      </w:r>
      <w:r w:rsidRPr="00F534F3">
        <w:rPr>
          <w:rFonts w:ascii="Times New Roman" w:hAnsi="Times New Roman"/>
          <w:sz w:val="24"/>
          <w:szCs w:val="24"/>
          <w:lang w:eastAsia="en-AU"/>
        </w:rPr>
        <w:t xml:space="preserve"> 48, 817–830. </w:t>
      </w:r>
    </w:p>
    <w:p w:rsidR="005F76F3" w:rsidRDefault="005F76F3" w:rsidP="001B7B88">
      <w:pPr>
        <w:shd w:val="clear" w:color="auto" w:fill="FFFFFF"/>
        <w:spacing w:after="0" w:line="240" w:lineRule="auto"/>
        <w:jc w:val="both"/>
        <w:rPr>
          <w:rFonts w:ascii="Times New Roman" w:hAnsi="Times New Roman"/>
          <w:sz w:val="24"/>
          <w:szCs w:val="24"/>
          <w:lang w:eastAsia="en-AU"/>
        </w:rPr>
      </w:pPr>
      <w:r>
        <w:rPr>
          <w:rFonts w:ascii="Times New Roman" w:hAnsi="Times New Roman"/>
          <w:sz w:val="24"/>
          <w:szCs w:val="24"/>
          <w:lang w:eastAsia="en-AU"/>
        </w:rPr>
        <w:t xml:space="preserve">Woollard, M. (1999), The classification of occupations in the 1881 census of England and Wales, </w:t>
      </w:r>
      <w:r w:rsidRPr="00CA731C">
        <w:rPr>
          <w:rFonts w:ascii="Times New Roman" w:hAnsi="Times New Roman"/>
          <w:sz w:val="24"/>
          <w:szCs w:val="24"/>
          <w:lang w:eastAsia="en-AU"/>
        </w:rPr>
        <w:t>Historical Censuses and Social Surveys Research Group Occasional Paper No. 1</w:t>
      </w:r>
      <w:r>
        <w:rPr>
          <w:rFonts w:ascii="Times New Roman" w:hAnsi="Times New Roman"/>
          <w:sz w:val="24"/>
          <w:szCs w:val="24"/>
          <w:lang w:eastAsia="en-AU"/>
        </w:rPr>
        <w:t>, University of Essex.</w:t>
      </w:r>
    </w:p>
    <w:p w:rsidR="005F76F3" w:rsidRDefault="005F76F3" w:rsidP="00530A71">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br w:type="page"/>
      </w:r>
    </w:p>
    <w:p w:rsidR="005F76F3" w:rsidRDefault="005F76F3" w:rsidP="00840C5C">
      <w:pPr>
        <w:jc w:val="center"/>
        <w:rPr>
          <w:rFonts w:ascii="Times New Roman" w:hAnsi="Times New Roman"/>
          <w:b/>
          <w:sz w:val="24"/>
          <w:szCs w:val="24"/>
        </w:rPr>
        <w:sectPr w:rsidR="005F76F3" w:rsidSect="009E7789">
          <w:headerReference w:type="default" r:id="rId7"/>
          <w:footerReference w:type="default" r:id="rId8"/>
          <w:pgSz w:w="12240" w:h="15840" w:code="1"/>
          <w:pgMar w:top="1440" w:right="1440" w:bottom="1440" w:left="1440" w:header="709" w:footer="709" w:gutter="0"/>
          <w:cols w:space="708"/>
          <w:docGrid w:linePitch="360"/>
        </w:sectPr>
      </w:pPr>
    </w:p>
    <w:p w:rsidR="005F76F3" w:rsidRDefault="005F76F3" w:rsidP="00840C5C">
      <w:pPr>
        <w:spacing w:line="480" w:lineRule="auto"/>
        <w:jc w:val="both"/>
        <w:rPr>
          <w:rFonts w:ascii="Times New Roman" w:hAnsi="Times New Roman"/>
          <w:sz w:val="24"/>
          <w:szCs w:val="24"/>
        </w:rPr>
      </w:pPr>
      <w:r>
        <w:rPr>
          <w:rFonts w:ascii="Times New Roman" w:hAnsi="Times New Roman"/>
          <w:b/>
          <w:sz w:val="24"/>
          <w:szCs w:val="24"/>
        </w:rPr>
        <w:t xml:space="preserve">Figure 1. </w:t>
      </w:r>
      <w:r w:rsidRPr="005224CC">
        <w:rPr>
          <w:rFonts w:ascii="Times New Roman" w:hAnsi="Times New Roman"/>
          <w:sz w:val="24"/>
          <w:szCs w:val="24"/>
        </w:rPr>
        <w:t xml:space="preserve">This </w:t>
      </w:r>
      <w:r>
        <w:rPr>
          <w:rFonts w:ascii="Times New Roman" w:hAnsi="Times New Roman"/>
          <w:sz w:val="24"/>
          <w:szCs w:val="24"/>
        </w:rPr>
        <w:t>figure shows the timeline in the listing process</w:t>
      </w:r>
      <w:r w:rsidRPr="00D12C46">
        <w:rPr>
          <w:rFonts w:ascii="Times New Roman" w:hAnsi="Times New Roman"/>
          <w:sz w:val="24"/>
          <w:szCs w:val="24"/>
        </w:rPr>
        <w:t>.</w:t>
      </w:r>
    </w:p>
    <w:p w:rsidR="005F76F3" w:rsidRPr="00D12C46" w:rsidRDefault="005F76F3" w:rsidP="00840C5C">
      <w:pPr>
        <w:spacing w:line="480" w:lineRule="auto"/>
        <w:jc w:val="both"/>
        <w:rPr>
          <w:rFonts w:ascii="Times New Roman" w:hAnsi="Times New Roman"/>
          <w:b/>
          <w:sz w:val="24"/>
          <w:szCs w:val="24"/>
        </w:rPr>
      </w:pPr>
      <w:r>
        <w:t>A p</w:t>
      </w:r>
      <w:r w:rsidRPr="00D12C46">
        <w:t xml:space="preserve">rospectus </w:t>
      </w:r>
      <w:r>
        <w:t xml:space="preserve">was first </w:t>
      </w:r>
      <w:r w:rsidRPr="00D12C46">
        <w:t xml:space="preserve">issued </w:t>
      </w:r>
      <w:r>
        <w:t>by the company, and typically advertised in one or more newspapers</w:t>
      </w:r>
      <w:r w:rsidRPr="00D12C46">
        <w:t>.</w:t>
      </w:r>
      <w:r>
        <w:t xml:space="preserve"> Share applications we</w:t>
      </w:r>
      <w:r w:rsidRPr="00D12C46">
        <w:t xml:space="preserve">re then made by the public </w:t>
      </w:r>
      <w:r>
        <w:t xml:space="preserve">to the firm, </w:t>
      </w:r>
      <w:r w:rsidRPr="00D12C46">
        <w:t xml:space="preserve">followed by an allotment to successful applicants by the company. </w:t>
      </w:r>
      <w:r>
        <w:t>Companies then approached the stock exchange to request official listing, the l</w:t>
      </w:r>
      <w:r w:rsidRPr="00D12C46">
        <w:t>isting date is when official secondary t</w:t>
      </w:r>
      <w:r>
        <w:t>rading on the exchange commenced</w:t>
      </w:r>
      <w:r w:rsidRPr="00D12C46">
        <w:t xml:space="preserve">.  </w:t>
      </w:r>
      <w:r>
        <w:t xml:space="preserve">Fourteen days before the annual general meeting, a </w:t>
      </w:r>
      <w:r w:rsidRPr="00D12C46">
        <w:t xml:space="preserve">Form E </w:t>
      </w:r>
      <w:r>
        <w:t>(</w:t>
      </w:r>
      <w:r w:rsidRPr="00D12C46">
        <w:t>shareholder</w:t>
      </w:r>
      <w:r>
        <w:t>s’ list) was required to be submitted to the Registrar of Companies</w:t>
      </w:r>
      <w:r w:rsidRPr="00D12C46">
        <w:t xml:space="preserve">. </w:t>
      </w:r>
      <w:r>
        <w:t>The form E listed all share</w:t>
      </w:r>
      <w:r w:rsidRPr="00D12C46">
        <w:t xml:space="preserve"> sales (and for some companies share purchases) </w:t>
      </w:r>
      <w:r>
        <w:t>between the date of allotment and the compilation of the form E</w:t>
      </w:r>
      <w:r w:rsidRPr="00D12C46">
        <w:t>.</w:t>
      </w:r>
    </w:p>
    <w:p w:rsidR="005F76F3" w:rsidRDefault="005F76F3" w:rsidP="00840C5C">
      <w:pPr>
        <w:spacing w:line="480" w:lineRule="auto"/>
        <w:jc w:val="both"/>
        <w:rPr>
          <w:rFonts w:ascii="Times New Roman" w:hAnsi="Times New Roman"/>
          <w:b/>
          <w:sz w:val="24"/>
          <w:szCs w:val="24"/>
        </w:rPr>
      </w:pPr>
    </w:p>
    <w:p w:rsidR="005F76F3" w:rsidRDefault="005F76F3" w:rsidP="00840C5C">
      <w:pPr>
        <w:spacing w:line="480" w:lineRule="auto"/>
        <w:jc w:val="both"/>
        <w:rPr>
          <w:rFonts w:ascii="Times New Roman" w:hAnsi="Times New Roman"/>
          <w:b/>
          <w:sz w:val="24"/>
          <w:szCs w:val="24"/>
        </w:rPr>
      </w:pPr>
      <w:r>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62.4pt;margin-top:6.15pt;width:130.6pt;height:59.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">
            <v:textbox>
              <w:txbxContent>
                <w:p w:rsidR="005F76F3" w:rsidRDefault="005F76F3" w:rsidP="00840C5C">
                  <w:r>
                    <w:t>Shares allotted to applicants. Allotment list prepared by company</w:t>
                  </w:r>
                </w:p>
                <w:p w:rsidR="005F76F3" w:rsidRDefault="005F76F3" w:rsidP="00840C5C"/>
              </w:txbxContent>
            </v:textbox>
          </v:shape>
        </w:pict>
      </w:r>
      <w:r>
        <w:rPr>
          <w:noProof/>
          <w:lang w:val="en-GB" w:eastAsia="en-GB"/>
        </w:rPr>
        <w:pict>
          <v:shape id="_x0000_s1027" type="#_x0000_t202" style="position:absolute;left:0;text-align:left;margin-left:394.35pt;margin-top:16.15pt;width:108.85pt;height:5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">
            <v:textbox>
              <w:txbxContent>
                <w:p w:rsidR="005F76F3" w:rsidRDefault="005F76F3" w:rsidP="001C68DA">
                  <w:pPr>
                    <w:jc w:val="center"/>
                  </w:pPr>
                  <w:r>
                    <w:t>Form E</w:t>
                  </w:r>
                  <w:r>
                    <w:br/>
                    <w:t xml:space="preserve"> (shareholders’ list) is compiled</w:t>
                  </w:r>
                </w:p>
              </w:txbxContent>
            </v:textbox>
          </v:shape>
        </w:pict>
      </w:r>
      <w:r>
        <w:rPr>
          <w:noProof/>
          <w:lang w:val="en-GB" w:eastAsia="en-GB"/>
        </w:rPr>
        <w:pict>
          <v:shape id="_x0000_s1028" type="#_x0000_t202" style="position:absolute;left:0;text-align:left;margin-left:78.65pt;margin-top:24.5pt;width:79.3pt;height:42.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">
            <v:textbox>
              <w:txbxContent>
                <w:p w:rsidR="005F76F3" w:rsidRDefault="005F76F3" w:rsidP="00840C5C">
                  <w:r>
                    <w:t>Applications received</w:t>
                  </w:r>
                </w:p>
              </w:txbxContent>
            </v:textbox>
          </v:shape>
        </w:pict>
      </w:r>
      <w:r>
        <w:rPr>
          <w:noProof/>
          <w:lang w:val="en-GB" w:eastAsia="en-GB"/>
        </w:rPr>
        <w:pict>
          <v:shape id="_x0000_s1029" type="#_x0000_t202" style="position:absolute;left:0;text-align:left;margin-left:-10.9pt;margin-top:24.5pt;width:79.3pt;height:4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">
            <v:textbox>
              <w:txbxContent>
                <w:p w:rsidR="005F76F3" w:rsidRDefault="005F76F3" w:rsidP="001C68DA">
                  <w:r>
                    <w:t>Prospectus issued.</w:t>
                  </w:r>
                </w:p>
                <w:p w:rsidR="005F76F3" w:rsidRDefault="005F76F3" w:rsidP="00840C5C"/>
              </w:txbxContent>
            </v:textbox>
          </v:shape>
        </w:pict>
      </w:r>
      <w:r>
        <w:rPr>
          <w:noProof/>
          <w:lang w:val="en-GB" w:eastAsia="en-GB"/>
        </w:rPr>
        <w:pict>
          <v:shape id="_x0000_s1030" type="#_x0000_t202" style="position:absolute;left:0;text-align:left;margin-left:300pt;margin-top:16.55pt;width:79.3pt;height:128.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">
            <v:textbox style="mso-fit-shape-to-text:t">
              <w:txbxContent>
                <w:p w:rsidR="005F76F3" w:rsidRDefault="005F76F3" w:rsidP="00840C5C">
                  <w:r>
                    <w:t>Shares list on the exchange</w:t>
                  </w:r>
                </w:p>
              </w:txbxContent>
            </v:textbox>
          </v:shape>
        </w:pict>
      </w:r>
    </w:p>
    <w:p w:rsidR="005F76F3" w:rsidRDefault="005F76F3" w:rsidP="00840C5C">
      <w:pPr>
        <w:spacing w:line="480" w:lineRule="auto"/>
        <w:jc w:val="both"/>
        <w:rPr>
          <w:rFonts w:ascii="Times New Roman" w:hAnsi="Times New Roman"/>
          <w:b/>
          <w:sz w:val="24"/>
          <w:szCs w:val="24"/>
        </w:rPr>
      </w:pPr>
      <w:r>
        <w:rPr>
          <w:noProof/>
          <w:lang w:val="en-GB" w:eastAsia="en-GB"/>
        </w:rPr>
        <w:pict>
          <v:line id="Straight Connector 19" o:spid="_x0000_s1031" style="position:absolute;left:0;text-align:left;z-index:251663360;visibility:visible" from="112.65pt,30.35pt" to="112.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" strokeweight="1.5pt"/>
        </w:pict>
      </w:r>
      <w:r>
        <w:rPr>
          <w:noProof/>
          <w:lang w:val="en-GB" w:eastAsia="en-GB"/>
        </w:rPr>
        <w:pict>
          <v:line id="Straight Connector 2" o:spid="_x0000_s1032" style="position:absolute;left:0;text-align:left;z-index:251662336;visibility:visible" from="22.65pt,30.35pt" to="22.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" strokeweight="1.5pt"/>
        </w:pict>
      </w:r>
      <w:r>
        <w:rPr>
          <w:noProof/>
          <w:lang w:val="en-GB" w:eastAsia="en-GB"/>
        </w:rPr>
        <w:pict>
          <v:line id="Straight Connector 17" o:spid="_x0000_s1033" style="position:absolute;left:0;text-align:left;z-index:251661312;visibility:visible" from="224.65pt,29.4pt" to="225.3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" strokeweight="1pt"/>
        </w:pict>
      </w:r>
      <w:r>
        <w:rPr>
          <w:noProof/>
          <w:lang w:val="en-GB" w:eastAsia="en-GB"/>
        </w:rPr>
        <w:pict>
          <v:line id="Straight Connector 16" o:spid="_x0000_s1034" style="position:absolute;left:0;text-align:left;z-index:251660288;visibility:visible" from="427.3pt,30.65pt" to="427.9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" strokeweight="1pt"/>
        </w:pict>
      </w:r>
      <w:r>
        <w:rPr>
          <w:noProof/>
          <w:lang w:val="en-GB" w:eastAsia="en-GB"/>
        </w:rPr>
        <w:pict>
          <v:line id="Straight Connector 15" o:spid="_x0000_s1035" style="position:absolute;left:0;text-align:left;z-index:251659264;visibility:visible" from="339.3pt,28pt" to="339.9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" strokeweight="1.5pt"/>
        </w:pict>
      </w:r>
    </w:p>
    <w:p w:rsidR="005F76F3" w:rsidRDefault="005F76F3" w:rsidP="00840C5C">
      <w:pPr>
        <w:spacing w:line="480" w:lineRule="auto"/>
        <w:jc w:val="both"/>
        <w:rPr>
          <w:rFonts w:ascii="Times New Roman" w:hAnsi="Times New Roman"/>
          <w:b/>
          <w:sz w:val="24"/>
          <w:szCs w:val="24"/>
        </w:rPr>
      </w:pPr>
    </w:p>
    <w:p w:rsidR="005F76F3" w:rsidRDefault="005F76F3" w:rsidP="00840C5C">
      <w:pPr>
        <w:spacing w:line="480" w:lineRule="auto"/>
        <w:jc w:val="both"/>
        <w:rPr>
          <w:rFonts w:ascii="Times New Roman" w:hAnsi="Times New Roman"/>
          <w:b/>
          <w:sz w:val="24"/>
          <w:szCs w:val="24"/>
        </w:rPr>
      </w:pPr>
      <w:r>
        <w:rPr>
          <w:noProof/>
          <w:lang w:val="en-GB" w:eastAsia="en-GB"/>
        </w:rPr>
        <w:pict>
          <v:shape id="_x0000_s1036" type="#_x0000_t202" style="position:absolute;left:0;text-align:left;margin-left:318.65pt;margin-top:21.85pt;width:162.65pt;height:129.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" stroked="f">
            <v:textbox style="mso-fit-shape-to-text:t">
              <w:txbxContent>
                <w:p w:rsidR="005F76F3" w:rsidRDefault="005F76F3" w:rsidP="00840C5C">
                  <w:r>
                    <w:t>Timeline in the listing process</w:t>
                  </w:r>
                </w:p>
              </w:txbxContent>
            </v:textbox>
          </v:shape>
        </w:pict>
      </w:r>
      <w:r>
        <w:rPr>
          <w:noProof/>
          <w:lang w:val="en-GB" w:eastAsia="en-GB"/>
        </w:rPr>
        <w:pict>
          <v:shapetype id="_x0000_t32" coordsize="21600,21600" o:spt="32" o:oned="t" path="m,l21600,21600e" filled="f">
            <v:path arrowok="t" fillok="f" o:connecttype="none"/>
            <o:lock v:ext="edit" shapetype="t"/>
          </v:shapetype>
          <v:shape id="Straight Arrow Connector 1" o:spid="_x0000_s1037" type="#_x0000_t32" style="position:absolute;left:0;text-align:left;margin-left:-5.35pt;margin-top:16.5pt;width:456.65pt;height:1.3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" strokeweight="1.5pt">
            <v:stroke endarrow="open"/>
          </v:shape>
        </w:pict>
      </w:r>
    </w:p>
    <w:p w:rsidR="005F76F3" w:rsidRDefault="005F76F3" w:rsidP="00840C5C">
      <w:pPr>
        <w:spacing w:line="480" w:lineRule="auto"/>
        <w:jc w:val="both"/>
        <w:rPr>
          <w:rFonts w:ascii="Times New Roman" w:hAnsi="Times New Roman"/>
          <w:b/>
          <w:sz w:val="24"/>
          <w:szCs w:val="24"/>
        </w:rPr>
      </w:pPr>
    </w:p>
    <w:p w:rsidR="005F76F3" w:rsidRDefault="005F76F3" w:rsidP="00840C5C">
      <w:pPr>
        <w:spacing w:line="480" w:lineRule="auto"/>
        <w:jc w:val="both"/>
        <w:rPr>
          <w:rFonts w:ascii="Times New Roman" w:hAnsi="Times New Roman"/>
          <w:b/>
          <w:sz w:val="24"/>
          <w:szCs w:val="24"/>
        </w:rPr>
      </w:pPr>
    </w:p>
    <w:p w:rsidR="005F76F3" w:rsidRDefault="005F76F3" w:rsidP="00840C5C">
      <w:pPr>
        <w:spacing w:line="480" w:lineRule="auto"/>
        <w:jc w:val="both"/>
        <w:rPr>
          <w:rFonts w:ascii="Times New Roman" w:hAnsi="Times New Roman"/>
          <w:b/>
          <w:sz w:val="24"/>
          <w:szCs w:val="24"/>
        </w:rPr>
      </w:pPr>
    </w:p>
    <w:p w:rsidR="005F76F3" w:rsidRDefault="005F76F3" w:rsidP="00840C5C">
      <w:pPr>
        <w:spacing w:line="480" w:lineRule="auto"/>
        <w:jc w:val="both"/>
        <w:rPr>
          <w:rFonts w:ascii="Times New Roman" w:hAnsi="Times New Roman"/>
          <w:b/>
          <w:sz w:val="24"/>
          <w:szCs w:val="24"/>
        </w:rPr>
      </w:pPr>
    </w:p>
    <w:sectPr w:rsidR="005F76F3" w:rsidSect="009E7789">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6F3" w:rsidRDefault="005F76F3" w:rsidP="009C5C1D">
      <w:pPr>
        <w:spacing w:after="0" w:line="240" w:lineRule="auto"/>
      </w:pPr>
      <w:r>
        <w:separator/>
      </w:r>
    </w:p>
  </w:endnote>
  <w:endnote w:type="continuationSeparator" w:id="0">
    <w:p w:rsidR="005F76F3" w:rsidRDefault="005F76F3" w:rsidP="009C5C1D">
      <w:pPr>
        <w:spacing w:after="0" w:line="240" w:lineRule="auto"/>
      </w:pPr>
      <w:r>
        <w:continuationSeparator/>
      </w:r>
    </w:p>
  </w:endnote>
  <w:endnote w:type="continuationNotice" w:id="1">
    <w:p w:rsidR="005F76F3" w:rsidRDefault="005F76F3">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F3" w:rsidRPr="003176E7" w:rsidRDefault="005F76F3">
    <w:pPr>
      <w:pStyle w:val="Footer"/>
      <w:jc w:val="center"/>
      <w:rPr>
        <w:rFonts w:ascii="Times New Roman" w:hAnsi="Times New Roman"/>
        <w:sz w:val="24"/>
        <w:szCs w:val="24"/>
      </w:rPr>
    </w:pPr>
    <w:r w:rsidRPr="003176E7">
      <w:rPr>
        <w:rFonts w:ascii="Times New Roman" w:hAnsi="Times New Roman"/>
        <w:sz w:val="24"/>
        <w:szCs w:val="24"/>
      </w:rPr>
      <w:fldChar w:fldCharType="begin"/>
    </w:r>
    <w:r w:rsidRPr="003176E7">
      <w:rPr>
        <w:rFonts w:ascii="Times New Roman" w:hAnsi="Times New Roman"/>
        <w:sz w:val="24"/>
        <w:szCs w:val="24"/>
      </w:rPr>
      <w:instrText xml:space="preserve"> PAGE   \* MERGEFORMAT </w:instrText>
    </w:r>
    <w:r w:rsidRPr="003176E7">
      <w:rPr>
        <w:rFonts w:ascii="Times New Roman" w:hAnsi="Times New Roman"/>
        <w:sz w:val="24"/>
        <w:szCs w:val="24"/>
      </w:rPr>
      <w:fldChar w:fldCharType="separate"/>
    </w:r>
    <w:r>
      <w:rPr>
        <w:rFonts w:ascii="Times New Roman" w:hAnsi="Times New Roman"/>
        <w:noProof/>
        <w:sz w:val="24"/>
        <w:szCs w:val="24"/>
      </w:rPr>
      <w:t>1</w:t>
    </w:r>
    <w:r w:rsidRPr="003176E7">
      <w:rPr>
        <w:rFonts w:ascii="Times New Roman" w:hAnsi="Times New Roman"/>
        <w:sz w:val="24"/>
        <w:szCs w:val="24"/>
      </w:rPr>
      <w:fldChar w:fldCharType="end"/>
    </w:r>
  </w:p>
  <w:p w:rsidR="005F76F3" w:rsidRDefault="005F7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6F3" w:rsidRDefault="005F76F3" w:rsidP="009C5C1D">
      <w:pPr>
        <w:spacing w:after="0" w:line="240" w:lineRule="auto"/>
      </w:pPr>
      <w:r>
        <w:separator/>
      </w:r>
    </w:p>
  </w:footnote>
  <w:footnote w:type="continuationSeparator" w:id="0">
    <w:p w:rsidR="005F76F3" w:rsidRDefault="005F76F3" w:rsidP="009C5C1D">
      <w:pPr>
        <w:spacing w:after="0" w:line="240" w:lineRule="auto"/>
      </w:pPr>
      <w:r>
        <w:continuationSeparator/>
      </w:r>
    </w:p>
  </w:footnote>
  <w:footnote w:type="continuationNotice" w:id="1">
    <w:p w:rsidR="005F76F3" w:rsidRDefault="005F76F3">
      <w:pPr>
        <w:spacing w:after="0" w:line="240" w:lineRule="auto"/>
      </w:pPr>
    </w:p>
  </w:footnote>
  <w:footnote w:id="2">
    <w:p w:rsidR="005F76F3" w:rsidRDefault="005F76F3" w:rsidP="0064086D">
      <w:pPr>
        <w:pStyle w:val="FootnoteText"/>
        <w:jc w:val="both"/>
      </w:pPr>
      <w:r>
        <w:rPr>
          <w:rStyle w:val="FootnoteReference"/>
        </w:rPr>
        <w:footnoteRef/>
      </w:r>
      <w:r>
        <w:t xml:space="preserve"> </w:t>
      </w:r>
      <w:r>
        <w:rPr>
          <w:szCs w:val="24"/>
        </w:rPr>
        <w:t xml:space="preserve">These underwriter-based explanations include </w:t>
      </w:r>
      <w:r w:rsidRPr="00420665">
        <w:rPr>
          <w:szCs w:val="24"/>
        </w:rPr>
        <w:t>underwriter allocations to favoured clients (also known as ‘rent-seeking’, see e.g., Loughran and Ritter</w:t>
      </w:r>
      <w:r>
        <w:rPr>
          <w:szCs w:val="24"/>
        </w:rPr>
        <w:t>,</w:t>
      </w:r>
      <w:r w:rsidRPr="00420665">
        <w:rPr>
          <w:szCs w:val="24"/>
        </w:rPr>
        <w:t xml:space="preserve"> 2004</w:t>
      </w:r>
      <w:r>
        <w:rPr>
          <w:szCs w:val="24"/>
        </w:rPr>
        <w:t>,</w:t>
      </w:r>
      <w:r w:rsidRPr="00420665">
        <w:rPr>
          <w:szCs w:val="24"/>
        </w:rPr>
        <w:t xml:space="preserve"> and Reuter</w:t>
      </w:r>
      <w:r>
        <w:rPr>
          <w:szCs w:val="24"/>
        </w:rPr>
        <w:t xml:space="preserve">, </w:t>
      </w:r>
      <w:r w:rsidRPr="00420665">
        <w:rPr>
          <w:szCs w:val="24"/>
        </w:rPr>
        <w:t xml:space="preserve">2006), fear of litigation (see e.g., </w:t>
      </w:r>
      <w:r>
        <w:rPr>
          <w:szCs w:val="24"/>
        </w:rPr>
        <w:t xml:space="preserve">Tinic, </w:t>
      </w:r>
      <w:r w:rsidRPr="00420665">
        <w:rPr>
          <w:szCs w:val="24"/>
        </w:rPr>
        <w:t>1988</w:t>
      </w:r>
      <w:r>
        <w:rPr>
          <w:szCs w:val="24"/>
        </w:rPr>
        <w:t>;</w:t>
      </w:r>
      <w:r w:rsidRPr="00420665">
        <w:rPr>
          <w:szCs w:val="24"/>
        </w:rPr>
        <w:t xml:space="preserve"> Hughes and Thankor</w:t>
      </w:r>
      <w:r>
        <w:rPr>
          <w:szCs w:val="24"/>
        </w:rPr>
        <w:t xml:space="preserve">, </w:t>
      </w:r>
      <w:r w:rsidRPr="00420665">
        <w:rPr>
          <w:szCs w:val="24"/>
        </w:rPr>
        <w:t>1992</w:t>
      </w:r>
      <w:r>
        <w:rPr>
          <w:szCs w:val="24"/>
        </w:rPr>
        <w:t>,</w:t>
      </w:r>
      <w:r w:rsidRPr="00420665">
        <w:rPr>
          <w:szCs w:val="24"/>
        </w:rPr>
        <w:t xml:space="preserve"> and Hensler</w:t>
      </w:r>
      <w:r>
        <w:rPr>
          <w:szCs w:val="24"/>
        </w:rPr>
        <w:t xml:space="preserve">, </w:t>
      </w:r>
      <w:r w:rsidRPr="00420665">
        <w:rPr>
          <w:szCs w:val="24"/>
        </w:rPr>
        <w:t xml:space="preserve">1995), price stabilization that eliminates overpriced IPOs (see e.g. </w:t>
      </w:r>
      <w:r>
        <w:rPr>
          <w:szCs w:val="24"/>
        </w:rPr>
        <w:t xml:space="preserve">Ruud, </w:t>
      </w:r>
      <w:r w:rsidRPr="00420665">
        <w:rPr>
          <w:szCs w:val="24"/>
        </w:rPr>
        <w:t xml:space="preserve">1993), tax benefits of underpricing </w:t>
      </w:r>
      <w:r>
        <w:rPr>
          <w:szCs w:val="24"/>
        </w:rPr>
        <w:t xml:space="preserve">(see e.g. Rydqvist </w:t>
      </w:r>
      <w:r w:rsidRPr="00420665">
        <w:rPr>
          <w:szCs w:val="24"/>
        </w:rPr>
        <w:t>1997</w:t>
      </w:r>
      <w:r>
        <w:rPr>
          <w:szCs w:val="24"/>
        </w:rPr>
        <w:t>,</w:t>
      </w:r>
      <w:r w:rsidRPr="00420665">
        <w:rPr>
          <w:szCs w:val="24"/>
        </w:rPr>
        <w:t xml:space="preserve"> and Taranto</w:t>
      </w:r>
      <w:r>
        <w:rPr>
          <w:szCs w:val="24"/>
        </w:rPr>
        <w:t>,</w:t>
      </w:r>
      <w:r w:rsidRPr="00420665">
        <w:rPr>
          <w:szCs w:val="24"/>
        </w:rPr>
        <w:t xml:space="preserve"> 2003), underpricing as a means to retain control (see e.g. Brennan and Franks</w:t>
      </w:r>
      <w:r>
        <w:rPr>
          <w:szCs w:val="24"/>
        </w:rPr>
        <w:t xml:space="preserve">, </w:t>
      </w:r>
      <w:r w:rsidRPr="00420665">
        <w:rPr>
          <w:szCs w:val="24"/>
        </w:rPr>
        <w:t>1997), underpricing as a means to reduce agency costs (Stougthon and Zechner</w:t>
      </w:r>
      <w:r>
        <w:rPr>
          <w:szCs w:val="24"/>
        </w:rPr>
        <w:t>,</w:t>
      </w:r>
      <w:r w:rsidRPr="00420665">
        <w:rPr>
          <w:szCs w:val="24"/>
        </w:rPr>
        <w:t>1998), informational cascades (see Welch</w:t>
      </w:r>
      <w:r>
        <w:rPr>
          <w:szCs w:val="24"/>
        </w:rPr>
        <w:t xml:space="preserve">, </w:t>
      </w:r>
      <w:r w:rsidRPr="00420665">
        <w:rPr>
          <w:szCs w:val="24"/>
        </w:rPr>
        <w:t>1992), investor sentiment (see Ljungqvist, Nanda, and Singh</w:t>
      </w:r>
      <w:r>
        <w:rPr>
          <w:szCs w:val="24"/>
        </w:rPr>
        <w:t xml:space="preserve">, </w:t>
      </w:r>
      <w:r w:rsidRPr="00420665">
        <w:rPr>
          <w:szCs w:val="24"/>
        </w:rPr>
        <w:t>2004), prospect theory (see Loughran and Ritter</w:t>
      </w:r>
      <w:r>
        <w:rPr>
          <w:szCs w:val="24"/>
        </w:rPr>
        <w:t>,</w:t>
      </w:r>
      <w:r w:rsidRPr="00420665">
        <w:rPr>
          <w:szCs w:val="24"/>
        </w:rPr>
        <w:t xml:space="preserve"> 2002), and</w:t>
      </w:r>
      <w:r>
        <w:rPr>
          <w:szCs w:val="24"/>
        </w:rPr>
        <w:t xml:space="preserve"> a hold-up problem between the underwriter and the firm (see Jenkinson and Jones, 2004).</w:t>
      </w:r>
    </w:p>
  </w:footnote>
  <w:footnote w:id="3">
    <w:p w:rsidR="005F76F3" w:rsidRPr="006F2F50" w:rsidRDefault="005F76F3" w:rsidP="0064086D">
      <w:pPr>
        <w:pStyle w:val="FootnoteText"/>
        <w:jc w:val="both"/>
      </w:pPr>
      <w:r>
        <w:rPr>
          <w:rStyle w:val="FootnoteReference"/>
        </w:rPr>
        <w:footnoteRef/>
      </w:r>
      <w:r>
        <w:t xml:space="preserve"> </w:t>
      </w:r>
      <w:r w:rsidRPr="006F2F50">
        <w:t>The literature has proceeded by either assuming that uninformed investors apply for all IPO shares indiscri</w:t>
      </w:r>
      <w:r>
        <w:t xml:space="preserve">minately (e.g., Koh and Walter, </w:t>
      </w:r>
      <w:r w:rsidRPr="006F2F50">
        <w:t>1989</w:t>
      </w:r>
      <w:r>
        <w:t xml:space="preserve">; Levis, </w:t>
      </w:r>
      <w:r w:rsidRPr="006F2F50">
        <w:t>1990</w:t>
      </w:r>
      <w:r>
        <w:t>;</w:t>
      </w:r>
      <w:r w:rsidRPr="006F2F50">
        <w:t xml:space="preserve"> Keloharju</w:t>
      </w:r>
      <w:r>
        <w:t xml:space="preserve">, </w:t>
      </w:r>
      <w:r w:rsidRPr="006F2F50">
        <w:t>1993</w:t>
      </w:r>
      <w:r>
        <w:t>,</w:t>
      </w:r>
      <w:r w:rsidRPr="006F2F50">
        <w:t xml:space="preserve"> and Amihud, Hauser, and Kirsh</w:t>
      </w:r>
      <w:r>
        <w:t xml:space="preserve">, </w:t>
      </w:r>
      <w:r w:rsidRPr="006F2F50">
        <w:t>2003) or categorizing institutions as informed and all others as uninformed (e.g., Michaely and Shaw</w:t>
      </w:r>
      <w:r>
        <w:t xml:space="preserve">, </w:t>
      </w:r>
      <w:r w:rsidRPr="006F2F50">
        <w:t>1994</w:t>
      </w:r>
      <w:r>
        <w:t>;</w:t>
      </w:r>
      <w:r w:rsidRPr="006F2F50">
        <w:t xml:space="preserve"> Hanley and Wilhelm</w:t>
      </w:r>
      <w:r>
        <w:t xml:space="preserve">, </w:t>
      </w:r>
      <w:r w:rsidRPr="006F2F50">
        <w:t>1995</w:t>
      </w:r>
      <w:r>
        <w:t>,</w:t>
      </w:r>
      <w:r w:rsidRPr="006F2F50">
        <w:t xml:space="preserve"> and Aggarwal, Prabhala, and Puri</w:t>
      </w:r>
      <w:r>
        <w:t>,</w:t>
      </w:r>
      <w:r w:rsidRPr="006F2F50">
        <w:t xml:space="preserve"> 2002). Ljungqvist (2007) has pointed out that it is possible that information differences are even larger within these groups than between the retail and institutional groups.  </w:t>
      </w:r>
    </w:p>
    <w:p w:rsidR="005F76F3" w:rsidRDefault="005F76F3" w:rsidP="0064086D">
      <w:pPr>
        <w:pStyle w:val="FootnoteText"/>
        <w:jc w:val="both"/>
      </w:pPr>
    </w:p>
  </w:footnote>
  <w:footnote w:id="4">
    <w:p w:rsidR="005F76F3" w:rsidRPr="006F2F50" w:rsidRDefault="005F76F3" w:rsidP="0064086D">
      <w:pPr>
        <w:pStyle w:val="FootnoteText"/>
        <w:jc w:val="both"/>
      </w:pPr>
      <w:r>
        <w:rPr>
          <w:rStyle w:val="FootnoteReference"/>
        </w:rPr>
        <w:footnoteRef/>
      </w:r>
      <w:r>
        <w:t xml:space="preserve"> </w:t>
      </w:r>
      <w:r w:rsidRPr="006F2F50">
        <w:t>Studies with modern data have to take into account the potential conflicts of interest between the firm and underwriter in the IPO process as well as conflicts between the underwriter and its cl</w:t>
      </w:r>
      <w:r>
        <w:t>ients. Modern practices such as</w:t>
      </w:r>
      <w:r w:rsidRPr="006F2F50">
        <w:t xml:space="preserve"> flipping </w:t>
      </w:r>
      <w:r>
        <w:t>(see e.g.</w:t>
      </w:r>
      <w:r w:rsidRPr="006F2F50">
        <w:t xml:space="preserve"> Aggarwal</w:t>
      </w:r>
      <w:r>
        <w:t xml:space="preserve">, </w:t>
      </w:r>
      <w:r w:rsidRPr="006F2F50">
        <w:t>2002 and Krigman, Shaw and Womack</w:t>
      </w:r>
      <w:r>
        <w:t>, 1</w:t>
      </w:r>
      <w:r w:rsidRPr="006F2F50">
        <w:t>999)</w:t>
      </w:r>
      <w:r>
        <w:t>, spinning (see e.g.,</w:t>
      </w:r>
      <w:r w:rsidRPr="006F2F50">
        <w:t xml:space="preserve"> Liu and Ritter</w:t>
      </w:r>
      <w:r>
        <w:t xml:space="preserve">, </w:t>
      </w:r>
      <w:r w:rsidRPr="006F2F50">
        <w:t xml:space="preserve">2007), and laddering </w:t>
      </w:r>
      <w:r>
        <w:t>(</w:t>
      </w:r>
      <w:r w:rsidRPr="006F2F50">
        <w:t>see e.g., Hao</w:t>
      </w:r>
      <w:r>
        <w:t xml:space="preserve">, </w:t>
      </w:r>
      <w:r w:rsidRPr="006F2F50">
        <w:t>2007)</w:t>
      </w:r>
      <w:r>
        <w:t xml:space="preserve"> </w:t>
      </w:r>
      <w:r w:rsidRPr="006F2F50">
        <w:t>make it virtually impossible to cleanly test Rock’s (1986) model since principal-agent problems are not present in his setting. Even in settings with an ameliorated principal-agent problem, such as rules which restrict underwriters to follow a pre-specified allocation rule (see e.g. Koh and Walter</w:t>
      </w:r>
      <w:r>
        <w:t xml:space="preserve">, </w:t>
      </w:r>
      <w:r w:rsidRPr="006F2F50">
        <w:t>1989</w:t>
      </w:r>
      <w:r>
        <w:t>;</w:t>
      </w:r>
      <w:r w:rsidRPr="006F2F50">
        <w:t xml:space="preserve"> Keloharju</w:t>
      </w:r>
      <w:r>
        <w:t xml:space="preserve">, </w:t>
      </w:r>
      <w:r w:rsidRPr="006F2F50">
        <w:t>1993</w:t>
      </w:r>
      <w:r>
        <w:t>,</w:t>
      </w:r>
      <w:r w:rsidRPr="006F2F50">
        <w:t xml:space="preserve"> and Amihud, Hauser, and Kirsh</w:t>
      </w:r>
      <w:r>
        <w:t xml:space="preserve">, </w:t>
      </w:r>
      <w:r w:rsidRPr="006F2F50">
        <w:t>2003), data constraints mean it is very hard to classify participants in the IPO process into informed and uninformed types.</w:t>
      </w:r>
    </w:p>
    <w:p w:rsidR="005F76F3" w:rsidRDefault="005F76F3" w:rsidP="0064086D">
      <w:pPr>
        <w:pStyle w:val="FootnoteText"/>
        <w:jc w:val="both"/>
      </w:pPr>
    </w:p>
  </w:footnote>
  <w:footnote w:id="5">
    <w:p w:rsidR="005F76F3" w:rsidRDefault="005F76F3">
      <w:pPr>
        <w:pStyle w:val="FootnoteText"/>
      </w:pPr>
      <w:r>
        <w:rPr>
          <w:rStyle w:val="FootnoteReference"/>
        </w:rPr>
        <w:footnoteRef/>
      </w:r>
      <w:r>
        <w:t xml:space="preserve"> Offer prices of £1 and £5 are by far the most common in our sample. In addition, there appears to have been no requirement to subscribe for a ‘round lot’ of shares, many shareholders were allocated two or three shares only.</w:t>
      </w:r>
    </w:p>
  </w:footnote>
  <w:footnote w:id="6">
    <w:p w:rsidR="005F76F3" w:rsidRDefault="005F76F3" w:rsidP="006A0248">
      <w:pPr>
        <w:pStyle w:val="FootnoteText"/>
      </w:pPr>
      <w:r w:rsidRPr="00191303">
        <w:rPr>
          <w:rStyle w:val="FootnoteReference"/>
        </w:rPr>
        <w:footnoteRef/>
      </w:r>
      <w:r w:rsidRPr="00191303">
        <w:t xml:space="preserve"> All figures from Michie (2004) p. 89.</w:t>
      </w:r>
    </w:p>
  </w:footnote>
  <w:footnote w:id="7">
    <w:p w:rsidR="005F76F3" w:rsidRDefault="005F76F3" w:rsidP="00B1407A">
      <w:pPr>
        <w:pStyle w:val="FootnoteText"/>
        <w:spacing w:line="480" w:lineRule="auto"/>
      </w:pPr>
      <w:r w:rsidRPr="00191303">
        <w:rPr>
          <w:rStyle w:val="FootnoteReference"/>
        </w:rPr>
        <w:footnoteRef/>
      </w:r>
      <w:r w:rsidRPr="00191303">
        <w:t xml:space="preserve"> See Cheffins p. 200.</w:t>
      </w:r>
    </w:p>
  </w:footnote>
  <w:footnote w:id="8">
    <w:p w:rsidR="005F76F3" w:rsidRDefault="005F76F3" w:rsidP="00B1407A">
      <w:pPr>
        <w:pStyle w:val="FootnoteText"/>
        <w:spacing w:line="480" w:lineRule="auto"/>
      </w:pPr>
      <w:r w:rsidRPr="00191303">
        <w:rPr>
          <w:rStyle w:val="FootnoteReference"/>
        </w:rPr>
        <w:footnoteRef/>
      </w:r>
      <w:r w:rsidRPr="00191303">
        <w:t xml:space="preserve"> Reported in Cheffins (p. 202).</w:t>
      </w:r>
    </w:p>
  </w:footnote>
  <w:footnote w:id="9">
    <w:p w:rsidR="005F76F3" w:rsidRDefault="005F76F3" w:rsidP="006A0248">
      <w:pPr>
        <w:pStyle w:val="FootnoteText"/>
      </w:pPr>
      <w:r w:rsidRPr="00191303">
        <w:rPr>
          <w:rStyle w:val="FootnoteReference"/>
        </w:rPr>
        <w:footnoteRef/>
      </w:r>
      <w:r>
        <w:t xml:space="preserve"> Issue of</w:t>
      </w:r>
      <w:r w:rsidRPr="00191303">
        <w:t xml:space="preserve"> 30</w:t>
      </w:r>
      <w:r w:rsidRPr="00191303">
        <w:rPr>
          <w:vertAlign w:val="superscript"/>
        </w:rPr>
        <w:t>th</w:t>
      </w:r>
      <w:r w:rsidRPr="00191303">
        <w:t xml:space="preserve"> May 1885, p. 657-8.</w:t>
      </w:r>
    </w:p>
  </w:footnote>
  <w:footnote w:id="10">
    <w:p w:rsidR="005F76F3" w:rsidRDefault="005F76F3" w:rsidP="00F94F65">
      <w:pPr>
        <w:pStyle w:val="FootnoteText"/>
      </w:pPr>
      <w:r w:rsidRPr="00F94F65">
        <w:rPr>
          <w:rStyle w:val="FootnoteReference"/>
          <w:szCs w:val="24"/>
        </w:rPr>
        <w:footnoteRef/>
      </w:r>
      <w:r w:rsidRPr="00F94F65">
        <w:t xml:space="preserve"> Quoted in Franks, Mayer, Rossi (p. 8).</w:t>
      </w:r>
    </w:p>
  </w:footnote>
  <w:footnote w:id="11">
    <w:p w:rsidR="005F76F3" w:rsidRDefault="005F76F3" w:rsidP="00A67356">
      <w:pPr>
        <w:pStyle w:val="FootnoteText"/>
      </w:pPr>
      <w:r w:rsidRPr="009C54ED">
        <w:rPr>
          <w:rStyle w:val="FootnoteReference"/>
          <w:szCs w:val="24"/>
        </w:rPr>
        <w:footnoteRef/>
      </w:r>
      <w:r w:rsidRPr="009C54ED">
        <w:rPr>
          <w:szCs w:val="24"/>
        </w:rPr>
        <w:t xml:space="preserve"> Company law before 1900 did not specify that a prospectus </w:t>
      </w:r>
      <w:r>
        <w:rPr>
          <w:szCs w:val="24"/>
        </w:rPr>
        <w:t>had to be</w:t>
      </w:r>
      <w:r w:rsidRPr="009C54ED">
        <w:rPr>
          <w:szCs w:val="24"/>
        </w:rPr>
        <w:t xml:space="preserve"> issued when share</w:t>
      </w:r>
      <w:r>
        <w:rPr>
          <w:szCs w:val="24"/>
        </w:rPr>
        <w:t>s</w:t>
      </w:r>
      <w:r w:rsidRPr="009C54ED">
        <w:rPr>
          <w:szCs w:val="24"/>
        </w:rPr>
        <w:t xml:space="preserve"> were issued to the public. The stock exchange, however, had this requirement for companies intending to </w:t>
      </w:r>
      <w:r>
        <w:rPr>
          <w:szCs w:val="24"/>
        </w:rPr>
        <w:t>list</w:t>
      </w:r>
      <w:r w:rsidRPr="009C54ED">
        <w:rPr>
          <w:szCs w:val="24"/>
        </w:rPr>
        <w:t xml:space="preserve">. </w:t>
      </w:r>
    </w:p>
  </w:footnote>
  <w:footnote w:id="12">
    <w:p w:rsidR="005F76F3" w:rsidRDefault="005F76F3" w:rsidP="00F94F65">
      <w:pPr>
        <w:pStyle w:val="FootnoteText"/>
        <w:spacing w:line="480" w:lineRule="auto"/>
      </w:pPr>
      <w:r w:rsidRPr="00F94F65">
        <w:rPr>
          <w:rStyle w:val="FootnoteReference"/>
          <w:szCs w:val="24"/>
        </w:rPr>
        <w:footnoteRef/>
      </w:r>
      <w:r w:rsidRPr="00F94F65">
        <w:rPr>
          <w:szCs w:val="24"/>
        </w:rPr>
        <w:t xml:space="preserve"> Quoted in Burhop, Chambers, and Cheffins (2012) p. 14.</w:t>
      </w:r>
    </w:p>
  </w:footnote>
  <w:footnote w:id="13">
    <w:p w:rsidR="005F76F3" w:rsidRDefault="005F76F3" w:rsidP="009947F6">
      <w:pPr>
        <w:pStyle w:val="FootnoteText"/>
      </w:pPr>
      <w:r w:rsidRPr="00F94F65">
        <w:rPr>
          <w:rStyle w:val="FootnoteReference"/>
          <w:szCs w:val="24"/>
        </w:rPr>
        <w:footnoteRef/>
      </w:r>
      <w:r w:rsidRPr="00F94F65">
        <w:rPr>
          <w:szCs w:val="24"/>
        </w:rPr>
        <w:t xml:space="preserve"> This excludes preference shares that may only vote if the preference dividend has been omitted, if the preference shareholders’ rights are under threat, or similar irregular circumstances. Burhop, Chambers, and Cheffins (2012) include preference shares in their sample, even non-voting ones.</w:t>
      </w:r>
    </w:p>
  </w:footnote>
  <w:footnote w:id="14">
    <w:p w:rsidR="005F76F3" w:rsidRPr="00E86AA5" w:rsidRDefault="005F76F3" w:rsidP="009947F6">
      <w:pPr>
        <w:spacing w:after="0" w:line="240" w:lineRule="auto"/>
        <w:rPr>
          <w:rFonts w:ascii="Times New Roman" w:hAnsi="Times New Roman"/>
          <w:sz w:val="24"/>
          <w:szCs w:val="24"/>
        </w:rPr>
      </w:pPr>
      <w:r>
        <w:rPr>
          <w:rStyle w:val="FootnoteReference"/>
        </w:rPr>
        <w:footnoteRef/>
      </w:r>
      <w:r>
        <w:t xml:space="preserve"> </w:t>
      </w:r>
      <w:r>
        <w:rPr>
          <w:rFonts w:ascii="Times New Roman" w:hAnsi="Times New Roman"/>
          <w:sz w:val="24"/>
          <w:szCs w:val="24"/>
        </w:rPr>
        <w:t>Reported in Franks et al. (p.4018).</w:t>
      </w:r>
    </w:p>
    <w:p w:rsidR="005F76F3" w:rsidRDefault="005F76F3" w:rsidP="009947F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F3" w:rsidRDefault="005F76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5C1"/>
    <w:multiLevelType w:val="hybridMultilevel"/>
    <w:tmpl w:val="9CF052BE"/>
    <w:lvl w:ilvl="0" w:tplc="D100AE2A">
      <w:start w:val="1"/>
      <w:numFmt w:val="bullet"/>
      <w:lvlText w:val="–"/>
      <w:lvlJc w:val="left"/>
      <w:pPr>
        <w:tabs>
          <w:tab w:val="num" w:pos="720"/>
        </w:tabs>
        <w:ind w:left="720" w:hanging="360"/>
      </w:pPr>
      <w:rPr>
        <w:rFonts w:ascii="Arial" w:hAnsi="Arial" w:hint="default"/>
      </w:rPr>
    </w:lvl>
    <w:lvl w:ilvl="1" w:tplc="333256EA">
      <w:start w:val="1"/>
      <w:numFmt w:val="bullet"/>
      <w:lvlText w:val="–"/>
      <w:lvlJc w:val="left"/>
      <w:pPr>
        <w:tabs>
          <w:tab w:val="num" w:pos="1440"/>
        </w:tabs>
        <w:ind w:left="1440" w:hanging="360"/>
      </w:pPr>
      <w:rPr>
        <w:rFonts w:ascii="Arial" w:hAnsi="Arial" w:hint="default"/>
      </w:rPr>
    </w:lvl>
    <w:lvl w:ilvl="2" w:tplc="DA92B3FE" w:tentative="1">
      <w:start w:val="1"/>
      <w:numFmt w:val="bullet"/>
      <w:lvlText w:val="–"/>
      <w:lvlJc w:val="left"/>
      <w:pPr>
        <w:tabs>
          <w:tab w:val="num" w:pos="2160"/>
        </w:tabs>
        <w:ind w:left="2160" w:hanging="360"/>
      </w:pPr>
      <w:rPr>
        <w:rFonts w:ascii="Arial" w:hAnsi="Arial" w:hint="default"/>
      </w:rPr>
    </w:lvl>
    <w:lvl w:ilvl="3" w:tplc="A73C243A" w:tentative="1">
      <w:start w:val="1"/>
      <w:numFmt w:val="bullet"/>
      <w:lvlText w:val="–"/>
      <w:lvlJc w:val="left"/>
      <w:pPr>
        <w:tabs>
          <w:tab w:val="num" w:pos="2880"/>
        </w:tabs>
        <w:ind w:left="2880" w:hanging="360"/>
      </w:pPr>
      <w:rPr>
        <w:rFonts w:ascii="Arial" w:hAnsi="Arial" w:hint="default"/>
      </w:rPr>
    </w:lvl>
    <w:lvl w:ilvl="4" w:tplc="409CF8C8" w:tentative="1">
      <w:start w:val="1"/>
      <w:numFmt w:val="bullet"/>
      <w:lvlText w:val="–"/>
      <w:lvlJc w:val="left"/>
      <w:pPr>
        <w:tabs>
          <w:tab w:val="num" w:pos="3600"/>
        </w:tabs>
        <w:ind w:left="3600" w:hanging="360"/>
      </w:pPr>
      <w:rPr>
        <w:rFonts w:ascii="Arial" w:hAnsi="Arial" w:hint="default"/>
      </w:rPr>
    </w:lvl>
    <w:lvl w:ilvl="5" w:tplc="A2ECB368" w:tentative="1">
      <w:start w:val="1"/>
      <w:numFmt w:val="bullet"/>
      <w:lvlText w:val="–"/>
      <w:lvlJc w:val="left"/>
      <w:pPr>
        <w:tabs>
          <w:tab w:val="num" w:pos="4320"/>
        </w:tabs>
        <w:ind w:left="4320" w:hanging="360"/>
      </w:pPr>
      <w:rPr>
        <w:rFonts w:ascii="Arial" w:hAnsi="Arial" w:hint="default"/>
      </w:rPr>
    </w:lvl>
    <w:lvl w:ilvl="6" w:tplc="31586C92" w:tentative="1">
      <w:start w:val="1"/>
      <w:numFmt w:val="bullet"/>
      <w:lvlText w:val="–"/>
      <w:lvlJc w:val="left"/>
      <w:pPr>
        <w:tabs>
          <w:tab w:val="num" w:pos="5040"/>
        </w:tabs>
        <w:ind w:left="5040" w:hanging="360"/>
      </w:pPr>
      <w:rPr>
        <w:rFonts w:ascii="Arial" w:hAnsi="Arial" w:hint="default"/>
      </w:rPr>
    </w:lvl>
    <w:lvl w:ilvl="7" w:tplc="AE0A4B0C" w:tentative="1">
      <w:start w:val="1"/>
      <w:numFmt w:val="bullet"/>
      <w:lvlText w:val="–"/>
      <w:lvlJc w:val="left"/>
      <w:pPr>
        <w:tabs>
          <w:tab w:val="num" w:pos="5760"/>
        </w:tabs>
        <w:ind w:left="5760" w:hanging="360"/>
      </w:pPr>
      <w:rPr>
        <w:rFonts w:ascii="Arial" w:hAnsi="Arial" w:hint="default"/>
      </w:rPr>
    </w:lvl>
    <w:lvl w:ilvl="8" w:tplc="98C67A5E" w:tentative="1">
      <w:start w:val="1"/>
      <w:numFmt w:val="bullet"/>
      <w:lvlText w:val="–"/>
      <w:lvlJc w:val="left"/>
      <w:pPr>
        <w:tabs>
          <w:tab w:val="num" w:pos="6480"/>
        </w:tabs>
        <w:ind w:left="6480" w:hanging="360"/>
      </w:pPr>
      <w:rPr>
        <w:rFonts w:ascii="Arial" w:hAnsi="Arial" w:hint="default"/>
      </w:rPr>
    </w:lvl>
  </w:abstractNum>
  <w:abstractNum w:abstractNumId="1">
    <w:nsid w:val="05204565"/>
    <w:multiLevelType w:val="hybridMultilevel"/>
    <w:tmpl w:val="CD1C521C"/>
    <w:lvl w:ilvl="0" w:tplc="8B08568A">
      <w:start w:val="1"/>
      <w:numFmt w:val="bullet"/>
      <w:lvlText w:val="•"/>
      <w:lvlJc w:val="left"/>
      <w:pPr>
        <w:tabs>
          <w:tab w:val="num" w:pos="720"/>
        </w:tabs>
        <w:ind w:left="720" w:hanging="360"/>
      </w:pPr>
      <w:rPr>
        <w:rFonts w:ascii="Arial" w:hAnsi="Arial" w:hint="default"/>
      </w:rPr>
    </w:lvl>
    <w:lvl w:ilvl="1" w:tplc="4FC6AE78" w:tentative="1">
      <w:start w:val="1"/>
      <w:numFmt w:val="bullet"/>
      <w:lvlText w:val="•"/>
      <w:lvlJc w:val="left"/>
      <w:pPr>
        <w:tabs>
          <w:tab w:val="num" w:pos="1440"/>
        </w:tabs>
        <w:ind w:left="1440" w:hanging="360"/>
      </w:pPr>
      <w:rPr>
        <w:rFonts w:ascii="Arial" w:hAnsi="Arial" w:hint="default"/>
      </w:rPr>
    </w:lvl>
    <w:lvl w:ilvl="2" w:tplc="D7FEB75C" w:tentative="1">
      <w:start w:val="1"/>
      <w:numFmt w:val="bullet"/>
      <w:lvlText w:val="•"/>
      <w:lvlJc w:val="left"/>
      <w:pPr>
        <w:tabs>
          <w:tab w:val="num" w:pos="2160"/>
        </w:tabs>
        <w:ind w:left="2160" w:hanging="360"/>
      </w:pPr>
      <w:rPr>
        <w:rFonts w:ascii="Arial" w:hAnsi="Arial" w:hint="default"/>
      </w:rPr>
    </w:lvl>
    <w:lvl w:ilvl="3" w:tplc="D840D158" w:tentative="1">
      <w:start w:val="1"/>
      <w:numFmt w:val="bullet"/>
      <w:lvlText w:val="•"/>
      <w:lvlJc w:val="left"/>
      <w:pPr>
        <w:tabs>
          <w:tab w:val="num" w:pos="2880"/>
        </w:tabs>
        <w:ind w:left="2880" w:hanging="360"/>
      </w:pPr>
      <w:rPr>
        <w:rFonts w:ascii="Arial" w:hAnsi="Arial" w:hint="default"/>
      </w:rPr>
    </w:lvl>
    <w:lvl w:ilvl="4" w:tplc="C2223244" w:tentative="1">
      <w:start w:val="1"/>
      <w:numFmt w:val="bullet"/>
      <w:lvlText w:val="•"/>
      <w:lvlJc w:val="left"/>
      <w:pPr>
        <w:tabs>
          <w:tab w:val="num" w:pos="3600"/>
        </w:tabs>
        <w:ind w:left="3600" w:hanging="360"/>
      </w:pPr>
      <w:rPr>
        <w:rFonts w:ascii="Arial" w:hAnsi="Arial" w:hint="default"/>
      </w:rPr>
    </w:lvl>
    <w:lvl w:ilvl="5" w:tplc="DC38DF7C" w:tentative="1">
      <w:start w:val="1"/>
      <w:numFmt w:val="bullet"/>
      <w:lvlText w:val="•"/>
      <w:lvlJc w:val="left"/>
      <w:pPr>
        <w:tabs>
          <w:tab w:val="num" w:pos="4320"/>
        </w:tabs>
        <w:ind w:left="4320" w:hanging="360"/>
      </w:pPr>
      <w:rPr>
        <w:rFonts w:ascii="Arial" w:hAnsi="Arial" w:hint="default"/>
      </w:rPr>
    </w:lvl>
    <w:lvl w:ilvl="6" w:tplc="5A4EF1E8" w:tentative="1">
      <w:start w:val="1"/>
      <w:numFmt w:val="bullet"/>
      <w:lvlText w:val="•"/>
      <w:lvlJc w:val="left"/>
      <w:pPr>
        <w:tabs>
          <w:tab w:val="num" w:pos="5040"/>
        </w:tabs>
        <w:ind w:left="5040" w:hanging="360"/>
      </w:pPr>
      <w:rPr>
        <w:rFonts w:ascii="Arial" w:hAnsi="Arial" w:hint="default"/>
      </w:rPr>
    </w:lvl>
    <w:lvl w:ilvl="7" w:tplc="E6D8B1CA" w:tentative="1">
      <w:start w:val="1"/>
      <w:numFmt w:val="bullet"/>
      <w:lvlText w:val="•"/>
      <w:lvlJc w:val="left"/>
      <w:pPr>
        <w:tabs>
          <w:tab w:val="num" w:pos="5760"/>
        </w:tabs>
        <w:ind w:left="5760" w:hanging="360"/>
      </w:pPr>
      <w:rPr>
        <w:rFonts w:ascii="Arial" w:hAnsi="Arial" w:hint="default"/>
      </w:rPr>
    </w:lvl>
    <w:lvl w:ilvl="8" w:tplc="41A2755E" w:tentative="1">
      <w:start w:val="1"/>
      <w:numFmt w:val="bullet"/>
      <w:lvlText w:val="•"/>
      <w:lvlJc w:val="left"/>
      <w:pPr>
        <w:tabs>
          <w:tab w:val="num" w:pos="6480"/>
        </w:tabs>
        <w:ind w:left="6480" w:hanging="360"/>
      </w:pPr>
      <w:rPr>
        <w:rFonts w:ascii="Arial" w:hAnsi="Arial" w:hint="default"/>
      </w:rPr>
    </w:lvl>
  </w:abstractNum>
  <w:abstractNum w:abstractNumId="2">
    <w:nsid w:val="07A50113"/>
    <w:multiLevelType w:val="hybridMultilevel"/>
    <w:tmpl w:val="D9A40A72"/>
    <w:lvl w:ilvl="0" w:tplc="F258BCF8">
      <w:start w:val="1"/>
      <w:numFmt w:val="bullet"/>
      <w:lvlText w:val="–"/>
      <w:lvlJc w:val="left"/>
      <w:pPr>
        <w:tabs>
          <w:tab w:val="num" w:pos="360"/>
        </w:tabs>
        <w:ind w:left="360" w:hanging="360"/>
      </w:pPr>
      <w:rPr>
        <w:rFonts w:ascii="Arial" w:hAnsi="Arial" w:hint="default"/>
      </w:rPr>
    </w:lvl>
    <w:lvl w:ilvl="1" w:tplc="0BF03A82">
      <w:start w:val="1"/>
      <w:numFmt w:val="bullet"/>
      <w:lvlText w:val="–"/>
      <w:lvlJc w:val="left"/>
      <w:pPr>
        <w:tabs>
          <w:tab w:val="num" w:pos="1080"/>
        </w:tabs>
        <w:ind w:left="1080" w:hanging="360"/>
      </w:pPr>
      <w:rPr>
        <w:rFonts w:ascii="Arial" w:hAnsi="Arial" w:hint="default"/>
      </w:rPr>
    </w:lvl>
    <w:lvl w:ilvl="2" w:tplc="FA96DD5C" w:tentative="1">
      <w:start w:val="1"/>
      <w:numFmt w:val="bullet"/>
      <w:lvlText w:val="–"/>
      <w:lvlJc w:val="left"/>
      <w:pPr>
        <w:tabs>
          <w:tab w:val="num" w:pos="1800"/>
        </w:tabs>
        <w:ind w:left="1800" w:hanging="360"/>
      </w:pPr>
      <w:rPr>
        <w:rFonts w:ascii="Arial" w:hAnsi="Arial" w:hint="default"/>
      </w:rPr>
    </w:lvl>
    <w:lvl w:ilvl="3" w:tplc="D6E83898" w:tentative="1">
      <w:start w:val="1"/>
      <w:numFmt w:val="bullet"/>
      <w:lvlText w:val="–"/>
      <w:lvlJc w:val="left"/>
      <w:pPr>
        <w:tabs>
          <w:tab w:val="num" w:pos="2520"/>
        </w:tabs>
        <w:ind w:left="2520" w:hanging="360"/>
      </w:pPr>
      <w:rPr>
        <w:rFonts w:ascii="Arial" w:hAnsi="Arial" w:hint="default"/>
      </w:rPr>
    </w:lvl>
    <w:lvl w:ilvl="4" w:tplc="78F01236" w:tentative="1">
      <w:start w:val="1"/>
      <w:numFmt w:val="bullet"/>
      <w:lvlText w:val="–"/>
      <w:lvlJc w:val="left"/>
      <w:pPr>
        <w:tabs>
          <w:tab w:val="num" w:pos="3240"/>
        </w:tabs>
        <w:ind w:left="3240" w:hanging="360"/>
      </w:pPr>
      <w:rPr>
        <w:rFonts w:ascii="Arial" w:hAnsi="Arial" w:hint="default"/>
      </w:rPr>
    </w:lvl>
    <w:lvl w:ilvl="5" w:tplc="29CA7306" w:tentative="1">
      <w:start w:val="1"/>
      <w:numFmt w:val="bullet"/>
      <w:lvlText w:val="–"/>
      <w:lvlJc w:val="left"/>
      <w:pPr>
        <w:tabs>
          <w:tab w:val="num" w:pos="3960"/>
        </w:tabs>
        <w:ind w:left="3960" w:hanging="360"/>
      </w:pPr>
      <w:rPr>
        <w:rFonts w:ascii="Arial" w:hAnsi="Arial" w:hint="default"/>
      </w:rPr>
    </w:lvl>
    <w:lvl w:ilvl="6" w:tplc="4BFEC63A" w:tentative="1">
      <w:start w:val="1"/>
      <w:numFmt w:val="bullet"/>
      <w:lvlText w:val="–"/>
      <w:lvlJc w:val="left"/>
      <w:pPr>
        <w:tabs>
          <w:tab w:val="num" w:pos="4680"/>
        </w:tabs>
        <w:ind w:left="4680" w:hanging="360"/>
      </w:pPr>
      <w:rPr>
        <w:rFonts w:ascii="Arial" w:hAnsi="Arial" w:hint="default"/>
      </w:rPr>
    </w:lvl>
    <w:lvl w:ilvl="7" w:tplc="2C88A968" w:tentative="1">
      <w:start w:val="1"/>
      <w:numFmt w:val="bullet"/>
      <w:lvlText w:val="–"/>
      <w:lvlJc w:val="left"/>
      <w:pPr>
        <w:tabs>
          <w:tab w:val="num" w:pos="5400"/>
        </w:tabs>
        <w:ind w:left="5400" w:hanging="360"/>
      </w:pPr>
      <w:rPr>
        <w:rFonts w:ascii="Arial" w:hAnsi="Arial" w:hint="default"/>
      </w:rPr>
    </w:lvl>
    <w:lvl w:ilvl="8" w:tplc="93E2DE9C" w:tentative="1">
      <w:start w:val="1"/>
      <w:numFmt w:val="bullet"/>
      <w:lvlText w:val="–"/>
      <w:lvlJc w:val="left"/>
      <w:pPr>
        <w:tabs>
          <w:tab w:val="num" w:pos="6120"/>
        </w:tabs>
        <w:ind w:left="6120" w:hanging="360"/>
      </w:pPr>
      <w:rPr>
        <w:rFonts w:ascii="Arial" w:hAnsi="Arial" w:hint="default"/>
      </w:rPr>
    </w:lvl>
  </w:abstractNum>
  <w:abstractNum w:abstractNumId="3">
    <w:nsid w:val="09CD3DB6"/>
    <w:multiLevelType w:val="hybridMultilevel"/>
    <w:tmpl w:val="5C00CA64"/>
    <w:lvl w:ilvl="0" w:tplc="1CB6C23E">
      <w:start w:val="1"/>
      <w:numFmt w:val="bullet"/>
      <w:lvlText w:val="•"/>
      <w:lvlJc w:val="left"/>
      <w:pPr>
        <w:tabs>
          <w:tab w:val="num" w:pos="720"/>
        </w:tabs>
        <w:ind w:left="720" w:hanging="360"/>
      </w:pPr>
      <w:rPr>
        <w:rFonts w:ascii="Arial" w:hAnsi="Arial" w:hint="default"/>
      </w:rPr>
    </w:lvl>
    <w:lvl w:ilvl="1" w:tplc="52168DAE" w:tentative="1">
      <w:start w:val="1"/>
      <w:numFmt w:val="bullet"/>
      <w:lvlText w:val="•"/>
      <w:lvlJc w:val="left"/>
      <w:pPr>
        <w:tabs>
          <w:tab w:val="num" w:pos="1440"/>
        </w:tabs>
        <w:ind w:left="1440" w:hanging="360"/>
      </w:pPr>
      <w:rPr>
        <w:rFonts w:ascii="Arial" w:hAnsi="Arial" w:hint="default"/>
      </w:rPr>
    </w:lvl>
    <w:lvl w:ilvl="2" w:tplc="BB74C832" w:tentative="1">
      <w:start w:val="1"/>
      <w:numFmt w:val="bullet"/>
      <w:lvlText w:val="•"/>
      <w:lvlJc w:val="left"/>
      <w:pPr>
        <w:tabs>
          <w:tab w:val="num" w:pos="2160"/>
        </w:tabs>
        <w:ind w:left="2160" w:hanging="360"/>
      </w:pPr>
      <w:rPr>
        <w:rFonts w:ascii="Arial" w:hAnsi="Arial" w:hint="default"/>
      </w:rPr>
    </w:lvl>
    <w:lvl w:ilvl="3" w:tplc="B06A4594" w:tentative="1">
      <w:start w:val="1"/>
      <w:numFmt w:val="bullet"/>
      <w:lvlText w:val="•"/>
      <w:lvlJc w:val="left"/>
      <w:pPr>
        <w:tabs>
          <w:tab w:val="num" w:pos="2880"/>
        </w:tabs>
        <w:ind w:left="2880" w:hanging="360"/>
      </w:pPr>
      <w:rPr>
        <w:rFonts w:ascii="Arial" w:hAnsi="Arial" w:hint="default"/>
      </w:rPr>
    </w:lvl>
    <w:lvl w:ilvl="4" w:tplc="CEAC5318" w:tentative="1">
      <w:start w:val="1"/>
      <w:numFmt w:val="bullet"/>
      <w:lvlText w:val="•"/>
      <w:lvlJc w:val="left"/>
      <w:pPr>
        <w:tabs>
          <w:tab w:val="num" w:pos="3600"/>
        </w:tabs>
        <w:ind w:left="3600" w:hanging="360"/>
      </w:pPr>
      <w:rPr>
        <w:rFonts w:ascii="Arial" w:hAnsi="Arial" w:hint="default"/>
      </w:rPr>
    </w:lvl>
    <w:lvl w:ilvl="5" w:tplc="31B8D890" w:tentative="1">
      <w:start w:val="1"/>
      <w:numFmt w:val="bullet"/>
      <w:lvlText w:val="•"/>
      <w:lvlJc w:val="left"/>
      <w:pPr>
        <w:tabs>
          <w:tab w:val="num" w:pos="4320"/>
        </w:tabs>
        <w:ind w:left="4320" w:hanging="360"/>
      </w:pPr>
      <w:rPr>
        <w:rFonts w:ascii="Arial" w:hAnsi="Arial" w:hint="default"/>
      </w:rPr>
    </w:lvl>
    <w:lvl w:ilvl="6" w:tplc="91AAD14E" w:tentative="1">
      <w:start w:val="1"/>
      <w:numFmt w:val="bullet"/>
      <w:lvlText w:val="•"/>
      <w:lvlJc w:val="left"/>
      <w:pPr>
        <w:tabs>
          <w:tab w:val="num" w:pos="5040"/>
        </w:tabs>
        <w:ind w:left="5040" w:hanging="360"/>
      </w:pPr>
      <w:rPr>
        <w:rFonts w:ascii="Arial" w:hAnsi="Arial" w:hint="default"/>
      </w:rPr>
    </w:lvl>
    <w:lvl w:ilvl="7" w:tplc="3CAE2B30" w:tentative="1">
      <w:start w:val="1"/>
      <w:numFmt w:val="bullet"/>
      <w:lvlText w:val="•"/>
      <w:lvlJc w:val="left"/>
      <w:pPr>
        <w:tabs>
          <w:tab w:val="num" w:pos="5760"/>
        </w:tabs>
        <w:ind w:left="5760" w:hanging="360"/>
      </w:pPr>
      <w:rPr>
        <w:rFonts w:ascii="Arial" w:hAnsi="Arial" w:hint="default"/>
      </w:rPr>
    </w:lvl>
    <w:lvl w:ilvl="8" w:tplc="48BA910E" w:tentative="1">
      <w:start w:val="1"/>
      <w:numFmt w:val="bullet"/>
      <w:lvlText w:val="•"/>
      <w:lvlJc w:val="left"/>
      <w:pPr>
        <w:tabs>
          <w:tab w:val="num" w:pos="6480"/>
        </w:tabs>
        <w:ind w:left="6480" w:hanging="360"/>
      </w:pPr>
      <w:rPr>
        <w:rFonts w:ascii="Arial" w:hAnsi="Arial" w:hint="default"/>
      </w:rPr>
    </w:lvl>
  </w:abstractNum>
  <w:abstractNum w:abstractNumId="4">
    <w:nsid w:val="0CFB1D4D"/>
    <w:multiLevelType w:val="hybridMultilevel"/>
    <w:tmpl w:val="6ECC0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7A1BDC"/>
    <w:multiLevelType w:val="hybridMultilevel"/>
    <w:tmpl w:val="1ED4E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174AF5"/>
    <w:multiLevelType w:val="hybridMultilevel"/>
    <w:tmpl w:val="B76AD8F6"/>
    <w:lvl w:ilvl="0" w:tplc="D6342A1A">
      <w:start w:val="1"/>
      <w:numFmt w:val="bullet"/>
      <w:lvlText w:val="•"/>
      <w:lvlJc w:val="left"/>
      <w:pPr>
        <w:tabs>
          <w:tab w:val="num" w:pos="720"/>
        </w:tabs>
        <w:ind w:left="720" w:hanging="360"/>
      </w:pPr>
      <w:rPr>
        <w:rFonts w:ascii="Arial" w:hAnsi="Arial" w:hint="default"/>
      </w:rPr>
    </w:lvl>
    <w:lvl w:ilvl="1" w:tplc="8A3A52FC">
      <w:start w:val="614"/>
      <w:numFmt w:val="bullet"/>
      <w:lvlText w:val="•"/>
      <w:lvlJc w:val="left"/>
      <w:pPr>
        <w:tabs>
          <w:tab w:val="num" w:pos="1440"/>
        </w:tabs>
        <w:ind w:left="1440" w:hanging="360"/>
      </w:pPr>
      <w:rPr>
        <w:rFonts w:ascii="Arial" w:hAnsi="Arial" w:hint="default"/>
      </w:rPr>
    </w:lvl>
    <w:lvl w:ilvl="2" w:tplc="22683194" w:tentative="1">
      <w:start w:val="1"/>
      <w:numFmt w:val="bullet"/>
      <w:lvlText w:val="•"/>
      <w:lvlJc w:val="left"/>
      <w:pPr>
        <w:tabs>
          <w:tab w:val="num" w:pos="2160"/>
        </w:tabs>
        <w:ind w:left="2160" w:hanging="360"/>
      </w:pPr>
      <w:rPr>
        <w:rFonts w:ascii="Arial" w:hAnsi="Arial" w:hint="default"/>
      </w:rPr>
    </w:lvl>
    <w:lvl w:ilvl="3" w:tplc="6A98D590" w:tentative="1">
      <w:start w:val="1"/>
      <w:numFmt w:val="bullet"/>
      <w:lvlText w:val="•"/>
      <w:lvlJc w:val="left"/>
      <w:pPr>
        <w:tabs>
          <w:tab w:val="num" w:pos="2880"/>
        </w:tabs>
        <w:ind w:left="2880" w:hanging="360"/>
      </w:pPr>
      <w:rPr>
        <w:rFonts w:ascii="Arial" w:hAnsi="Arial" w:hint="default"/>
      </w:rPr>
    </w:lvl>
    <w:lvl w:ilvl="4" w:tplc="7B748E34" w:tentative="1">
      <w:start w:val="1"/>
      <w:numFmt w:val="bullet"/>
      <w:lvlText w:val="•"/>
      <w:lvlJc w:val="left"/>
      <w:pPr>
        <w:tabs>
          <w:tab w:val="num" w:pos="3600"/>
        </w:tabs>
        <w:ind w:left="3600" w:hanging="360"/>
      </w:pPr>
      <w:rPr>
        <w:rFonts w:ascii="Arial" w:hAnsi="Arial" w:hint="default"/>
      </w:rPr>
    </w:lvl>
    <w:lvl w:ilvl="5" w:tplc="CC4AC4EA" w:tentative="1">
      <w:start w:val="1"/>
      <w:numFmt w:val="bullet"/>
      <w:lvlText w:val="•"/>
      <w:lvlJc w:val="left"/>
      <w:pPr>
        <w:tabs>
          <w:tab w:val="num" w:pos="4320"/>
        </w:tabs>
        <w:ind w:left="4320" w:hanging="360"/>
      </w:pPr>
      <w:rPr>
        <w:rFonts w:ascii="Arial" w:hAnsi="Arial" w:hint="default"/>
      </w:rPr>
    </w:lvl>
    <w:lvl w:ilvl="6" w:tplc="E8CA1888" w:tentative="1">
      <w:start w:val="1"/>
      <w:numFmt w:val="bullet"/>
      <w:lvlText w:val="•"/>
      <w:lvlJc w:val="left"/>
      <w:pPr>
        <w:tabs>
          <w:tab w:val="num" w:pos="5040"/>
        </w:tabs>
        <w:ind w:left="5040" w:hanging="360"/>
      </w:pPr>
      <w:rPr>
        <w:rFonts w:ascii="Arial" w:hAnsi="Arial" w:hint="default"/>
      </w:rPr>
    </w:lvl>
    <w:lvl w:ilvl="7" w:tplc="8EE6B6E2" w:tentative="1">
      <w:start w:val="1"/>
      <w:numFmt w:val="bullet"/>
      <w:lvlText w:val="•"/>
      <w:lvlJc w:val="left"/>
      <w:pPr>
        <w:tabs>
          <w:tab w:val="num" w:pos="5760"/>
        </w:tabs>
        <w:ind w:left="5760" w:hanging="360"/>
      </w:pPr>
      <w:rPr>
        <w:rFonts w:ascii="Arial" w:hAnsi="Arial" w:hint="default"/>
      </w:rPr>
    </w:lvl>
    <w:lvl w:ilvl="8" w:tplc="9586CF66" w:tentative="1">
      <w:start w:val="1"/>
      <w:numFmt w:val="bullet"/>
      <w:lvlText w:val="•"/>
      <w:lvlJc w:val="left"/>
      <w:pPr>
        <w:tabs>
          <w:tab w:val="num" w:pos="6480"/>
        </w:tabs>
        <w:ind w:left="6480" w:hanging="360"/>
      </w:pPr>
      <w:rPr>
        <w:rFonts w:ascii="Arial" w:hAnsi="Arial" w:hint="default"/>
      </w:rPr>
    </w:lvl>
  </w:abstractNum>
  <w:abstractNum w:abstractNumId="7">
    <w:nsid w:val="19C01622"/>
    <w:multiLevelType w:val="hybridMultilevel"/>
    <w:tmpl w:val="A19A0180"/>
    <w:lvl w:ilvl="0" w:tplc="E7C4DED6">
      <w:start w:val="1"/>
      <w:numFmt w:val="bullet"/>
      <w:lvlText w:val="•"/>
      <w:lvlJc w:val="left"/>
      <w:pPr>
        <w:tabs>
          <w:tab w:val="num" w:pos="720"/>
        </w:tabs>
        <w:ind w:left="720" w:hanging="360"/>
      </w:pPr>
      <w:rPr>
        <w:rFonts w:ascii="Arial" w:hAnsi="Arial" w:hint="default"/>
      </w:rPr>
    </w:lvl>
    <w:lvl w:ilvl="1" w:tplc="60DAF358" w:tentative="1">
      <w:start w:val="1"/>
      <w:numFmt w:val="bullet"/>
      <w:lvlText w:val="•"/>
      <w:lvlJc w:val="left"/>
      <w:pPr>
        <w:tabs>
          <w:tab w:val="num" w:pos="1440"/>
        </w:tabs>
        <w:ind w:left="1440" w:hanging="360"/>
      </w:pPr>
      <w:rPr>
        <w:rFonts w:ascii="Arial" w:hAnsi="Arial" w:hint="default"/>
      </w:rPr>
    </w:lvl>
    <w:lvl w:ilvl="2" w:tplc="023E5EBE" w:tentative="1">
      <w:start w:val="1"/>
      <w:numFmt w:val="bullet"/>
      <w:lvlText w:val="•"/>
      <w:lvlJc w:val="left"/>
      <w:pPr>
        <w:tabs>
          <w:tab w:val="num" w:pos="2160"/>
        </w:tabs>
        <w:ind w:left="2160" w:hanging="360"/>
      </w:pPr>
      <w:rPr>
        <w:rFonts w:ascii="Arial" w:hAnsi="Arial" w:hint="default"/>
      </w:rPr>
    </w:lvl>
    <w:lvl w:ilvl="3" w:tplc="2B62B642" w:tentative="1">
      <w:start w:val="1"/>
      <w:numFmt w:val="bullet"/>
      <w:lvlText w:val="•"/>
      <w:lvlJc w:val="left"/>
      <w:pPr>
        <w:tabs>
          <w:tab w:val="num" w:pos="2880"/>
        </w:tabs>
        <w:ind w:left="2880" w:hanging="360"/>
      </w:pPr>
      <w:rPr>
        <w:rFonts w:ascii="Arial" w:hAnsi="Arial" w:hint="default"/>
      </w:rPr>
    </w:lvl>
    <w:lvl w:ilvl="4" w:tplc="BAC6C082" w:tentative="1">
      <w:start w:val="1"/>
      <w:numFmt w:val="bullet"/>
      <w:lvlText w:val="•"/>
      <w:lvlJc w:val="left"/>
      <w:pPr>
        <w:tabs>
          <w:tab w:val="num" w:pos="3600"/>
        </w:tabs>
        <w:ind w:left="3600" w:hanging="360"/>
      </w:pPr>
      <w:rPr>
        <w:rFonts w:ascii="Arial" w:hAnsi="Arial" w:hint="default"/>
      </w:rPr>
    </w:lvl>
    <w:lvl w:ilvl="5" w:tplc="DD1051EE" w:tentative="1">
      <w:start w:val="1"/>
      <w:numFmt w:val="bullet"/>
      <w:lvlText w:val="•"/>
      <w:lvlJc w:val="left"/>
      <w:pPr>
        <w:tabs>
          <w:tab w:val="num" w:pos="4320"/>
        </w:tabs>
        <w:ind w:left="4320" w:hanging="360"/>
      </w:pPr>
      <w:rPr>
        <w:rFonts w:ascii="Arial" w:hAnsi="Arial" w:hint="default"/>
      </w:rPr>
    </w:lvl>
    <w:lvl w:ilvl="6" w:tplc="B20E7128" w:tentative="1">
      <w:start w:val="1"/>
      <w:numFmt w:val="bullet"/>
      <w:lvlText w:val="•"/>
      <w:lvlJc w:val="left"/>
      <w:pPr>
        <w:tabs>
          <w:tab w:val="num" w:pos="5040"/>
        </w:tabs>
        <w:ind w:left="5040" w:hanging="360"/>
      </w:pPr>
      <w:rPr>
        <w:rFonts w:ascii="Arial" w:hAnsi="Arial" w:hint="default"/>
      </w:rPr>
    </w:lvl>
    <w:lvl w:ilvl="7" w:tplc="764824CA" w:tentative="1">
      <w:start w:val="1"/>
      <w:numFmt w:val="bullet"/>
      <w:lvlText w:val="•"/>
      <w:lvlJc w:val="left"/>
      <w:pPr>
        <w:tabs>
          <w:tab w:val="num" w:pos="5760"/>
        </w:tabs>
        <w:ind w:left="5760" w:hanging="360"/>
      </w:pPr>
      <w:rPr>
        <w:rFonts w:ascii="Arial" w:hAnsi="Arial" w:hint="default"/>
      </w:rPr>
    </w:lvl>
    <w:lvl w:ilvl="8" w:tplc="B932370A" w:tentative="1">
      <w:start w:val="1"/>
      <w:numFmt w:val="bullet"/>
      <w:lvlText w:val="•"/>
      <w:lvlJc w:val="left"/>
      <w:pPr>
        <w:tabs>
          <w:tab w:val="num" w:pos="6480"/>
        </w:tabs>
        <w:ind w:left="6480" w:hanging="360"/>
      </w:pPr>
      <w:rPr>
        <w:rFonts w:ascii="Arial" w:hAnsi="Arial" w:hint="default"/>
      </w:rPr>
    </w:lvl>
  </w:abstractNum>
  <w:abstractNum w:abstractNumId="8">
    <w:nsid w:val="2F2B2EA1"/>
    <w:multiLevelType w:val="hybridMultilevel"/>
    <w:tmpl w:val="3FA280F2"/>
    <w:lvl w:ilvl="0" w:tplc="3D18253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3C5C53EC"/>
    <w:multiLevelType w:val="hybridMultilevel"/>
    <w:tmpl w:val="B1A8F7C2"/>
    <w:lvl w:ilvl="0" w:tplc="5382395A">
      <w:start w:val="1"/>
      <w:numFmt w:val="bullet"/>
      <w:lvlText w:val="•"/>
      <w:lvlJc w:val="left"/>
      <w:pPr>
        <w:tabs>
          <w:tab w:val="num" w:pos="720"/>
        </w:tabs>
        <w:ind w:left="720" w:hanging="360"/>
      </w:pPr>
      <w:rPr>
        <w:rFonts w:ascii="Arial" w:hAnsi="Arial" w:hint="default"/>
      </w:rPr>
    </w:lvl>
    <w:lvl w:ilvl="1" w:tplc="7CB23C02" w:tentative="1">
      <w:start w:val="1"/>
      <w:numFmt w:val="bullet"/>
      <w:lvlText w:val="•"/>
      <w:lvlJc w:val="left"/>
      <w:pPr>
        <w:tabs>
          <w:tab w:val="num" w:pos="1440"/>
        </w:tabs>
        <w:ind w:left="1440" w:hanging="360"/>
      </w:pPr>
      <w:rPr>
        <w:rFonts w:ascii="Arial" w:hAnsi="Arial" w:hint="default"/>
      </w:rPr>
    </w:lvl>
    <w:lvl w:ilvl="2" w:tplc="7254685E" w:tentative="1">
      <w:start w:val="1"/>
      <w:numFmt w:val="bullet"/>
      <w:lvlText w:val="•"/>
      <w:lvlJc w:val="left"/>
      <w:pPr>
        <w:tabs>
          <w:tab w:val="num" w:pos="2160"/>
        </w:tabs>
        <w:ind w:left="2160" w:hanging="360"/>
      </w:pPr>
      <w:rPr>
        <w:rFonts w:ascii="Arial" w:hAnsi="Arial" w:hint="default"/>
      </w:rPr>
    </w:lvl>
    <w:lvl w:ilvl="3" w:tplc="5CD034A4" w:tentative="1">
      <w:start w:val="1"/>
      <w:numFmt w:val="bullet"/>
      <w:lvlText w:val="•"/>
      <w:lvlJc w:val="left"/>
      <w:pPr>
        <w:tabs>
          <w:tab w:val="num" w:pos="2880"/>
        </w:tabs>
        <w:ind w:left="2880" w:hanging="360"/>
      </w:pPr>
      <w:rPr>
        <w:rFonts w:ascii="Arial" w:hAnsi="Arial" w:hint="default"/>
      </w:rPr>
    </w:lvl>
    <w:lvl w:ilvl="4" w:tplc="CA965534" w:tentative="1">
      <w:start w:val="1"/>
      <w:numFmt w:val="bullet"/>
      <w:lvlText w:val="•"/>
      <w:lvlJc w:val="left"/>
      <w:pPr>
        <w:tabs>
          <w:tab w:val="num" w:pos="3600"/>
        </w:tabs>
        <w:ind w:left="3600" w:hanging="360"/>
      </w:pPr>
      <w:rPr>
        <w:rFonts w:ascii="Arial" w:hAnsi="Arial" w:hint="default"/>
      </w:rPr>
    </w:lvl>
    <w:lvl w:ilvl="5" w:tplc="1FE274B2" w:tentative="1">
      <w:start w:val="1"/>
      <w:numFmt w:val="bullet"/>
      <w:lvlText w:val="•"/>
      <w:lvlJc w:val="left"/>
      <w:pPr>
        <w:tabs>
          <w:tab w:val="num" w:pos="4320"/>
        </w:tabs>
        <w:ind w:left="4320" w:hanging="360"/>
      </w:pPr>
      <w:rPr>
        <w:rFonts w:ascii="Arial" w:hAnsi="Arial" w:hint="default"/>
      </w:rPr>
    </w:lvl>
    <w:lvl w:ilvl="6" w:tplc="65DABFAC" w:tentative="1">
      <w:start w:val="1"/>
      <w:numFmt w:val="bullet"/>
      <w:lvlText w:val="•"/>
      <w:lvlJc w:val="left"/>
      <w:pPr>
        <w:tabs>
          <w:tab w:val="num" w:pos="5040"/>
        </w:tabs>
        <w:ind w:left="5040" w:hanging="360"/>
      </w:pPr>
      <w:rPr>
        <w:rFonts w:ascii="Arial" w:hAnsi="Arial" w:hint="default"/>
      </w:rPr>
    </w:lvl>
    <w:lvl w:ilvl="7" w:tplc="A2F2A202" w:tentative="1">
      <w:start w:val="1"/>
      <w:numFmt w:val="bullet"/>
      <w:lvlText w:val="•"/>
      <w:lvlJc w:val="left"/>
      <w:pPr>
        <w:tabs>
          <w:tab w:val="num" w:pos="5760"/>
        </w:tabs>
        <w:ind w:left="5760" w:hanging="360"/>
      </w:pPr>
      <w:rPr>
        <w:rFonts w:ascii="Arial" w:hAnsi="Arial" w:hint="default"/>
      </w:rPr>
    </w:lvl>
    <w:lvl w:ilvl="8" w:tplc="CC300986" w:tentative="1">
      <w:start w:val="1"/>
      <w:numFmt w:val="bullet"/>
      <w:lvlText w:val="•"/>
      <w:lvlJc w:val="left"/>
      <w:pPr>
        <w:tabs>
          <w:tab w:val="num" w:pos="6480"/>
        </w:tabs>
        <w:ind w:left="6480" w:hanging="360"/>
      </w:pPr>
      <w:rPr>
        <w:rFonts w:ascii="Arial" w:hAnsi="Arial" w:hint="default"/>
      </w:rPr>
    </w:lvl>
  </w:abstractNum>
  <w:abstractNum w:abstractNumId="10">
    <w:nsid w:val="3F7B1CCC"/>
    <w:multiLevelType w:val="hybridMultilevel"/>
    <w:tmpl w:val="D688CAA2"/>
    <w:lvl w:ilvl="0" w:tplc="513CF114">
      <w:start w:val="1"/>
      <w:numFmt w:val="bullet"/>
      <w:lvlText w:val="•"/>
      <w:lvlJc w:val="left"/>
      <w:pPr>
        <w:tabs>
          <w:tab w:val="num" w:pos="720"/>
        </w:tabs>
        <w:ind w:left="720" w:hanging="360"/>
      </w:pPr>
      <w:rPr>
        <w:rFonts w:ascii="Arial" w:hAnsi="Arial" w:hint="default"/>
      </w:rPr>
    </w:lvl>
    <w:lvl w:ilvl="1" w:tplc="1E668DA0" w:tentative="1">
      <w:start w:val="1"/>
      <w:numFmt w:val="bullet"/>
      <w:lvlText w:val="•"/>
      <w:lvlJc w:val="left"/>
      <w:pPr>
        <w:tabs>
          <w:tab w:val="num" w:pos="1440"/>
        </w:tabs>
        <w:ind w:left="1440" w:hanging="360"/>
      </w:pPr>
      <w:rPr>
        <w:rFonts w:ascii="Arial" w:hAnsi="Arial" w:hint="default"/>
      </w:rPr>
    </w:lvl>
    <w:lvl w:ilvl="2" w:tplc="DA9AC198" w:tentative="1">
      <w:start w:val="1"/>
      <w:numFmt w:val="bullet"/>
      <w:lvlText w:val="•"/>
      <w:lvlJc w:val="left"/>
      <w:pPr>
        <w:tabs>
          <w:tab w:val="num" w:pos="2160"/>
        </w:tabs>
        <w:ind w:left="2160" w:hanging="360"/>
      </w:pPr>
      <w:rPr>
        <w:rFonts w:ascii="Arial" w:hAnsi="Arial" w:hint="default"/>
      </w:rPr>
    </w:lvl>
    <w:lvl w:ilvl="3" w:tplc="8FA2DC68" w:tentative="1">
      <w:start w:val="1"/>
      <w:numFmt w:val="bullet"/>
      <w:lvlText w:val="•"/>
      <w:lvlJc w:val="left"/>
      <w:pPr>
        <w:tabs>
          <w:tab w:val="num" w:pos="2880"/>
        </w:tabs>
        <w:ind w:left="2880" w:hanging="360"/>
      </w:pPr>
      <w:rPr>
        <w:rFonts w:ascii="Arial" w:hAnsi="Arial" w:hint="default"/>
      </w:rPr>
    </w:lvl>
    <w:lvl w:ilvl="4" w:tplc="218E950E" w:tentative="1">
      <w:start w:val="1"/>
      <w:numFmt w:val="bullet"/>
      <w:lvlText w:val="•"/>
      <w:lvlJc w:val="left"/>
      <w:pPr>
        <w:tabs>
          <w:tab w:val="num" w:pos="3600"/>
        </w:tabs>
        <w:ind w:left="3600" w:hanging="360"/>
      </w:pPr>
      <w:rPr>
        <w:rFonts w:ascii="Arial" w:hAnsi="Arial" w:hint="default"/>
      </w:rPr>
    </w:lvl>
    <w:lvl w:ilvl="5" w:tplc="A672F25A" w:tentative="1">
      <w:start w:val="1"/>
      <w:numFmt w:val="bullet"/>
      <w:lvlText w:val="•"/>
      <w:lvlJc w:val="left"/>
      <w:pPr>
        <w:tabs>
          <w:tab w:val="num" w:pos="4320"/>
        </w:tabs>
        <w:ind w:left="4320" w:hanging="360"/>
      </w:pPr>
      <w:rPr>
        <w:rFonts w:ascii="Arial" w:hAnsi="Arial" w:hint="default"/>
      </w:rPr>
    </w:lvl>
    <w:lvl w:ilvl="6" w:tplc="F900F780" w:tentative="1">
      <w:start w:val="1"/>
      <w:numFmt w:val="bullet"/>
      <w:lvlText w:val="•"/>
      <w:lvlJc w:val="left"/>
      <w:pPr>
        <w:tabs>
          <w:tab w:val="num" w:pos="5040"/>
        </w:tabs>
        <w:ind w:left="5040" w:hanging="360"/>
      </w:pPr>
      <w:rPr>
        <w:rFonts w:ascii="Arial" w:hAnsi="Arial" w:hint="default"/>
      </w:rPr>
    </w:lvl>
    <w:lvl w:ilvl="7" w:tplc="71E00E54" w:tentative="1">
      <w:start w:val="1"/>
      <w:numFmt w:val="bullet"/>
      <w:lvlText w:val="•"/>
      <w:lvlJc w:val="left"/>
      <w:pPr>
        <w:tabs>
          <w:tab w:val="num" w:pos="5760"/>
        </w:tabs>
        <w:ind w:left="5760" w:hanging="360"/>
      </w:pPr>
      <w:rPr>
        <w:rFonts w:ascii="Arial" w:hAnsi="Arial" w:hint="default"/>
      </w:rPr>
    </w:lvl>
    <w:lvl w:ilvl="8" w:tplc="243692F6" w:tentative="1">
      <w:start w:val="1"/>
      <w:numFmt w:val="bullet"/>
      <w:lvlText w:val="•"/>
      <w:lvlJc w:val="left"/>
      <w:pPr>
        <w:tabs>
          <w:tab w:val="num" w:pos="6480"/>
        </w:tabs>
        <w:ind w:left="6480" w:hanging="360"/>
      </w:pPr>
      <w:rPr>
        <w:rFonts w:ascii="Arial" w:hAnsi="Arial" w:hint="default"/>
      </w:rPr>
    </w:lvl>
  </w:abstractNum>
  <w:abstractNum w:abstractNumId="11">
    <w:nsid w:val="428D515B"/>
    <w:multiLevelType w:val="hybridMultilevel"/>
    <w:tmpl w:val="B052AA38"/>
    <w:lvl w:ilvl="0" w:tplc="D12E5122">
      <w:start w:val="1"/>
      <w:numFmt w:val="bullet"/>
      <w:lvlText w:val="•"/>
      <w:lvlJc w:val="left"/>
      <w:pPr>
        <w:tabs>
          <w:tab w:val="num" w:pos="720"/>
        </w:tabs>
        <w:ind w:left="720" w:hanging="360"/>
      </w:pPr>
      <w:rPr>
        <w:rFonts w:ascii="Arial" w:hAnsi="Arial" w:hint="default"/>
      </w:rPr>
    </w:lvl>
    <w:lvl w:ilvl="1" w:tplc="096E1530" w:tentative="1">
      <w:start w:val="1"/>
      <w:numFmt w:val="bullet"/>
      <w:lvlText w:val="•"/>
      <w:lvlJc w:val="left"/>
      <w:pPr>
        <w:tabs>
          <w:tab w:val="num" w:pos="1440"/>
        </w:tabs>
        <w:ind w:left="1440" w:hanging="360"/>
      </w:pPr>
      <w:rPr>
        <w:rFonts w:ascii="Arial" w:hAnsi="Arial" w:hint="default"/>
      </w:rPr>
    </w:lvl>
    <w:lvl w:ilvl="2" w:tplc="274CD694" w:tentative="1">
      <w:start w:val="1"/>
      <w:numFmt w:val="bullet"/>
      <w:lvlText w:val="•"/>
      <w:lvlJc w:val="left"/>
      <w:pPr>
        <w:tabs>
          <w:tab w:val="num" w:pos="2160"/>
        </w:tabs>
        <w:ind w:left="2160" w:hanging="360"/>
      </w:pPr>
      <w:rPr>
        <w:rFonts w:ascii="Arial" w:hAnsi="Arial" w:hint="default"/>
      </w:rPr>
    </w:lvl>
    <w:lvl w:ilvl="3" w:tplc="88D61EB6" w:tentative="1">
      <w:start w:val="1"/>
      <w:numFmt w:val="bullet"/>
      <w:lvlText w:val="•"/>
      <w:lvlJc w:val="left"/>
      <w:pPr>
        <w:tabs>
          <w:tab w:val="num" w:pos="2880"/>
        </w:tabs>
        <w:ind w:left="2880" w:hanging="360"/>
      </w:pPr>
      <w:rPr>
        <w:rFonts w:ascii="Arial" w:hAnsi="Arial" w:hint="default"/>
      </w:rPr>
    </w:lvl>
    <w:lvl w:ilvl="4" w:tplc="923465CE" w:tentative="1">
      <w:start w:val="1"/>
      <w:numFmt w:val="bullet"/>
      <w:lvlText w:val="•"/>
      <w:lvlJc w:val="left"/>
      <w:pPr>
        <w:tabs>
          <w:tab w:val="num" w:pos="3600"/>
        </w:tabs>
        <w:ind w:left="3600" w:hanging="360"/>
      </w:pPr>
      <w:rPr>
        <w:rFonts w:ascii="Arial" w:hAnsi="Arial" w:hint="default"/>
      </w:rPr>
    </w:lvl>
    <w:lvl w:ilvl="5" w:tplc="2FF05424" w:tentative="1">
      <w:start w:val="1"/>
      <w:numFmt w:val="bullet"/>
      <w:lvlText w:val="•"/>
      <w:lvlJc w:val="left"/>
      <w:pPr>
        <w:tabs>
          <w:tab w:val="num" w:pos="4320"/>
        </w:tabs>
        <w:ind w:left="4320" w:hanging="360"/>
      </w:pPr>
      <w:rPr>
        <w:rFonts w:ascii="Arial" w:hAnsi="Arial" w:hint="default"/>
      </w:rPr>
    </w:lvl>
    <w:lvl w:ilvl="6" w:tplc="448639C0" w:tentative="1">
      <w:start w:val="1"/>
      <w:numFmt w:val="bullet"/>
      <w:lvlText w:val="•"/>
      <w:lvlJc w:val="left"/>
      <w:pPr>
        <w:tabs>
          <w:tab w:val="num" w:pos="5040"/>
        </w:tabs>
        <w:ind w:left="5040" w:hanging="360"/>
      </w:pPr>
      <w:rPr>
        <w:rFonts w:ascii="Arial" w:hAnsi="Arial" w:hint="default"/>
      </w:rPr>
    </w:lvl>
    <w:lvl w:ilvl="7" w:tplc="CFD00FB0" w:tentative="1">
      <w:start w:val="1"/>
      <w:numFmt w:val="bullet"/>
      <w:lvlText w:val="•"/>
      <w:lvlJc w:val="left"/>
      <w:pPr>
        <w:tabs>
          <w:tab w:val="num" w:pos="5760"/>
        </w:tabs>
        <w:ind w:left="5760" w:hanging="360"/>
      </w:pPr>
      <w:rPr>
        <w:rFonts w:ascii="Arial" w:hAnsi="Arial" w:hint="default"/>
      </w:rPr>
    </w:lvl>
    <w:lvl w:ilvl="8" w:tplc="4A506D18" w:tentative="1">
      <w:start w:val="1"/>
      <w:numFmt w:val="bullet"/>
      <w:lvlText w:val="•"/>
      <w:lvlJc w:val="left"/>
      <w:pPr>
        <w:tabs>
          <w:tab w:val="num" w:pos="6480"/>
        </w:tabs>
        <w:ind w:left="6480" w:hanging="360"/>
      </w:pPr>
      <w:rPr>
        <w:rFonts w:ascii="Arial" w:hAnsi="Arial" w:hint="default"/>
      </w:rPr>
    </w:lvl>
  </w:abstractNum>
  <w:abstractNum w:abstractNumId="12">
    <w:nsid w:val="44467A68"/>
    <w:multiLevelType w:val="hybridMultilevel"/>
    <w:tmpl w:val="67885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C10970"/>
    <w:multiLevelType w:val="hybridMultilevel"/>
    <w:tmpl w:val="584E1A26"/>
    <w:lvl w:ilvl="0" w:tplc="63787E44">
      <w:start w:val="1"/>
      <w:numFmt w:val="bullet"/>
      <w:lvlText w:val="•"/>
      <w:lvlJc w:val="left"/>
      <w:pPr>
        <w:tabs>
          <w:tab w:val="num" w:pos="720"/>
        </w:tabs>
        <w:ind w:left="720" w:hanging="360"/>
      </w:pPr>
      <w:rPr>
        <w:rFonts w:ascii="Arial" w:hAnsi="Arial" w:hint="default"/>
      </w:rPr>
    </w:lvl>
    <w:lvl w:ilvl="1" w:tplc="8872FE46">
      <w:start w:val="686"/>
      <w:numFmt w:val="bullet"/>
      <w:lvlText w:val="–"/>
      <w:lvlJc w:val="left"/>
      <w:pPr>
        <w:tabs>
          <w:tab w:val="num" w:pos="1440"/>
        </w:tabs>
        <w:ind w:left="1440" w:hanging="360"/>
      </w:pPr>
      <w:rPr>
        <w:rFonts w:ascii="Arial" w:hAnsi="Arial" w:hint="default"/>
      </w:rPr>
    </w:lvl>
    <w:lvl w:ilvl="2" w:tplc="89D42532" w:tentative="1">
      <w:start w:val="1"/>
      <w:numFmt w:val="bullet"/>
      <w:lvlText w:val="•"/>
      <w:lvlJc w:val="left"/>
      <w:pPr>
        <w:tabs>
          <w:tab w:val="num" w:pos="2160"/>
        </w:tabs>
        <w:ind w:left="2160" w:hanging="360"/>
      </w:pPr>
      <w:rPr>
        <w:rFonts w:ascii="Arial" w:hAnsi="Arial" w:hint="default"/>
      </w:rPr>
    </w:lvl>
    <w:lvl w:ilvl="3" w:tplc="64FA4DCE" w:tentative="1">
      <w:start w:val="1"/>
      <w:numFmt w:val="bullet"/>
      <w:lvlText w:val="•"/>
      <w:lvlJc w:val="left"/>
      <w:pPr>
        <w:tabs>
          <w:tab w:val="num" w:pos="2880"/>
        </w:tabs>
        <w:ind w:left="2880" w:hanging="360"/>
      </w:pPr>
      <w:rPr>
        <w:rFonts w:ascii="Arial" w:hAnsi="Arial" w:hint="default"/>
      </w:rPr>
    </w:lvl>
    <w:lvl w:ilvl="4" w:tplc="48BCEBD6" w:tentative="1">
      <w:start w:val="1"/>
      <w:numFmt w:val="bullet"/>
      <w:lvlText w:val="•"/>
      <w:lvlJc w:val="left"/>
      <w:pPr>
        <w:tabs>
          <w:tab w:val="num" w:pos="3600"/>
        </w:tabs>
        <w:ind w:left="3600" w:hanging="360"/>
      </w:pPr>
      <w:rPr>
        <w:rFonts w:ascii="Arial" w:hAnsi="Arial" w:hint="default"/>
      </w:rPr>
    </w:lvl>
    <w:lvl w:ilvl="5" w:tplc="29A85FA6" w:tentative="1">
      <w:start w:val="1"/>
      <w:numFmt w:val="bullet"/>
      <w:lvlText w:val="•"/>
      <w:lvlJc w:val="left"/>
      <w:pPr>
        <w:tabs>
          <w:tab w:val="num" w:pos="4320"/>
        </w:tabs>
        <w:ind w:left="4320" w:hanging="360"/>
      </w:pPr>
      <w:rPr>
        <w:rFonts w:ascii="Arial" w:hAnsi="Arial" w:hint="default"/>
      </w:rPr>
    </w:lvl>
    <w:lvl w:ilvl="6" w:tplc="DDEC68E2" w:tentative="1">
      <w:start w:val="1"/>
      <w:numFmt w:val="bullet"/>
      <w:lvlText w:val="•"/>
      <w:lvlJc w:val="left"/>
      <w:pPr>
        <w:tabs>
          <w:tab w:val="num" w:pos="5040"/>
        </w:tabs>
        <w:ind w:left="5040" w:hanging="360"/>
      </w:pPr>
      <w:rPr>
        <w:rFonts w:ascii="Arial" w:hAnsi="Arial" w:hint="default"/>
      </w:rPr>
    </w:lvl>
    <w:lvl w:ilvl="7" w:tplc="313E616C" w:tentative="1">
      <w:start w:val="1"/>
      <w:numFmt w:val="bullet"/>
      <w:lvlText w:val="•"/>
      <w:lvlJc w:val="left"/>
      <w:pPr>
        <w:tabs>
          <w:tab w:val="num" w:pos="5760"/>
        </w:tabs>
        <w:ind w:left="5760" w:hanging="360"/>
      </w:pPr>
      <w:rPr>
        <w:rFonts w:ascii="Arial" w:hAnsi="Arial" w:hint="default"/>
      </w:rPr>
    </w:lvl>
    <w:lvl w:ilvl="8" w:tplc="EBDCE624" w:tentative="1">
      <w:start w:val="1"/>
      <w:numFmt w:val="bullet"/>
      <w:lvlText w:val="•"/>
      <w:lvlJc w:val="left"/>
      <w:pPr>
        <w:tabs>
          <w:tab w:val="num" w:pos="6480"/>
        </w:tabs>
        <w:ind w:left="6480" w:hanging="360"/>
      </w:pPr>
      <w:rPr>
        <w:rFonts w:ascii="Arial" w:hAnsi="Arial" w:hint="default"/>
      </w:rPr>
    </w:lvl>
  </w:abstractNum>
  <w:abstractNum w:abstractNumId="14">
    <w:nsid w:val="4F774319"/>
    <w:multiLevelType w:val="hybridMultilevel"/>
    <w:tmpl w:val="1AA0B4B8"/>
    <w:lvl w:ilvl="0" w:tplc="C88C2BC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572867A1"/>
    <w:multiLevelType w:val="hybridMultilevel"/>
    <w:tmpl w:val="A1B88B24"/>
    <w:lvl w:ilvl="0" w:tplc="53901284">
      <w:start w:val="1"/>
      <w:numFmt w:val="bullet"/>
      <w:lvlText w:val="•"/>
      <w:lvlJc w:val="left"/>
      <w:pPr>
        <w:tabs>
          <w:tab w:val="num" w:pos="720"/>
        </w:tabs>
        <w:ind w:left="720" w:hanging="360"/>
      </w:pPr>
      <w:rPr>
        <w:rFonts w:ascii="Arial" w:hAnsi="Arial" w:hint="default"/>
      </w:rPr>
    </w:lvl>
    <w:lvl w:ilvl="1" w:tplc="9FA6292E">
      <w:start w:val="686"/>
      <w:numFmt w:val="bullet"/>
      <w:lvlText w:val="–"/>
      <w:lvlJc w:val="left"/>
      <w:pPr>
        <w:tabs>
          <w:tab w:val="num" w:pos="1440"/>
        </w:tabs>
        <w:ind w:left="1440" w:hanging="360"/>
      </w:pPr>
      <w:rPr>
        <w:rFonts w:ascii="Arial" w:hAnsi="Arial" w:hint="default"/>
      </w:rPr>
    </w:lvl>
    <w:lvl w:ilvl="2" w:tplc="47BA0F3C" w:tentative="1">
      <w:start w:val="1"/>
      <w:numFmt w:val="bullet"/>
      <w:lvlText w:val="•"/>
      <w:lvlJc w:val="left"/>
      <w:pPr>
        <w:tabs>
          <w:tab w:val="num" w:pos="2160"/>
        </w:tabs>
        <w:ind w:left="2160" w:hanging="360"/>
      </w:pPr>
      <w:rPr>
        <w:rFonts w:ascii="Arial" w:hAnsi="Arial" w:hint="default"/>
      </w:rPr>
    </w:lvl>
    <w:lvl w:ilvl="3" w:tplc="B2ACECD8" w:tentative="1">
      <w:start w:val="1"/>
      <w:numFmt w:val="bullet"/>
      <w:lvlText w:val="•"/>
      <w:lvlJc w:val="left"/>
      <w:pPr>
        <w:tabs>
          <w:tab w:val="num" w:pos="2880"/>
        </w:tabs>
        <w:ind w:left="2880" w:hanging="360"/>
      </w:pPr>
      <w:rPr>
        <w:rFonts w:ascii="Arial" w:hAnsi="Arial" w:hint="default"/>
      </w:rPr>
    </w:lvl>
    <w:lvl w:ilvl="4" w:tplc="A39AD6E4" w:tentative="1">
      <w:start w:val="1"/>
      <w:numFmt w:val="bullet"/>
      <w:lvlText w:val="•"/>
      <w:lvlJc w:val="left"/>
      <w:pPr>
        <w:tabs>
          <w:tab w:val="num" w:pos="3600"/>
        </w:tabs>
        <w:ind w:left="3600" w:hanging="360"/>
      </w:pPr>
      <w:rPr>
        <w:rFonts w:ascii="Arial" w:hAnsi="Arial" w:hint="default"/>
      </w:rPr>
    </w:lvl>
    <w:lvl w:ilvl="5" w:tplc="9FB0CA8E" w:tentative="1">
      <w:start w:val="1"/>
      <w:numFmt w:val="bullet"/>
      <w:lvlText w:val="•"/>
      <w:lvlJc w:val="left"/>
      <w:pPr>
        <w:tabs>
          <w:tab w:val="num" w:pos="4320"/>
        </w:tabs>
        <w:ind w:left="4320" w:hanging="360"/>
      </w:pPr>
      <w:rPr>
        <w:rFonts w:ascii="Arial" w:hAnsi="Arial" w:hint="default"/>
      </w:rPr>
    </w:lvl>
    <w:lvl w:ilvl="6" w:tplc="570267FC" w:tentative="1">
      <w:start w:val="1"/>
      <w:numFmt w:val="bullet"/>
      <w:lvlText w:val="•"/>
      <w:lvlJc w:val="left"/>
      <w:pPr>
        <w:tabs>
          <w:tab w:val="num" w:pos="5040"/>
        </w:tabs>
        <w:ind w:left="5040" w:hanging="360"/>
      </w:pPr>
      <w:rPr>
        <w:rFonts w:ascii="Arial" w:hAnsi="Arial" w:hint="default"/>
      </w:rPr>
    </w:lvl>
    <w:lvl w:ilvl="7" w:tplc="C02E2056" w:tentative="1">
      <w:start w:val="1"/>
      <w:numFmt w:val="bullet"/>
      <w:lvlText w:val="•"/>
      <w:lvlJc w:val="left"/>
      <w:pPr>
        <w:tabs>
          <w:tab w:val="num" w:pos="5760"/>
        </w:tabs>
        <w:ind w:left="5760" w:hanging="360"/>
      </w:pPr>
      <w:rPr>
        <w:rFonts w:ascii="Arial" w:hAnsi="Arial" w:hint="default"/>
      </w:rPr>
    </w:lvl>
    <w:lvl w:ilvl="8" w:tplc="D9007F94" w:tentative="1">
      <w:start w:val="1"/>
      <w:numFmt w:val="bullet"/>
      <w:lvlText w:val="•"/>
      <w:lvlJc w:val="left"/>
      <w:pPr>
        <w:tabs>
          <w:tab w:val="num" w:pos="6480"/>
        </w:tabs>
        <w:ind w:left="6480" w:hanging="360"/>
      </w:pPr>
      <w:rPr>
        <w:rFonts w:ascii="Arial" w:hAnsi="Arial" w:hint="default"/>
      </w:rPr>
    </w:lvl>
  </w:abstractNum>
  <w:abstractNum w:abstractNumId="16">
    <w:nsid w:val="575E00D5"/>
    <w:multiLevelType w:val="hybridMultilevel"/>
    <w:tmpl w:val="1FAA231C"/>
    <w:lvl w:ilvl="0" w:tplc="2D36E7B4">
      <w:start w:val="1"/>
      <w:numFmt w:val="bullet"/>
      <w:lvlText w:val="•"/>
      <w:lvlJc w:val="left"/>
      <w:pPr>
        <w:tabs>
          <w:tab w:val="num" w:pos="720"/>
        </w:tabs>
        <w:ind w:left="720" w:hanging="360"/>
      </w:pPr>
      <w:rPr>
        <w:rFonts w:ascii="Arial" w:hAnsi="Arial" w:hint="default"/>
      </w:rPr>
    </w:lvl>
    <w:lvl w:ilvl="1" w:tplc="73B2EA2C">
      <w:start w:val="614"/>
      <w:numFmt w:val="bullet"/>
      <w:lvlText w:val="–"/>
      <w:lvlJc w:val="left"/>
      <w:pPr>
        <w:tabs>
          <w:tab w:val="num" w:pos="1440"/>
        </w:tabs>
        <w:ind w:left="1440" w:hanging="360"/>
      </w:pPr>
      <w:rPr>
        <w:rFonts w:ascii="Arial" w:hAnsi="Arial" w:hint="default"/>
      </w:rPr>
    </w:lvl>
    <w:lvl w:ilvl="2" w:tplc="2B28E3A4" w:tentative="1">
      <w:start w:val="1"/>
      <w:numFmt w:val="bullet"/>
      <w:lvlText w:val="•"/>
      <w:lvlJc w:val="left"/>
      <w:pPr>
        <w:tabs>
          <w:tab w:val="num" w:pos="2160"/>
        </w:tabs>
        <w:ind w:left="2160" w:hanging="360"/>
      </w:pPr>
      <w:rPr>
        <w:rFonts w:ascii="Arial" w:hAnsi="Arial" w:hint="default"/>
      </w:rPr>
    </w:lvl>
    <w:lvl w:ilvl="3" w:tplc="C31CBB1C" w:tentative="1">
      <w:start w:val="1"/>
      <w:numFmt w:val="bullet"/>
      <w:lvlText w:val="•"/>
      <w:lvlJc w:val="left"/>
      <w:pPr>
        <w:tabs>
          <w:tab w:val="num" w:pos="2880"/>
        </w:tabs>
        <w:ind w:left="2880" w:hanging="360"/>
      </w:pPr>
      <w:rPr>
        <w:rFonts w:ascii="Arial" w:hAnsi="Arial" w:hint="default"/>
      </w:rPr>
    </w:lvl>
    <w:lvl w:ilvl="4" w:tplc="C74A120E" w:tentative="1">
      <w:start w:val="1"/>
      <w:numFmt w:val="bullet"/>
      <w:lvlText w:val="•"/>
      <w:lvlJc w:val="left"/>
      <w:pPr>
        <w:tabs>
          <w:tab w:val="num" w:pos="3600"/>
        </w:tabs>
        <w:ind w:left="3600" w:hanging="360"/>
      </w:pPr>
      <w:rPr>
        <w:rFonts w:ascii="Arial" w:hAnsi="Arial" w:hint="default"/>
      </w:rPr>
    </w:lvl>
    <w:lvl w:ilvl="5" w:tplc="F97A5038" w:tentative="1">
      <w:start w:val="1"/>
      <w:numFmt w:val="bullet"/>
      <w:lvlText w:val="•"/>
      <w:lvlJc w:val="left"/>
      <w:pPr>
        <w:tabs>
          <w:tab w:val="num" w:pos="4320"/>
        </w:tabs>
        <w:ind w:left="4320" w:hanging="360"/>
      </w:pPr>
      <w:rPr>
        <w:rFonts w:ascii="Arial" w:hAnsi="Arial" w:hint="default"/>
      </w:rPr>
    </w:lvl>
    <w:lvl w:ilvl="6" w:tplc="D95E68FE" w:tentative="1">
      <w:start w:val="1"/>
      <w:numFmt w:val="bullet"/>
      <w:lvlText w:val="•"/>
      <w:lvlJc w:val="left"/>
      <w:pPr>
        <w:tabs>
          <w:tab w:val="num" w:pos="5040"/>
        </w:tabs>
        <w:ind w:left="5040" w:hanging="360"/>
      </w:pPr>
      <w:rPr>
        <w:rFonts w:ascii="Arial" w:hAnsi="Arial" w:hint="default"/>
      </w:rPr>
    </w:lvl>
    <w:lvl w:ilvl="7" w:tplc="55089D1E" w:tentative="1">
      <w:start w:val="1"/>
      <w:numFmt w:val="bullet"/>
      <w:lvlText w:val="•"/>
      <w:lvlJc w:val="left"/>
      <w:pPr>
        <w:tabs>
          <w:tab w:val="num" w:pos="5760"/>
        </w:tabs>
        <w:ind w:left="5760" w:hanging="360"/>
      </w:pPr>
      <w:rPr>
        <w:rFonts w:ascii="Arial" w:hAnsi="Arial" w:hint="default"/>
      </w:rPr>
    </w:lvl>
    <w:lvl w:ilvl="8" w:tplc="FE8E4212" w:tentative="1">
      <w:start w:val="1"/>
      <w:numFmt w:val="bullet"/>
      <w:lvlText w:val="•"/>
      <w:lvlJc w:val="left"/>
      <w:pPr>
        <w:tabs>
          <w:tab w:val="num" w:pos="6480"/>
        </w:tabs>
        <w:ind w:left="6480" w:hanging="360"/>
      </w:pPr>
      <w:rPr>
        <w:rFonts w:ascii="Arial" w:hAnsi="Arial" w:hint="default"/>
      </w:rPr>
    </w:lvl>
  </w:abstractNum>
  <w:abstractNum w:abstractNumId="17">
    <w:nsid w:val="659C69BB"/>
    <w:multiLevelType w:val="hybridMultilevel"/>
    <w:tmpl w:val="0A745A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DD844E6"/>
    <w:multiLevelType w:val="hybridMultilevel"/>
    <w:tmpl w:val="BA3AC48E"/>
    <w:lvl w:ilvl="0" w:tplc="84B488E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70BE0B8A"/>
    <w:multiLevelType w:val="hybridMultilevel"/>
    <w:tmpl w:val="E02CBCA2"/>
    <w:lvl w:ilvl="0" w:tplc="44C4A4C0">
      <w:start w:val="1"/>
      <w:numFmt w:val="bullet"/>
      <w:lvlText w:val="•"/>
      <w:lvlJc w:val="left"/>
      <w:pPr>
        <w:tabs>
          <w:tab w:val="num" w:pos="360"/>
        </w:tabs>
        <w:ind w:left="360" w:hanging="360"/>
      </w:pPr>
      <w:rPr>
        <w:rFonts w:ascii="Arial" w:hAnsi="Arial" w:hint="default"/>
      </w:rPr>
    </w:lvl>
    <w:lvl w:ilvl="1" w:tplc="DB2CE4BC">
      <w:start w:val="686"/>
      <w:numFmt w:val="bullet"/>
      <w:lvlText w:val="–"/>
      <w:lvlJc w:val="left"/>
      <w:pPr>
        <w:tabs>
          <w:tab w:val="num" w:pos="1080"/>
        </w:tabs>
        <w:ind w:left="1080" w:hanging="360"/>
      </w:pPr>
      <w:rPr>
        <w:rFonts w:ascii="Arial" w:hAnsi="Arial" w:hint="default"/>
      </w:rPr>
    </w:lvl>
    <w:lvl w:ilvl="2" w:tplc="82625EC0" w:tentative="1">
      <w:start w:val="1"/>
      <w:numFmt w:val="bullet"/>
      <w:lvlText w:val="•"/>
      <w:lvlJc w:val="left"/>
      <w:pPr>
        <w:tabs>
          <w:tab w:val="num" w:pos="1800"/>
        </w:tabs>
        <w:ind w:left="1800" w:hanging="360"/>
      </w:pPr>
      <w:rPr>
        <w:rFonts w:ascii="Arial" w:hAnsi="Arial" w:hint="default"/>
      </w:rPr>
    </w:lvl>
    <w:lvl w:ilvl="3" w:tplc="54D266DE" w:tentative="1">
      <w:start w:val="1"/>
      <w:numFmt w:val="bullet"/>
      <w:lvlText w:val="•"/>
      <w:lvlJc w:val="left"/>
      <w:pPr>
        <w:tabs>
          <w:tab w:val="num" w:pos="2520"/>
        </w:tabs>
        <w:ind w:left="2520" w:hanging="360"/>
      </w:pPr>
      <w:rPr>
        <w:rFonts w:ascii="Arial" w:hAnsi="Arial" w:hint="default"/>
      </w:rPr>
    </w:lvl>
    <w:lvl w:ilvl="4" w:tplc="BBAC6E84" w:tentative="1">
      <w:start w:val="1"/>
      <w:numFmt w:val="bullet"/>
      <w:lvlText w:val="•"/>
      <w:lvlJc w:val="left"/>
      <w:pPr>
        <w:tabs>
          <w:tab w:val="num" w:pos="3240"/>
        </w:tabs>
        <w:ind w:left="3240" w:hanging="360"/>
      </w:pPr>
      <w:rPr>
        <w:rFonts w:ascii="Arial" w:hAnsi="Arial" w:hint="default"/>
      </w:rPr>
    </w:lvl>
    <w:lvl w:ilvl="5" w:tplc="4128F212" w:tentative="1">
      <w:start w:val="1"/>
      <w:numFmt w:val="bullet"/>
      <w:lvlText w:val="•"/>
      <w:lvlJc w:val="left"/>
      <w:pPr>
        <w:tabs>
          <w:tab w:val="num" w:pos="3960"/>
        </w:tabs>
        <w:ind w:left="3960" w:hanging="360"/>
      </w:pPr>
      <w:rPr>
        <w:rFonts w:ascii="Arial" w:hAnsi="Arial" w:hint="default"/>
      </w:rPr>
    </w:lvl>
    <w:lvl w:ilvl="6" w:tplc="2BA82AA0" w:tentative="1">
      <w:start w:val="1"/>
      <w:numFmt w:val="bullet"/>
      <w:lvlText w:val="•"/>
      <w:lvlJc w:val="left"/>
      <w:pPr>
        <w:tabs>
          <w:tab w:val="num" w:pos="4680"/>
        </w:tabs>
        <w:ind w:left="4680" w:hanging="360"/>
      </w:pPr>
      <w:rPr>
        <w:rFonts w:ascii="Arial" w:hAnsi="Arial" w:hint="default"/>
      </w:rPr>
    </w:lvl>
    <w:lvl w:ilvl="7" w:tplc="9F34FEDA" w:tentative="1">
      <w:start w:val="1"/>
      <w:numFmt w:val="bullet"/>
      <w:lvlText w:val="•"/>
      <w:lvlJc w:val="left"/>
      <w:pPr>
        <w:tabs>
          <w:tab w:val="num" w:pos="5400"/>
        </w:tabs>
        <w:ind w:left="5400" w:hanging="360"/>
      </w:pPr>
      <w:rPr>
        <w:rFonts w:ascii="Arial" w:hAnsi="Arial" w:hint="default"/>
      </w:rPr>
    </w:lvl>
    <w:lvl w:ilvl="8" w:tplc="8F86A6D6" w:tentative="1">
      <w:start w:val="1"/>
      <w:numFmt w:val="bullet"/>
      <w:lvlText w:val="•"/>
      <w:lvlJc w:val="left"/>
      <w:pPr>
        <w:tabs>
          <w:tab w:val="num" w:pos="6120"/>
        </w:tabs>
        <w:ind w:left="6120" w:hanging="360"/>
      </w:pPr>
      <w:rPr>
        <w:rFonts w:ascii="Arial" w:hAnsi="Arial" w:hint="default"/>
      </w:rPr>
    </w:lvl>
  </w:abstractNum>
  <w:abstractNum w:abstractNumId="20">
    <w:nsid w:val="71231547"/>
    <w:multiLevelType w:val="hybridMultilevel"/>
    <w:tmpl w:val="F39A18C2"/>
    <w:lvl w:ilvl="0" w:tplc="2C6440A8">
      <w:start w:val="1"/>
      <w:numFmt w:val="bullet"/>
      <w:lvlText w:val="•"/>
      <w:lvlJc w:val="left"/>
      <w:pPr>
        <w:tabs>
          <w:tab w:val="num" w:pos="720"/>
        </w:tabs>
        <w:ind w:left="720" w:hanging="360"/>
      </w:pPr>
      <w:rPr>
        <w:rFonts w:ascii="Arial" w:hAnsi="Arial" w:hint="default"/>
      </w:rPr>
    </w:lvl>
    <w:lvl w:ilvl="1" w:tplc="E21E2162">
      <w:start w:val="686"/>
      <w:numFmt w:val="bullet"/>
      <w:lvlText w:val="–"/>
      <w:lvlJc w:val="left"/>
      <w:pPr>
        <w:tabs>
          <w:tab w:val="num" w:pos="1440"/>
        </w:tabs>
        <w:ind w:left="1440" w:hanging="360"/>
      </w:pPr>
      <w:rPr>
        <w:rFonts w:ascii="Arial" w:hAnsi="Arial" w:hint="default"/>
      </w:rPr>
    </w:lvl>
    <w:lvl w:ilvl="2" w:tplc="0BC6030A" w:tentative="1">
      <w:start w:val="1"/>
      <w:numFmt w:val="bullet"/>
      <w:lvlText w:val="•"/>
      <w:lvlJc w:val="left"/>
      <w:pPr>
        <w:tabs>
          <w:tab w:val="num" w:pos="2160"/>
        </w:tabs>
        <w:ind w:left="2160" w:hanging="360"/>
      </w:pPr>
      <w:rPr>
        <w:rFonts w:ascii="Arial" w:hAnsi="Arial" w:hint="default"/>
      </w:rPr>
    </w:lvl>
    <w:lvl w:ilvl="3" w:tplc="0960E6E0" w:tentative="1">
      <w:start w:val="1"/>
      <w:numFmt w:val="bullet"/>
      <w:lvlText w:val="•"/>
      <w:lvlJc w:val="left"/>
      <w:pPr>
        <w:tabs>
          <w:tab w:val="num" w:pos="2880"/>
        </w:tabs>
        <w:ind w:left="2880" w:hanging="360"/>
      </w:pPr>
      <w:rPr>
        <w:rFonts w:ascii="Arial" w:hAnsi="Arial" w:hint="default"/>
      </w:rPr>
    </w:lvl>
    <w:lvl w:ilvl="4" w:tplc="C78CCD20" w:tentative="1">
      <w:start w:val="1"/>
      <w:numFmt w:val="bullet"/>
      <w:lvlText w:val="•"/>
      <w:lvlJc w:val="left"/>
      <w:pPr>
        <w:tabs>
          <w:tab w:val="num" w:pos="3600"/>
        </w:tabs>
        <w:ind w:left="3600" w:hanging="360"/>
      </w:pPr>
      <w:rPr>
        <w:rFonts w:ascii="Arial" w:hAnsi="Arial" w:hint="default"/>
      </w:rPr>
    </w:lvl>
    <w:lvl w:ilvl="5" w:tplc="BB4CD8DE" w:tentative="1">
      <w:start w:val="1"/>
      <w:numFmt w:val="bullet"/>
      <w:lvlText w:val="•"/>
      <w:lvlJc w:val="left"/>
      <w:pPr>
        <w:tabs>
          <w:tab w:val="num" w:pos="4320"/>
        </w:tabs>
        <w:ind w:left="4320" w:hanging="360"/>
      </w:pPr>
      <w:rPr>
        <w:rFonts w:ascii="Arial" w:hAnsi="Arial" w:hint="default"/>
      </w:rPr>
    </w:lvl>
    <w:lvl w:ilvl="6" w:tplc="590A38C0" w:tentative="1">
      <w:start w:val="1"/>
      <w:numFmt w:val="bullet"/>
      <w:lvlText w:val="•"/>
      <w:lvlJc w:val="left"/>
      <w:pPr>
        <w:tabs>
          <w:tab w:val="num" w:pos="5040"/>
        </w:tabs>
        <w:ind w:left="5040" w:hanging="360"/>
      </w:pPr>
      <w:rPr>
        <w:rFonts w:ascii="Arial" w:hAnsi="Arial" w:hint="default"/>
      </w:rPr>
    </w:lvl>
    <w:lvl w:ilvl="7" w:tplc="8D14B83E" w:tentative="1">
      <w:start w:val="1"/>
      <w:numFmt w:val="bullet"/>
      <w:lvlText w:val="•"/>
      <w:lvlJc w:val="left"/>
      <w:pPr>
        <w:tabs>
          <w:tab w:val="num" w:pos="5760"/>
        </w:tabs>
        <w:ind w:left="5760" w:hanging="360"/>
      </w:pPr>
      <w:rPr>
        <w:rFonts w:ascii="Arial" w:hAnsi="Arial" w:hint="default"/>
      </w:rPr>
    </w:lvl>
    <w:lvl w:ilvl="8" w:tplc="C4CEC8DC" w:tentative="1">
      <w:start w:val="1"/>
      <w:numFmt w:val="bullet"/>
      <w:lvlText w:val="•"/>
      <w:lvlJc w:val="left"/>
      <w:pPr>
        <w:tabs>
          <w:tab w:val="num" w:pos="6480"/>
        </w:tabs>
        <w:ind w:left="6480" w:hanging="360"/>
      </w:pPr>
      <w:rPr>
        <w:rFonts w:ascii="Arial" w:hAnsi="Arial" w:hint="default"/>
      </w:rPr>
    </w:lvl>
  </w:abstractNum>
  <w:abstractNum w:abstractNumId="21">
    <w:nsid w:val="74C61A5F"/>
    <w:multiLevelType w:val="hybridMultilevel"/>
    <w:tmpl w:val="EE12CB52"/>
    <w:lvl w:ilvl="0" w:tplc="BA222514">
      <w:start w:val="1"/>
      <w:numFmt w:val="bullet"/>
      <w:lvlText w:val="•"/>
      <w:lvlJc w:val="left"/>
      <w:pPr>
        <w:tabs>
          <w:tab w:val="num" w:pos="720"/>
        </w:tabs>
        <w:ind w:left="720" w:hanging="360"/>
      </w:pPr>
      <w:rPr>
        <w:rFonts w:ascii="Arial" w:hAnsi="Arial" w:hint="default"/>
      </w:rPr>
    </w:lvl>
    <w:lvl w:ilvl="1" w:tplc="F28811DA">
      <w:start w:val="1"/>
      <w:numFmt w:val="bullet"/>
      <w:lvlText w:val="•"/>
      <w:lvlJc w:val="left"/>
      <w:pPr>
        <w:tabs>
          <w:tab w:val="num" w:pos="1440"/>
        </w:tabs>
        <w:ind w:left="1440" w:hanging="360"/>
      </w:pPr>
      <w:rPr>
        <w:rFonts w:ascii="Arial" w:hAnsi="Arial" w:hint="default"/>
      </w:rPr>
    </w:lvl>
    <w:lvl w:ilvl="2" w:tplc="526086CA" w:tentative="1">
      <w:start w:val="1"/>
      <w:numFmt w:val="bullet"/>
      <w:lvlText w:val="•"/>
      <w:lvlJc w:val="left"/>
      <w:pPr>
        <w:tabs>
          <w:tab w:val="num" w:pos="2160"/>
        </w:tabs>
        <w:ind w:left="2160" w:hanging="360"/>
      </w:pPr>
      <w:rPr>
        <w:rFonts w:ascii="Arial" w:hAnsi="Arial" w:hint="default"/>
      </w:rPr>
    </w:lvl>
    <w:lvl w:ilvl="3" w:tplc="9B54526A" w:tentative="1">
      <w:start w:val="1"/>
      <w:numFmt w:val="bullet"/>
      <w:lvlText w:val="•"/>
      <w:lvlJc w:val="left"/>
      <w:pPr>
        <w:tabs>
          <w:tab w:val="num" w:pos="2880"/>
        </w:tabs>
        <w:ind w:left="2880" w:hanging="360"/>
      </w:pPr>
      <w:rPr>
        <w:rFonts w:ascii="Arial" w:hAnsi="Arial" w:hint="default"/>
      </w:rPr>
    </w:lvl>
    <w:lvl w:ilvl="4" w:tplc="29AE421A" w:tentative="1">
      <w:start w:val="1"/>
      <w:numFmt w:val="bullet"/>
      <w:lvlText w:val="•"/>
      <w:lvlJc w:val="left"/>
      <w:pPr>
        <w:tabs>
          <w:tab w:val="num" w:pos="3600"/>
        </w:tabs>
        <w:ind w:left="3600" w:hanging="360"/>
      </w:pPr>
      <w:rPr>
        <w:rFonts w:ascii="Arial" w:hAnsi="Arial" w:hint="default"/>
      </w:rPr>
    </w:lvl>
    <w:lvl w:ilvl="5" w:tplc="2BAA656C" w:tentative="1">
      <w:start w:val="1"/>
      <w:numFmt w:val="bullet"/>
      <w:lvlText w:val="•"/>
      <w:lvlJc w:val="left"/>
      <w:pPr>
        <w:tabs>
          <w:tab w:val="num" w:pos="4320"/>
        </w:tabs>
        <w:ind w:left="4320" w:hanging="360"/>
      </w:pPr>
      <w:rPr>
        <w:rFonts w:ascii="Arial" w:hAnsi="Arial" w:hint="default"/>
      </w:rPr>
    </w:lvl>
    <w:lvl w:ilvl="6" w:tplc="67D84ABC" w:tentative="1">
      <w:start w:val="1"/>
      <w:numFmt w:val="bullet"/>
      <w:lvlText w:val="•"/>
      <w:lvlJc w:val="left"/>
      <w:pPr>
        <w:tabs>
          <w:tab w:val="num" w:pos="5040"/>
        </w:tabs>
        <w:ind w:left="5040" w:hanging="360"/>
      </w:pPr>
      <w:rPr>
        <w:rFonts w:ascii="Arial" w:hAnsi="Arial" w:hint="default"/>
      </w:rPr>
    </w:lvl>
    <w:lvl w:ilvl="7" w:tplc="7368FCB2" w:tentative="1">
      <w:start w:val="1"/>
      <w:numFmt w:val="bullet"/>
      <w:lvlText w:val="•"/>
      <w:lvlJc w:val="left"/>
      <w:pPr>
        <w:tabs>
          <w:tab w:val="num" w:pos="5760"/>
        </w:tabs>
        <w:ind w:left="5760" w:hanging="360"/>
      </w:pPr>
      <w:rPr>
        <w:rFonts w:ascii="Arial" w:hAnsi="Arial" w:hint="default"/>
      </w:rPr>
    </w:lvl>
    <w:lvl w:ilvl="8" w:tplc="EEC6B63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
  </w:num>
  <w:num w:numId="3">
    <w:abstractNumId w:val="0"/>
  </w:num>
  <w:num w:numId="4">
    <w:abstractNumId w:val="9"/>
  </w:num>
  <w:num w:numId="5">
    <w:abstractNumId w:val="15"/>
  </w:num>
  <w:num w:numId="6">
    <w:abstractNumId w:val="1"/>
  </w:num>
  <w:num w:numId="7">
    <w:abstractNumId w:val="13"/>
  </w:num>
  <w:num w:numId="8">
    <w:abstractNumId w:val="3"/>
  </w:num>
  <w:num w:numId="9">
    <w:abstractNumId w:val="19"/>
  </w:num>
  <w:num w:numId="10">
    <w:abstractNumId w:val="21"/>
  </w:num>
  <w:num w:numId="11">
    <w:abstractNumId w:val="6"/>
  </w:num>
  <w:num w:numId="12">
    <w:abstractNumId w:val="20"/>
  </w:num>
  <w:num w:numId="13">
    <w:abstractNumId w:val="11"/>
  </w:num>
  <w:num w:numId="14">
    <w:abstractNumId w:val="4"/>
  </w:num>
  <w:num w:numId="15">
    <w:abstractNumId w:val="5"/>
  </w:num>
  <w:num w:numId="16">
    <w:abstractNumId w:val="17"/>
  </w:num>
  <w:num w:numId="17">
    <w:abstractNumId w:val="12"/>
  </w:num>
  <w:num w:numId="18">
    <w:abstractNumId w:val="7"/>
  </w:num>
  <w:num w:numId="19">
    <w:abstractNumId w:val="10"/>
  </w:num>
  <w:num w:numId="20">
    <w:abstractNumId w:val="18"/>
  </w:num>
  <w:num w:numId="21">
    <w:abstractNumId w:val="14"/>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015"/>
    <w:rsid w:val="00005A24"/>
    <w:rsid w:val="00010D48"/>
    <w:rsid w:val="00013052"/>
    <w:rsid w:val="0001403D"/>
    <w:rsid w:val="00015818"/>
    <w:rsid w:val="00016F7F"/>
    <w:rsid w:val="00017389"/>
    <w:rsid w:val="000230FF"/>
    <w:rsid w:val="00060A9B"/>
    <w:rsid w:val="00064D5E"/>
    <w:rsid w:val="00070940"/>
    <w:rsid w:val="00071D83"/>
    <w:rsid w:val="00074909"/>
    <w:rsid w:val="000908CC"/>
    <w:rsid w:val="00095B33"/>
    <w:rsid w:val="000972C7"/>
    <w:rsid w:val="000A1761"/>
    <w:rsid w:val="000A2721"/>
    <w:rsid w:val="000A3EC8"/>
    <w:rsid w:val="000B267B"/>
    <w:rsid w:val="000B3450"/>
    <w:rsid w:val="000B4252"/>
    <w:rsid w:val="000B4782"/>
    <w:rsid w:val="000B5AD5"/>
    <w:rsid w:val="000C152E"/>
    <w:rsid w:val="000C44E8"/>
    <w:rsid w:val="000C6A23"/>
    <w:rsid w:val="000C7BAC"/>
    <w:rsid w:val="000D7D5E"/>
    <w:rsid w:val="000E1B5D"/>
    <w:rsid w:val="000F02A6"/>
    <w:rsid w:val="000F19A1"/>
    <w:rsid w:val="00100017"/>
    <w:rsid w:val="00100ED1"/>
    <w:rsid w:val="00102F99"/>
    <w:rsid w:val="001049AE"/>
    <w:rsid w:val="00107241"/>
    <w:rsid w:val="00107CC5"/>
    <w:rsid w:val="00111362"/>
    <w:rsid w:val="00121E15"/>
    <w:rsid w:val="001222D3"/>
    <w:rsid w:val="00123CD5"/>
    <w:rsid w:val="001336DA"/>
    <w:rsid w:val="00133A03"/>
    <w:rsid w:val="00136EA2"/>
    <w:rsid w:val="00137B8C"/>
    <w:rsid w:val="00137B9D"/>
    <w:rsid w:val="00137FE7"/>
    <w:rsid w:val="00140D60"/>
    <w:rsid w:val="0014132E"/>
    <w:rsid w:val="00142DC9"/>
    <w:rsid w:val="00143803"/>
    <w:rsid w:val="00154421"/>
    <w:rsid w:val="001565D6"/>
    <w:rsid w:val="00161C5D"/>
    <w:rsid w:val="00162C3D"/>
    <w:rsid w:val="00163757"/>
    <w:rsid w:val="00163E5B"/>
    <w:rsid w:val="00166449"/>
    <w:rsid w:val="00166D2B"/>
    <w:rsid w:val="00171585"/>
    <w:rsid w:val="0017326D"/>
    <w:rsid w:val="00173CDB"/>
    <w:rsid w:val="00187024"/>
    <w:rsid w:val="00190474"/>
    <w:rsid w:val="00191303"/>
    <w:rsid w:val="00195A6F"/>
    <w:rsid w:val="001966F9"/>
    <w:rsid w:val="001A04CB"/>
    <w:rsid w:val="001B7B88"/>
    <w:rsid w:val="001C08A8"/>
    <w:rsid w:val="001C4B1A"/>
    <w:rsid w:val="001C683C"/>
    <w:rsid w:val="001C68DA"/>
    <w:rsid w:val="001D3AF7"/>
    <w:rsid w:val="001D6755"/>
    <w:rsid w:val="001E1FE8"/>
    <w:rsid w:val="001E2C5A"/>
    <w:rsid w:val="001F4495"/>
    <w:rsid w:val="001F6267"/>
    <w:rsid w:val="00205E41"/>
    <w:rsid w:val="00210338"/>
    <w:rsid w:val="00215775"/>
    <w:rsid w:val="00216347"/>
    <w:rsid w:val="00216C18"/>
    <w:rsid w:val="002253E6"/>
    <w:rsid w:val="002264B7"/>
    <w:rsid w:val="00226B96"/>
    <w:rsid w:val="00231D7F"/>
    <w:rsid w:val="002334EE"/>
    <w:rsid w:val="00234511"/>
    <w:rsid w:val="00244956"/>
    <w:rsid w:val="002460B7"/>
    <w:rsid w:val="0025304A"/>
    <w:rsid w:val="00253C0D"/>
    <w:rsid w:val="00253FFC"/>
    <w:rsid w:val="00256038"/>
    <w:rsid w:val="00257DE3"/>
    <w:rsid w:val="002628DD"/>
    <w:rsid w:val="00263D7A"/>
    <w:rsid w:val="0027045A"/>
    <w:rsid w:val="002715FB"/>
    <w:rsid w:val="002772A1"/>
    <w:rsid w:val="00280731"/>
    <w:rsid w:val="00282995"/>
    <w:rsid w:val="002832C6"/>
    <w:rsid w:val="00283312"/>
    <w:rsid w:val="00284C53"/>
    <w:rsid w:val="00295C64"/>
    <w:rsid w:val="002B08E4"/>
    <w:rsid w:val="002C16EC"/>
    <w:rsid w:val="002C3EC6"/>
    <w:rsid w:val="002C78A9"/>
    <w:rsid w:val="002D0CEC"/>
    <w:rsid w:val="002D364B"/>
    <w:rsid w:val="002D37EE"/>
    <w:rsid w:val="002D4D29"/>
    <w:rsid w:val="002D5FB1"/>
    <w:rsid w:val="002E1CC3"/>
    <w:rsid w:val="002F7039"/>
    <w:rsid w:val="00303EBB"/>
    <w:rsid w:val="00304580"/>
    <w:rsid w:val="0030538E"/>
    <w:rsid w:val="00305E92"/>
    <w:rsid w:val="00312322"/>
    <w:rsid w:val="0031247B"/>
    <w:rsid w:val="003176E7"/>
    <w:rsid w:val="00324739"/>
    <w:rsid w:val="00324C2B"/>
    <w:rsid w:val="00324D52"/>
    <w:rsid w:val="00325587"/>
    <w:rsid w:val="00331612"/>
    <w:rsid w:val="003328AD"/>
    <w:rsid w:val="0033403E"/>
    <w:rsid w:val="00335E86"/>
    <w:rsid w:val="00340615"/>
    <w:rsid w:val="00340970"/>
    <w:rsid w:val="0034298A"/>
    <w:rsid w:val="003441BB"/>
    <w:rsid w:val="003469B1"/>
    <w:rsid w:val="00354831"/>
    <w:rsid w:val="0035539B"/>
    <w:rsid w:val="00360C4C"/>
    <w:rsid w:val="003654CA"/>
    <w:rsid w:val="003702B0"/>
    <w:rsid w:val="00372DD0"/>
    <w:rsid w:val="00382CFB"/>
    <w:rsid w:val="003843D8"/>
    <w:rsid w:val="003869A3"/>
    <w:rsid w:val="003944E7"/>
    <w:rsid w:val="003A147A"/>
    <w:rsid w:val="003A4DD6"/>
    <w:rsid w:val="003A6A41"/>
    <w:rsid w:val="003B7740"/>
    <w:rsid w:val="003B7B62"/>
    <w:rsid w:val="003C2681"/>
    <w:rsid w:val="003C3BD0"/>
    <w:rsid w:val="003D0CC9"/>
    <w:rsid w:val="003D12D4"/>
    <w:rsid w:val="003D1E5A"/>
    <w:rsid w:val="003D2AD9"/>
    <w:rsid w:val="003E1386"/>
    <w:rsid w:val="003F010E"/>
    <w:rsid w:val="003F0197"/>
    <w:rsid w:val="004101BE"/>
    <w:rsid w:val="00420665"/>
    <w:rsid w:val="004251C9"/>
    <w:rsid w:val="0044004B"/>
    <w:rsid w:val="00445C9F"/>
    <w:rsid w:val="00453E70"/>
    <w:rsid w:val="00456098"/>
    <w:rsid w:val="00456DED"/>
    <w:rsid w:val="00462C51"/>
    <w:rsid w:val="00462F22"/>
    <w:rsid w:val="004651CC"/>
    <w:rsid w:val="00470D85"/>
    <w:rsid w:val="0047114E"/>
    <w:rsid w:val="00481B5B"/>
    <w:rsid w:val="004830FE"/>
    <w:rsid w:val="00484C47"/>
    <w:rsid w:val="00484F6B"/>
    <w:rsid w:val="004927C0"/>
    <w:rsid w:val="00494170"/>
    <w:rsid w:val="00495784"/>
    <w:rsid w:val="004A1B0E"/>
    <w:rsid w:val="004A561C"/>
    <w:rsid w:val="004B0E3E"/>
    <w:rsid w:val="004C5154"/>
    <w:rsid w:val="004D3656"/>
    <w:rsid w:val="004D4103"/>
    <w:rsid w:val="004D73D2"/>
    <w:rsid w:val="004E0DE5"/>
    <w:rsid w:val="004E264E"/>
    <w:rsid w:val="004F3E7C"/>
    <w:rsid w:val="005011B9"/>
    <w:rsid w:val="00505B4D"/>
    <w:rsid w:val="00506353"/>
    <w:rsid w:val="0050766B"/>
    <w:rsid w:val="005077C3"/>
    <w:rsid w:val="00511A11"/>
    <w:rsid w:val="00515930"/>
    <w:rsid w:val="00520EC6"/>
    <w:rsid w:val="005220B2"/>
    <w:rsid w:val="005224CC"/>
    <w:rsid w:val="00523435"/>
    <w:rsid w:val="00524E6A"/>
    <w:rsid w:val="00525092"/>
    <w:rsid w:val="00530A71"/>
    <w:rsid w:val="0054696F"/>
    <w:rsid w:val="00551967"/>
    <w:rsid w:val="00555E1F"/>
    <w:rsid w:val="0056526E"/>
    <w:rsid w:val="00577496"/>
    <w:rsid w:val="005834A9"/>
    <w:rsid w:val="005878A0"/>
    <w:rsid w:val="00596830"/>
    <w:rsid w:val="005A1360"/>
    <w:rsid w:val="005A335C"/>
    <w:rsid w:val="005A5A37"/>
    <w:rsid w:val="005B03CF"/>
    <w:rsid w:val="005B37D3"/>
    <w:rsid w:val="005C53EC"/>
    <w:rsid w:val="005C692C"/>
    <w:rsid w:val="005E00E0"/>
    <w:rsid w:val="005E0909"/>
    <w:rsid w:val="005E105F"/>
    <w:rsid w:val="005F4B94"/>
    <w:rsid w:val="005F60FB"/>
    <w:rsid w:val="005F6F91"/>
    <w:rsid w:val="005F76F3"/>
    <w:rsid w:val="0060128B"/>
    <w:rsid w:val="00602BE0"/>
    <w:rsid w:val="00604926"/>
    <w:rsid w:val="00604B71"/>
    <w:rsid w:val="006076C2"/>
    <w:rsid w:val="00611A68"/>
    <w:rsid w:val="00611C5B"/>
    <w:rsid w:val="00612838"/>
    <w:rsid w:val="0061390B"/>
    <w:rsid w:val="00616646"/>
    <w:rsid w:val="0061768A"/>
    <w:rsid w:val="00620E7D"/>
    <w:rsid w:val="00621B19"/>
    <w:rsid w:val="00630EE3"/>
    <w:rsid w:val="006312CF"/>
    <w:rsid w:val="006325F7"/>
    <w:rsid w:val="006365B6"/>
    <w:rsid w:val="0064086D"/>
    <w:rsid w:val="006408C9"/>
    <w:rsid w:val="00643FDC"/>
    <w:rsid w:val="006446E7"/>
    <w:rsid w:val="00644C84"/>
    <w:rsid w:val="00645388"/>
    <w:rsid w:val="00647F7D"/>
    <w:rsid w:val="00650C75"/>
    <w:rsid w:val="006520D0"/>
    <w:rsid w:val="00655B0F"/>
    <w:rsid w:val="00660EE4"/>
    <w:rsid w:val="00666E6D"/>
    <w:rsid w:val="00676145"/>
    <w:rsid w:val="00683A76"/>
    <w:rsid w:val="00686068"/>
    <w:rsid w:val="00687E1B"/>
    <w:rsid w:val="006A0248"/>
    <w:rsid w:val="006A120C"/>
    <w:rsid w:val="006A1F2B"/>
    <w:rsid w:val="006A3CC0"/>
    <w:rsid w:val="006A7352"/>
    <w:rsid w:val="006A7854"/>
    <w:rsid w:val="006B3131"/>
    <w:rsid w:val="006B4C8F"/>
    <w:rsid w:val="006C443E"/>
    <w:rsid w:val="006D2178"/>
    <w:rsid w:val="006D247D"/>
    <w:rsid w:val="006D48C4"/>
    <w:rsid w:val="006E01A2"/>
    <w:rsid w:val="006E2808"/>
    <w:rsid w:val="006E50DE"/>
    <w:rsid w:val="006F2F50"/>
    <w:rsid w:val="006F34C8"/>
    <w:rsid w:val="0070442C"/>
    <w:rsid w:val="00705C4E"/>
    <w:rsid w:val="007113EB"/>
    <w:rsid w:val="0071639B"/>
    <w:rsid w:val="007326DF"/>
    <w:rsid w:val="00736EB4"/>
    <w:rsid w:val="007371C0"/>
    <w:rsid w:val="00740350"/>
    <w:rsid w:val="00745C21"/>
    <w:rsid w:val="007501D5"/>
    <w:rsid w:val="00751472"/>
    <w:rsid w:val="00753D5E"/>
    <w:rsid w:val="007546E1"/>
    <w:rsid w:val="00760AED"/>
    <w:rsid w:val="007648AA"/>
    <w:rsid w:val="00767D50"/>
    <w:rsid w:val="00786201"/>
    <w:rsid w:val="00787772"/>
    <w:rsid w:val="00795E1F"/>
    <w:rsid w:val="00797128"/>
    <w:rsid w:val="007A3C1B"/>
    <w:rsid w:val="007A5CB9"/>
    <w:rsid w:val="007B0385"/>
    <w:rsid w:val="007B1D03"/>
    <w:rsid w:val="007B5BAF"/>
    <w:rsid w:val="007B6BA8"/>
    <w:rsid w:val="007B7841"/>
    <w:rsid w:val="007B7DAB"/>
    <w:rsid w:val="007C23B5"/>
    <w:rsid w:val="007C6D52"/>
    <w:rsid w:val="007D09E5"/>
    <w:rsid w:val="007D6391"/>
    <w:rsid w:val="007E3737"/>
    <w:rsid w:val="007E3B3A"/>
    <w:rsid w:val="007E43F9"/>
    <w:rsid w:val="007F55A4"/>
    <w:rsid w:val="0080568D"/>
    <w:rsid w:val="008059E2"/>
    <w:rsid w:val="008129D0"/>
    <w:rsid w:val="00816C6F"/>
    <w:rsid w:val="00822129"/>
    <w:rsid w:val="00824F24"/>
    <w:rsid w:val="00834CFD"/>
    <w:rsid w:val="00840C5C"/>
    <w:rsid w:val="00846543"/>
    <w:rsid w:val="0085521A"/>
    <w:rsid w:val="008631CE"/>
    <w:rsid w:val="008659BA"/>
    <w:rsid w:val="00874E4C"/>
    <w:rsid w:val="008751D1"/>
    <w:rsid w:val="00891465"/>
    <w:rsid w:val="008A3C28"/>
    <w:rsid w:val="008A6784"/>
    <w:rsid w:val="008A71BC"/>
    <w:rsid w:val="008A7D03"/>
    <w:rsid w:val="008B00C2"/>
    <w:rsid w:val="008B0644"/>
    <w:rsid w:val="008B28C1"/>
    <w:rsid w:val="008B64C0"/>
    <w:rsid w:val="008B7E4A"/>
    <w:rsid w:val="008C18FF"/>
    <w:rsid w:val="008C73E3"/>
    <w:rsid w:val="008D2723"/>
    <w:rsid w:val="008E2FFF"/>
    <w:rsid w:val="008E6741"/>
    <w:rsid w:val="008E68BD"/>
    <w:rsid w:val="008E6D01"/>
    <w:rsid w:val="008E7514"/>
    <w:rsid w:val="008F423E"/>
    <w:rsid w:val="008F42AB"/>
    <w:rsid w:val="0090107A"/>
    <w:rsid w:val="00905525"/>
    <w:rsid w:val="00910BBD"/>
    <w:rsid w:val="00911EB9"/>
    <w:rsid w:val="0091496F"/>
    <w:rsid w:val="0092040C"/>
    <w:rsid w:val="00920E0B"/>
    <w:rsid w:val="00921BA9"/>
    <w:rsid w:val="00927DDB"/>
    <w:rsid w:val="00930F01"/>
    <w:rsid w:val="00933DCD"/>
    <w:rsid w:val="00936BD5"/>
    <w:rsid w:val="00937504"/>
    <w:rsid w:val="00942B20"/>
    <w:rsid w:val="00942E3C"/>
    <w:rsid w:val="0095075C"/>
    <w:rsid w:val="0095185B"/>
    <w:rsid w:val="00955664"/>
    <w:rsid w:val="0095587B"/>
    <w:rsid w:val="00957D14"/>
    <w:rsid w:val="0096228E"/>
    <w:rsid w:val="00964714"/>
    <w:rsid w:val="009717FE"/>
    <w:rsid w:val="00976B6B"/>
    <w:rsid w:val="0098014F"/>
    <w:rsid w:val="00980AA9"/>
    <w:rsid w:val="00982C37"/>
    <w:rsid w:val="00987FA3"/>
    <w:rsid w:val="009920B5"/>
    <w:rsid w:val="00994080"/>
    <w:rsid w:val="0099410E"/>
    <w:rsid w:val="009947F6"/>
    <w:rsid w:val="00995240"/>
    <w:rsid w:val="009C012C"/>
    <w:rsid w:val="009C54ED"/>
    <w:rsid w:val="009C5C1D"/>
    <w:rsid w:val="009C6D05"/>
    <w:rsid w:val="009D281B"/>
    <w:rsid w:val="009D3FD6"/>
    <w:rsid w:val="009D7172"/>
    <w:rsid w:val="009D745D"/>
    <w:rsid w:val="009D756F"/>
    <w:rsid w:val="009E07FB"/>
    <w:rsid w:val="009E1704"/>
    <w:rsid w:val="009E1818"/>
    <w:rsid w:val="009E3B51"/>
    <w:rsid w:val="009E7789"/>
    <w:rsid w:val="009F47EF"/>
    <w:rsid w:val="009F6B6C"/>
    <w:rsid w:val="00A021D6"/>
    <w:rsid w:val="00A07CEA"/>
    <w:rsid w:val="00A125E1"/>
    <w:rsid w:val="00A12C42"/>
    <w:rsid w:val="00A14AE3"/>
    <w:rsid w:val="00A40A7F"/>
    <w:rsid w:val="00A40BE8"/>
    <w:rsid w:val="00A42F27"/>
    <w:rsid w:val="00A4316E"/>
    <w:rsid w:val="00A44E5B"/>
    <w:rsid w:val="00A4558D"/>
    <w:rsid w:val="00A45FAB"/>
    <w:rsid w:val="00A46F73"/>
    <w:rsid w:val="00A67356"/>
    <w:rsid w:val="00A712E1"/>
    <w:rsid w:val="00A74DA6"/>
    <w:rsid w:val="00A779C5"/>
    <w:rsid w:val="00A80D09"/>
    <w:rsid w:val="00A82A73"/>
    <w:rsid w:val="00A834FA"/>
    <w:rsid w:val="00A84BB4"/>
    <w:rsid w:val="00A90C84"/>
    <w:rsid w:val="00A95A17"/>
    <w:rsid w:val="00A966E0"/>
    <w:rsid w:val="00AA0645"/>
    <w:rsid w:val="00AA6B91"/>
    <w:rsid w:val="00AB2413"/>
    <w:rsid w:val="00AB34A3"/>
    <w:rsid w:val="00AB7EBF"/>
    <w:rsid w:val="00AC694E"/>
    <w:rsid w:val="00AD2451"/>
    <w:rsid w:val="00AE11CD"/>
    <w:rsid w:val="00AE54F8"/>
    <w:rsid w:val="00AE5647"/>
    <w:rsid w:val="00AE56D1"/>
    <w:rsid w:val="00AE60E7"/>
    <w:rsid w:val="00AF0DA0"/>
    <w:rsid w:val="00AF750E"/>
    <w:rsid w:val="00B04E3A"/>
    <w:rsid w:val="00B1407A"/>
    <w:rsid w:val="00B15E23"/>
    <w:rsid w:val="00B1635D"/>
    <w:rsid w:val="00B214C9"/>
    <w:rsid w:val="00B223C1"/>
    <w:rsid w:val="00B26211"/>
    <w:rsid w:val="00B277AF"/>
    <w:rsid w:val="00B279DE"/>
    <w:rsid w:val="00B32497"/>
    <w:rsid w:val="00B325F0"/>
    <w:rsid w:val="00B3348D"/>
    <w:rsid w:val="00B33600"/>
    <w:rsid w:val="00B35A6C"/>
    <w:rsid w:val="00B3776E"/>
    <w:rsid w:val="00B43BF7"/>
    <w:rsid w:val="00B608AB"/>
    <w:rsid w:val="00B62351"/>
    <w:rsid w:val="00B64102"/>
    <w:rsid w:val="00B65CD8"/>
    <w:rsid w:val="00B660A7"/>
    <w:rsid w:val="00B70CC1"/>
    <w:rsid w:val="00B73A81"/>
    <w:rsid w:val="00B74812"/>
    <w:rsid w:val="00B8610C"/>
    <w:rsid w:val="00B95AFF"/>
    <w:rsid w:val="00B9605C"/>
    <w:rsid w:val="00BA596B"/>
    <w:rsid w:val="00BC10D9"/>
    <w:rsid w:val="00BD2834"/>
    <w:rsid w:val="00BD6522"/>
    <w:rsid w:val="00BE0B07"/>
    <w:rsid w:val="00BE6B8E"/>
    <w:rsid w:val="00BE7015"/>
    <w:rsid w:val="00BF0ADC"/>
    <w:rsid w:val="00BF3CC0"/>
    <w:rsid w:val="00BF47C7"/>
    <w:rsid w:val="00BF5613"/>
    <w:rsid w:val="00C01382"/>
    <w:rsid w:val="00C071DA"/>
    <w:rsid w:val="00C1015E"/>
    <w:rsid w:val="00C16A4F"/>
    <w:rsid w:val="00C252DB"/>
    <w:rsid w:val="00C26320"/>
    <w:rsid w:val="00C27619"/>
    <w:rsid w:val="00C27676"/>
    <w:rsid w:val="00C36E3D"/>
    <w:rsid w:val="00C40E31"/>
    <w:rsid w:val="00C530EA"/>
    <w:rsid w:val="00C55A9A"/>
    <w:rsid w:val="00C6037F"/>
    <w:rsid w:val="00C605E0"/>
    <w:rsid w:val="00C663D4"/>
    <w:rsid w:val="00C81FE9"/>
    <w:rsid w:val="00C92055"/>
    <w:rsid w:val="00C921E0"/>
    <w:rsid w:val="00C978DE"/>
    <w:rsid w:val="00CA1694"/>
    <w:rsid w:val="00CA2D3A"/>
    <w:rsid w:val="00CA5FB2"/>
    <w:rsid w:val="00CA731C"/>
    <w:rsid w:val="00CB44B8"/>
    <w:rsid w:val="00CB467D"/>
    <w:rsid w:val="00CC0FB0"/>
    <w:rsid w:val="00CC7937"/>
    <w:rsid w:val="00CC79C7"/>
    <w:rsid w:val="00CC7DB9"/>
    <w:rsid w:val="00CD1656"/>
    <w:rsid w:val="00CE0A27"/>
    <w:rsid w:val="00CE1DB0"/>
    <w:rsid w:val="00CE4ED8"/>
    <w:rsid w:val="00CE6197"/>
    <w:rsid w:val="00CF028C"/>
    <w:rsid w:val="00CF0A56"/>
    <w:rsid w:val="00CF34EF"/>
    <w:rsid w:val="00CF3647"/>
    <w:rsid w:val="00CF7469"/>
    <w:rsid w:val="00D00CEA"/>
    <w:rsid w:val="00D01C98"/>
    <w:rsid w:val="00D043A1"/>
    <w:rsid w:val="00D0456D"/>
    <w:rsid w:val="00D046B6"/>
    <w:rsid w:val="00D04B58"/>
    <w:rsid w:val="00D12C46"/>
    <w:rsid w:val="00D13101"/>
    <w:rsid w:val="00D30600"/>
    <w:rsid w:val="00D33E82"/>
    <w:rsid w:val="00D42FD6"/>
    <w:rsid w:val="00D43F7C"/>
    <w:rsid w:val="00D53136"/>
    <w:rsid w:val="00D61383"/>
    <w:rsid w:val="00D61F1D"/>
    <w:rsid w:val="00D62605"/>
    <w:rsid w:val="00D66AF9"/>
    <w:rsid w:val="00D67669"/>
    <w:rsid w:val="00D72D9A"/>
    <w:rsid w:val="00D733BC"/>
    <w:rsid w:val="00D7582A"/>
    <w:rsid w:val="00D84FEA"/>
    <w:rsid w:val="00D85CFC"/>
    <w:rsid w:val="00D902E1"/>
    <w:rsid w:val="00D906F6"/>
    <w:rsid w:val="00D92A6F"/>
    <w:rsid w:val="00D96D83"/>
    <w:rsid w:val="00DA1850"/>
    <w:rsid w:val="00DA24FE"/>
    <w:rsid w:val="00DB1895"/>
    <w:rsid w:val="00DB4A99"/>
    <w:rsid w:val="00DB7893"/>
    <w:rsid w:val="00DC1598"/>
    <w:rsid w:val="00DC249D"/>
    <w:rsid w:val="00DD05D9"/>
    <w:rsid w:val="00DD08D8"/>
    <w:rsid w:val="00DD22DA"/>
    <w:rsid w:val="00DD5729"/>
    <w:rsid w:val="00DD64A6"/>
    <w:rsid w:val="00DD69C5"/>
    <w:rsid w:val="00DE492F"/>
    <w:rsid w:val="00DE4D54"/>
    <w:rsid w:val="00DE4FF5"/>
    <w:rsid w:val="00DE7E04"/>
    <w:rsid w:val="00DF0BAC"/>
    <w:rsid w:val="00DF561D"/>
    <w:rsid w:val="00DF7196"/>
    <w:rsid w:val="00DF7FE9"/>
    <w:rsid w:val="00E001A2"/>
    <w:rsid w:val="00E03C3F"/>
    <w:rsid w:val="00E04F13"/>
    <w:rsid w:val="00E1023C"/>
    <w:rsid w:val="00E126C4"/>
    <w:rsid w:val="00E14E49"/>
    <w:rsid w:val="00E16E78"/>
    <w:rsid w:val="00E1724C"/>
    <w:rsid w:val="00E21642"/>
    <w:rsid w:val="00E225F2"/>
    <w:rsid w:val="00E22634"/>
    <w:rsid w:val="00E2463A"/>
    <w:rsid w:val="00E2521C"/>
    <w:rsid w:val="00E303C5"/>
    <w:rsid w:val="00E3104F"/>
    <w:rsid w:val="00E31147"/>
    <w:rsid w:val="00E43268"/>
    <w:rsid w:val="00E43B97"/>
    <w:rsid w:val="00E44168"/>
    <w:rsid w:val="00E460AC"/>
    <w:rsid w:val="00E50345"/>
    <w:rsid w:val="00E6510E"/>
    <w:rsid w:val="00E67F18"/>
    <w:rsid w:val="00E70EB7"/>
    <w:rsid w:val="00E7243E"/>
    <w:rsid w:val="00E82767"/>
    <w:rsid w:val="00E847B0"/>
    <w:rsid w:val="00E860C7"/>
    <w:rsid w:val="00E86AA5"/>
    <w:rsid w:val="00E95FF9"/>
    <w:rsid w:val="00E97C78"/>
    <w:rsid w:val="00EA250C"/>
    <w:rsid w:val="00EA25FC"/>
    <w:rsid w:val="00EA3C06"/>
    <w:rsid w:val="00EB1992"/>
    <w:rsid w:val="00EB1F59"/>
    <w:rsid w:val="00EB60F4"/>
    <w:rsid w:val="00ED4B62"/>
    <w:rsid w:val="00ED50D0"/>
    <w:rsid w:val="00ED7B4B"/>
    <w:rsid w:val="00EE3B0A"/>
    <w:rsid w:val="00EF145F"/>
    <w:rsid w:val="00EF446D"/>
    <w:rsid w:val="00EF6ABB"/>
    <w:rsid w:val="00F05323"/>
    <w:rsid w:val="00F1029E"/>
    <w:rsid w:val="00F109CF"/>
    <w:rsid w:val="00F15C50"/>
    <w:rsid w:val="00F16611"/>
    <w:rsid w:val="00F172B4"/>
    <w:rsid w:val="00F22F66"/>
    <w:rsid w:val="00F27A13"/>
    <w:rsid w:val="00F32055"/>
    <w:rsid w:val="00F40741"/>
    <w:rsid w:val="00F427A5"/>
    <w:rsid w:val="00F45277"/>
    <w:rsid w:val="00F4735D"/>
    <w:rsid w:val="00F534F3"/>
    <w:rsid w:val="00F57300"/>
    <w:rsid w:val="00F5741F"/>
    <w:rsid w:val="00F62424"/>
    <w:rsid w:val="00F63ABB"/>
    <w:rsid w:val="00F65DFC"/>
    <w:rsid w:val="00F67761"/>
    <w:rsid w:val="00F71B23"/>
    <w:rsid w:val="00F71EB1"/>
    <w:rsid w:val="00F72B00"/>
    <w:rsid w:val="00F73774"/>
    <w:rsid w:val="00F90C3C"/>
    <w:rsid w:val="00F91926"/>
    <w:rsid w:val="00F94F65"/>
    <w:rsid w:val="00F95992"/>
    <w:rsid w:val="00F96589"/>
    <w:rsid w:val="00F9753B"/>
    <w:rsid w:val="00FA0927"/>
    <w:rsid w:val="00FB0F07"/>
    <w:rsid w:val="00FB386D"/>
    <w:rsid w:val="00FB63F0"/>
    <w:rsid w:val="00FC3C39"/>
    <w:rsid w:val="00FC3CCB"/>
    <w:rsid w:val="00FC4242"/>
    <w:rsid w:val="00FD2247"/>
    <w:rsid w:val="00FD30DA"/>
    <w:rsid w:val="00FD44EE"/>
    <w:rsid w:val="00FD6FDE"/>
    <w:rsid w:val="00FE2830"/>
    <w:rsid w:val="00FE327D"/>
    <w:rsid w:val="00FE46A1"/>
    <w:rsid w:val="00FE793F"/>
    <w:rsid w:val="00FF12AA"/>
    <w:rsid w:val="00FF602D"/>
    <w:rsid w:val="00FF6DD8"/>
    <w:rsid w:val="00FF6E2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E1"/>
    <w:pPr>
      <w:spacing w:after="200" w:line="276" w:lineRule="auto"/>
    </w:pPr>
    <w:rPr>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71DA"/>
    <w:pPr>
      <w:ind w:left="720"/>
      <w:contextualSpacing/>
    </w:pPr>
  </w:style>
  <w:style w:type="paragraph" w:styleId="Header">
    <w:name w:val="header"/>
    <w:basedOn w:val="Normal"/>
    <w:link w:val="HeaderChar"/>
    <w:uiPriority w:val="99"/>
    <w:rsid w:val="009C5C1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C5C1D"/>
    <w:rPr>
      <w:rFonts w:cs="Times New Roman"/>
    </w:rPr>
  </w:style>
  <w:style w:type="paragraph" w:styleId="Footer">
    <w:name w:val="footer"/>
    <w:basedOn w:val="Normal"/>
    <w:link w:val="FooterChar"/>
    <w:uiPriority w:val="99"/>
    <w:rsid w:val="009C5C1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C5C1D"/>
    <w:rPr>
      <w:rFonts w:cs="Times New Roman"/>
    </w:rPr>
  </w:style>
  <w:style w:type="table" w:styleId="TableGrid">
    <w:name w:val="Table Grid"/>
    <w:basedOn w:val="TableNormal"/>
    <w:uiPriority w:val="99"/>
    <w:rsid w:val="004A5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F94F65"/>
    <w:pPr>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locked/>
    <w:rsid w:val="00F94F65"/>
    <w:rPr>
      <w:rFonts w:ascii="Times New Roman" w:hAnsi="Times New Roman" w:cs="Times New Roman"/>
      <w:sz w:val="20"/>
      <w:szCs w:val="20"/>
    </w:rPr>
  </w:style>
  <w:style w:type="character" w:styleId="FootnoteReference">
    <w:name w:val="footnote reference"/>
    <w:basedOn w:val="DefaultParagraphFont"/>
    <w:uiPriority w:val="99"/>
    <w:rsid w:val="0071639B"/>
    <w:rPr>
      <w:rFonts w:ascii="Times New Roman" w:hAnsi="Times New Roman" w:cs="Times New Roman"/>
      <w:vertAlign w:val="superscript"/>
    </w:rPr>
  </w:style>
  <w:style w:type="character" w:customStyle="1" w:styleId="Italics">
    <w:name w:val="Italics"/>
    <w:uiPriority w:val="99"/>
    <w:rsid w:val="00B3776E"/>
    <w:rPr>
      <w:i/>
    </w:rPr>
  </w:style>
  <w:style w:type="paragraph" w:styleId="BalloonText">
    <w:name w:val="Balloon Text"/>
    <w:basedOn w:val="Normal"/>
    <w:link w:val="BalloonTextChar"/>
    <w:uiPriority w:val="99"/>
    <w:semiHidden/>
    <w:rsid w:val="00994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47F6"/>
    <w:rPr>
      <w:rFonts w:ascii="Tahoma" w:hAnsi="Tahoma" w:cs="Tahoma"/>
      <w:sz w:val="16"/>
      <w:szCs w:val="16"/>
    </w:rPr>
  </w:style>
  <w:style w:type="character" w:styleId="PlaceholderText">
    <w:name w:val="Placeholder Text"/>
    <w:basedOn w:val="DefaultParagraphFont"/>
    <w:uiPriority w:val="99"/>
    <w:semiHidden/>
    <w:rsid w:val="00751472"/>
    <w:rPr>
      <w:rFonts w:cs="Times New Roman"/>
      <w:color w:val="808080"/>
    </w:rPr>
  </w:style>
  <w:style w:type="character" w:styleId="CommentReference">
    <w:name w:val="annotation reference"/>
    <w:basedOn w:val="DefaultParagraphFont"/>
    <w:uiPriority w:val="99"/>
    <w:semiHidden/>
    <w:rsid w:val="00787772"/>
    <w:rPr>
      <w:rFonts w:cs="Times New Roman"/>
      <w:sz w:val="16"/>
      <w:szCs w:val="16"/>
    </w:rPr>
  </w:style>
  <w:style w:type="paragraph" w:styleId="CommentText">
    <w:name w:val="annotation text"/>
    <w:basedOn w:val="Normal"/>
    <w:link w:val="CommentTextChar"/>
    <w:uiPriority w:val="99"/>
    <w:semiHidden/>
    <w:rsid w:val="0078777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87772"/>
    <w:rPr>
      <w:rFonts w:cs="Times New Roman"/>
      <w:sz w:val="20"/>
      <w:szCs w:val="20"/>
    </w:rPr>
  </w:style>
  <w:style w:type="paragraph" w:styleId="CommentSubject">
    <w:name w:val="annotation subject"/>
    <w:basedOn w:val="CommentText"/>
    <w:next w:val="CommentText"/>
    <w:link w:val="CommentSubjectChar"/>
    <w:uiPriority w:val="99"/>
    <w:semiHidden/>
    <w:rsid w:val="00787772"/>
    <w:rPr>
      <w:b/>
      <w:bCs/>
    </w:rPr>
  </w:style>
  <w:style w:type="character" w:customStyle="1" w:styleId="CommentSubjectChar">
    <w:name w:val="Comment Subject Char"/>
    <w:basedOn w:val="CommentTextChar"/>
    <w:link w:val="CommentSubject"/>
    <w:uiPriority w:val="99"/>
    <w:semiHidden/>
    <w:locked/>
    <w:rsid w:val="00787772"/>
    <w:rPr>
      <w:b/>
      <w:bCs/>
    </w:rPr>
  </w:style>
  <w:style w:type="character" w:styleId="Hyperlink">
    <w:name w:val="Hyperlink"/>
    <w:basedOn w:val="DefaultParagraphFont"/>
    <w:uiPriority w:val="99"/>
    <w:rsid w:val="00FB0F0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22943698">
      <w:marLeft w:val="0"/>
      <w:marRight w:val="0"/>
      <w:marTop w:val="0"/>
      <w:marBottom w:val="0"/>
      <w:divBdr>
        <w:top w:val="none" w:sz="0" w:space="0" w:color="auto"/>
        <w:left w:val="none" w:sz="0" w:space="0" w:color="auto"/>
        <w:bottom w:val="none" w:sz="0" w:space="0" w:color="auto"/>
        <w:right w:val="none" w:sz="0" w:space="0" w:color="auto"/>
      </w:divBdr>
      <w:divsChild>
        <w:div w:id="722943700">
          <w:marLeft w:val="547"/>
          <w:marRight w:val="0"/>
          <w:marTop w:val="115"/>
          <w:marBottom w:val="0"/>
          <w:divBdr>
            <w:top w:val="none" w:sz="0" w:space="0" w:color="auto"/>
            <w:left w:val="none" w:sz="0" w:space="0" w:color="auto"/>
            <w:bottom w:val="none" w:sz="0" w:space="0" w:color="auto"/>
            <w:right w:val="none" w:sz="0" w:space="0" w:color="auto"/>
          </w:divBdr>
        </w:div>
        <w:div w:id="722943772">
          <w:marLeft w:val="547"/>
          <w:marRight w:val="0"/>
          <w:marTop w:val="115"/>
          <w:marBottom w:val="0"/>
          <w:divBdr>
            <w:top w:val="none" w:sz="0" w:space="0" w:color="auto"/>
            <w:left w:val="none" w:sz="0" w:space="0" w:color="auto"/>
            <w:bottom w:val="none" w:sz="0" w:space="0" w:color="auto"/>
            <w:right w:val="none" w:sz="0" w:space="0" w:color="auto"/>
          </w:divBdr>
        </w:div>
        <w:div w:id="722943874">
          <w:marLeft w:val="547"/>
          <w:marRight w:val="0"/>
          <w:marTop w:val="115"/>
          <w:marBottom w:val="0"/>
          <w:divBdr>
            <w:top w:val="none" w:sz="0" w:space="0" w:color="auto"/>
            <w:left w:val="none" w:sz="0" w:space="0" w:color="auto"/>
            <w:bottom w:val="none" w:sz="0" w:space="0" w:color="auto"/>
            <w:right w:val="none" w:sz="0" w:space="0" w:color="auto"/>
          </w:divBdr>
        </w:div>
      </w:divsChild>
    </w:div>
    <w:div w:id="722943701">
      <w:marLeft w:val="0"/>
      <w:marRight w:val="0"/>
      <w:marTop w:val="0"/>
      <w:marBottom w:val="0"/>
      <w:divBdr>
        <w:top w:val="none" w:sz="0" w:space="0" w:color="auto"/>
        <w:left w:val="none" w:sz="0" w:space="0" w:color="auto"/>
        <w:bottom w:val="none" w:sz="0" w:space="0" w:color="auto"/>
        <w:right w:val="none" w:sz="0" w:space="0" w:color="auto"/>
      </w:divBdr>
    </w:div>
    <w:div w:id="722943702">
      <w:marLeft w:val="0"/>
      <w:marRight w:val="0"/>
      <w:marTop w:val="0"/>
      <w:marBottom w:val="0"/>
      <w:divBdr>
        <w:top w:val="none" w:sz="0" w:space="0" w:color="auto"/>
        <w:left w:val="none" w:sz="0" w:space="0" w:color="auto"/>
        <w:bottom w:val="none" w:sz="0" w:space="0" w:color="auto"/>
        <w:right w:val="none" w:sz="0" w:space="0" w:color="auto"/>
      </w:divBdr>
    </w:div>
    <w:div w:id="722943703">
      <w:marLeft w:val="0"/>
      <w:marRight w:val="0"/>
      <w:marTop w:val="0"/>
      <w:marBottom w:val="0"/>
      <w:divBdr>
        <w:top w:val="none" w:sz="0" w:space="0" w:color="auto"/>
        <w:left w:val="none" w:sz="0" w:space="0" w:color="auto"/>
        <w:bottom w:val="none" w:sz="0" w:space="0" w:color="auto"/>
        <w:right w:val="none" w:sz="0" w:space="0" w:color="auto"/>
      </w:divBdr>
    </w:div>
    <w:div w:id="722943704">
      <w:marLeft w:val="0"/>
      <w:marRight w:val="0"/>
      <w:marTop w:val="0"/>
      <w:marBottom w:val="0"/>
      <w:divBdr>
        <w:top w:val="none" w:sz="0" w:space="0" w:color="auto"/>
        <w:left w:val="none" w:sz="0" w:space="0" w:color="auto"/>
        <w:bottom w:val="none" w:sz="0" w:space="0" w:color="auto"/>
        <w:right w:val="none" w:sz="0" w:space="0" w:color="auto"/>
      </w:divBdr>
    </w:div>
    <w:div w:id="722943705">
      <w:marLeft w:val="0"/>
      <w:marRight w:val="0"/>
      <w:marTop w:val="0"/>
      <w:marBottom w:val="0"/>
      <w:divBdr>
        <w:top w:val="none" w:sz="0" w:space="0" w:color="auto"/>
        <w:left w:val="none" w:sz="0" w:space="0" w:color="auto"/>
        <w:bottom w:val="none" w:sz="0" w:space="0" w:color="auto"/>
        <w:right w:val="none" w:sz="0" w:space="0" w:color="auto"/>
      </w:divBdr>
    </w:div>
    <w:div w:id="722943706">
      <w:marLeft w:val="0"/>
      <w:marRight w:val="0"/>
      <w:marTop w:val="0"/>
      <w:marBottom w:val="0"/>
      <w:divBdr>
        <w:top w:val="none" w:sz="0" w:space="0" w:color="auto"/>
        <w:left w:val="none" w:sz="0" w:space="0" w:color="auto"/>
        <w:bottom w:val="none" w:sz="0" w:space="0" w:color="auto"/>
        <w:right w:val="none" w:sz="0" w:space="0" w:color="auto"/>
      </w:divBdr>
    </w:div>
    <w:div w:id="722943707">
      <w:marLeft w:val="0"/>
      <w:marRight w:val="0"/>
      <w:marTop w:val="0"/>
      <w:marBottom w:val="0"/>
      <w:divBdr>
        <w:top w:val="none" w:sz="0" w:space="0" w:color="auto"/>
        <w:left w:val="none" w:sz="0" w:space="0" w:color="auto"/>
        <w:bottom w:val="none" w:sz="0" w:space="0" w:color="auto"/>
        <w:right w:val="none" w:sz="0" w:space="0" w:color="auto"/>
      </w:divBdr>
    </w:div>
    <w:div w:id="722943708">
      <w:marLeft w:val="0"/>
      <w:marRight w:val="0"/>
      <w:marTop w:val="0"/>
      <w:marBottom w:val="0"/>
      <w:divBdr>
        <w:top w:val="none" w:sz="0" w:space="0" w:color="auto"/>
        <w:left w:val="none" w:sz="0" w:space="0" w:color="auto"/>
        <w:bottom w:val="none" w:sz="0" w:space="0" w:color="auto"/>
        <w:right w:val="none" w:sz="0" w:space="0" w:color="auto"/>
      </w:divBdr>
    </w:div>
    <w:div w:id="722943709">
      <w:marLeft w:val="0"/>
      <w:marRight w:val="0"/>
      <w:marTop w:val="0"/>
      <w:marBottom w:val="0"/>
      <w:divBdr>
        <w:top w:val="none" w:sz="0" w:space="0" w:color="auto"/>
        <w:left w:val="none" w:sz="0" w:space="0" w:color="auto"/>
        <w:bottom w:val="none" w:sz="0" w:space="0" w:color="auto"/>
        <w:right w:val="none" w:sz="0" w:space="0" w:color="auto"/>
      </w:divBdr>
    </w:div>
    <w:div w:id="722943710">
      <w:marLeft w:val="0"/>
      <w:marRight w:val="0"/>
      <w:marTop w:val="0"/>
      <w:marBottom w:val="0"/>
      <w:divBdr>
        <w:top w:val="none" w:sz="0" w:space="0" w:color="auto"/>
        <w:left w:val="none" w:sz="0" w:space="0" w:color="auto"/>
        <w:bottom w:val="none" w:sz="0" w:space="0" w:color="auto"/>
        <w:right w:val="none" w:sz="0" w:space="0" w:color="auto"/>
      </w:divBdr>
    </w:div>
    <w:div w:id="722943711">
      <w:marLeft w:val="0"/>
      <w:marRight w:val="0"/>
      <w:marTop w:val="0"/>
      <w:marBottom w:val="0"/>
      <w:divBdr>
        <w:top w:val="none" w:sz="0" w:space="0" w:color="auto"/>
        <w:left w:val="none" w:sz="0" w:space="0" w:color="auto"/>
        <w:bottom w:val="none" w:sz="0" w:space="0" w:color="auto"/>
        <w:right w:val="none" w:sz="0" w:space="0" w:color="auto"/>
      </w:divBdr>
    </w:div>
    <w:div w:id="722943713">
      <w:marLeft w:val="0"/>
      <w:marRight w:val="0"/>
      <w:marTop w:val="0"/>
      <w:marBottom w:val="0"/>
      <w:divBdr>
        <w:top w:val="none" w:sz="0" w:space="0" w:color="auto"/>
        <w:left w:val="none" w:sz="0" w:space="0" w:color="auto"/>
        <w:bottom w:val="none" w:sz="0" w:space="0" w:color="auto"/>
        <w:right w:val="none" w:sz="0" w:space="0" w:color="auto"/>
      </w:divBdr>
    </w:div>
    <w:div w:id="722943715">
      <w:marLeft w:val="0"/>
      <w:marRight w:val="0"/>
      <w:marTop w:val="0"/>
      <w:marBottom w:val="0"/>
      <w:divBdr>
        <w:top w:val="none" w:sz="0" w:space="0" w:color="auto"/>
        <w:left w:val="none" w:sz="0" w:space="0" w:color="auto"/>
        <w:bottom w:val="none" w:sz="0" w:space="0" w:color="auto"/>
        <w:right w:val="none" w:sz="0" w:space="0" w:color="auto"/>
      </w:divBdr>
    </w:div>
    <w:div w:id="722943716">
      <w:marLeft w:val="0"/>
      <w:marRight w:val="0"/>
      <w:marTop w:val="0"/>
      <w:marBottom w:val="0"/>
      <w:divBdr>
        <w:top w:val="none" w:sz="0" w:space="0" w:color="auto"/>
        <w:left w:val="none" w:sz="0" w:space="0" w:color="auto"/>
        <w:bottom w:val="none" w:sz="0" w:space="0" w:color="auto"/>
        <w:right w:val="none" w:sz="0" w:space="0" w:color="auto"/>
      </w:divBdr>
    </w:div>
    <w:div w:id="722943720">
      <w:marLeft w:val="0"/>
      <w:marRight w:val="0"/>
      <w:marTop w:val="0"/>
      <w:marBottom w:val="0"/>
      <w:divBdr>
        <w:top w:val="none" w:sz="0" w:space="0" w:color="auto"/>
        <w:left w:val="none" w:sz="0" w:space="0" w:color="auto"/>
        <w:bottom w:val="none" w:sz="0" w:space="0" w:color="auto"/>
        <w:right w:val="none" w:sz="0" w:space="0" w:color="auto"/>
      </w:divBdr>
    </w:div>
    <w:div w:id="722943721">
      <w:marLeft w:val="0"/>
      <w:marRight w:val="0"/>
      <w:marTop w:val="0"/>
      <w:marBottom w:val="0"/>
      <w:divBdr>
        <w:top w:val="none" w:sz="0" w:space="0" w:color="auto"/>
        <w:left w:val="none" w:sz="0" w:space="0" w:color="auto"/>
        <w:bottom w:val="none" w:sz="0" w:space="0" w:color="auto"/>
        <w:right w:val="none" w:sz="0" w:space="0" w:color="auto"/>
      </w:divBdr>
    </w:div>
    <w:div w:id="722943722">
      <w:marLeft w:val="0"/>
      <w:marRight w:val="0"/>
      <w:marTop w:val="0"/>
      <w:marBottom w:val="0"/>
      <w:divBdr>
        <w:top w:val="none" w:sz="0" w:space="0" w:color="auto"/>
        <w:left w:val="none" w:sz="0" w:space="0" w:color="auto"/>
        <w:bottom w:val="none" w:sz="0" w:space="0" w:color="auto"/>
        <w:right w:val="none" w:sz="0" w:space="0" w:color="auto"/>
      </w:divBdr>
    </w:div>
    <w:div w:id="722943723">
      <w:marLeft w:val="0"/>
      <w:marRight w:val="0"/>
      <w:marTop w:val="0"/>
      <w:marBottom w:val="0"/>
      <w:divBdr>
        <w:top w:val="none" w:sz="0" w:space="0" w:color="auto"/>
        <w:left w:val="none" w:sz="0" w:space="0" w:color="auto"/>
        <w:bottom w:val="none" w:sz="0" w:space="0" w:color="auto"/>
        <w:right w:val="none" w:sz="0" w:space="0" w:color="auto"/>
      </w:divBdr>
    </w:div>
    <w:div w:id="722943724">
      <w:marLeft w:val="0"/>
      <w:marRight w:val="0"/>
      <w:marTop w:val="0"/>
      <w:marBottom w:val="0"/>
      <w:divBdr>
        <w:top w:val="none" w:sz="0" w:space="0" w:color="auto"/>
        <w:left w:val="none" w:sz="0" w:space="0" w:color="auto"/>
        <w:bottom w:val="none" w:sz="0" w:space="0" w:color="auto"/>
        <w:right w:val="none" w:sz="0" w:space="0" w:color="auto"/>
      </w:divBdr>
      <w:divsChild>
        <w:div w:id="722943726">
          <w:marLeft w:val="547"/>
          <w:marRight w:val="0"/>
          <w:marTop w:val="115"/>
          <w:marBottom w:val="0"/>
          <w:divBdr>
            <w:top w:val="none" w:sz="0" w:space="0" w:color="auto"/>
            <w:left w:val="none" w:sz="0" w:space="0" w:color="auto"/>
            <w:bottom w:val="none" w:sz="0" w:space="0" w:color="auto"/>
            <w:right w:val="none" w:sz="0" w:space="0" w:color="auto"/>
          </w:divBdr>
        </w:div>
        <w:div w:id="722943781">
          <w:marLeft w:val="547"/>
          <w:marRight w:val="0"/>
          <w:marTop w:val="115"/>
          <w:marBottom w:val="0"/>
          <w:divBdr>
            <w:top w:val="none" w:sz="0" w:space="0" w:color="auto"/>
            <w:left w:val="none" w:sz="0" w:space="0" w:color="auto"/>
            <w:bottom w:val="none" w:sz="0" w:space="0" w:color="auto"/>
            <w:right w:val="none" w:sz="0" w:space="0" w:color="auto"/>
          </w:divBdr>
        </w:div>
        <w:div w:id="722943856">
          <w:marLeft w:val="547"/>
          <w:marRight w:val="0"/>
          <w:marTop w:val="115"/>
          <w:marBottom w:val="0"/>
          <w:divBdr>
            <w:top w:val="none" w:sz="0" w:space="0" w:color="auto"/>
            <w:left w:val="none" w:sz="0" w:space="0" w:color="auto"/>
            <w:bottom w:val="none" w:sz="0" w:space="0" w:color="auto"/>
            <w:right w:val="none" w:sz="0" w:space="0" w:color="auto"/>
          </w:divBdr>
        </w:div>
      </w:divsChild>
    </w:div>
    <w:div w:id="722943729">
      <w:marLeft w:val="0"/>
      <w:marRight w:val="0"/>
      <w:marTop w:val="0"/>
      <w:marBottom w:val="0"/>
      <w:divBdr>
        <w:top w:val="none" w:sz="0" w:space="0" w:color="auto"/>
        <w:left w:val="none" w:sz="0" w:space="0" w:color="auto"/>
        <w:bottom w:val="none" w:sz="0" w:space="0" w:color="auto"/>
        <w:right w:val="none" w:sz="0" w:space="0" w:color="auto"/>
      </w:divBdr>
    </w:div>
    <w:div w:id="722943730">
      <w:marLeft w:val="0"/>
      <w:marRight w:val="0"/>
      <w:marTop w:val="0"/>
      <w:marBottom w:val="0"/>
      <w:divBdr>
        <w:top w:val="none" w:sz="0" w:space="0" w:color="auto"/>
        <w:left w:val="none" w:sz="0" w:space="0" w:color="auto"/>
        <w:bottom w:val="none" w:sz="0" w:space="0" w:color="auto"/>
        <w:right w:val="none" w:sz="0" w:space="0" w:color="auto"/>
      </w:divBdr>
    </w:div>
    <w:div w:id="722943731">
      <w:marLeft w:val="0"/>
      <w:marRight w:val="0"/>
      <w:marTop w:val="0"/>
      <w:marBottom w:val="0"/>
      <w:divBdr>
        <w:top w:val="none" w:sz="0" w:space="0" w:color="auto"/>
        <w:left w:val="none" w:sz="0" w:space="0" w:color="auto"/>
        <w:bottom w:val="none" w:sz="0" w:space="0" w:color="auto"/>
        <w:right w:val="none" w:sz="0" w:space="0" w:color="auto"/>
      </w:divBdr>
    </w:div>
    <w:div w:id="722943732">
      <w:marLeft w:val="0"/>
      <w:marRight w:val="0"/>
      <w:marTop w:val="0"/>
      <w:marBottom w:val="0"/>
      <w:divBdr>
        <w:top w:val="none" w:sz="0" w:space="0" w:color="auto"/>
        <w:left w:val="none" w:sz="0" w:space="0" w:color="auto"/>
        <w:bottom w:val="none" w:sz="0" w:space="0" w:color="auto"/>
        <w:right w:val="none" w:sz="0" w:space="0" w:color="auto"/>
      </w:divBdr>
    </w:div>
    <w:div w:id="722943733">
      <w:marLeft w:val="0"/>
      <w:marRight w:val="0"/>
      <w:marTop w:val="0"/>
      <w:marBottom w:val="0"/>
      <w:divBdr>
        <w:top w:val="none" w:sz="0" w:space="0" w:color="auto"/>
        <w:left w:val="none" w:sz="0" w:space="0" w:color="auto"/>
        <w:bottom w:val="none" w:sz="0" w:space="0" w:color="auto"/>
        <w:right w:val="none" w:sz="0" w:space="0" w:color="auto"/>
      </w:divBdr>
    </w:div>
    <w:div w:id="722943734">
      <w:marLeft w:val="0"/>
      <w:marRight w:val="0"/>
      <w:marTop w:val="0"/>
      <w:marBottom w:val="0"/>
      <w:divBdr>
        <w:top w:val="none" w:sz="0" w:space="0" w:color="auto"/>
        <w:left w:val="none" w:sz="0" w:space="0" w:color="auto"/>
        <w:bottom w:val="none" w:sz="0" w:space="0" w:color="auto"/>
        <w:right w:val="none" w:sz="0" w:space="0" w:color="auto"/>
      </w:divBdr>
    </w:div>
    <w:div w:id="722943737">
      <w:marLeft w:val="0"/>
      <w:marRight w:val="0"/>
      <w:marTop w:val="0"/>
      <w:marBottom w:val="0"/>
      <w:divBdr>
        <w:top w:val="none" w:sz="0" w:space="0" w:color="auto"/>
        <w:left w:val="none" w:sz="0" w:space="0" w:color="auto"/>
        <w:bottom w:val="none" w:sz="0" w:space="0" w:color="auto"/>
        <w:right w:val="none" w:sz="0" w:space="0" w:color="auto"/>
      </w:divBdr>
    </w:div>
    <w:div w:id="722943739">
      <w:marLeft w:val="0"/>
      <w:marRight w:val="0"/>
      <w:marTop w:val="0"/>
      <w:marBottom w:val="0"/>
      <w:divBdr>
        <w:top w:val="none" w:sz="0" w:space="0" w:color="auto"/>
        <w:left w:val="none" w:sz="0" w:space="0" w:color="auto"/>
        <w:bottom w:val="none" w:sz="0" w:space="0" w:color="auto"/>
        <w:right w:val="none" w:sz="0" w:space="0" w:color="auto"/>
      </w:divBdr>
    </w:div>
    <w:div w:id="722943740">
      <w:marLeft w:val="0"/>
      <w:marRight w:val="0"/>
      <w:marTop w:val="0"/>
      <w:marBottom w:val="0"/>
      <w:divBdr>
        <w:top w:val="none" w:sz="0" w:space="0" w:color="auto"/>
        <w:left w:val="none" w:sz="0" w:space="0" w:color="auto"/>
        <w:bottom w:val="none" w:sz="0" w:space="0" w:color="auto"/>
        <w:right w:val="none" w:sz="0" w:space="0" w:color="auto"/>
      </w:divBdr>
      <w:divsChild>
        <w:div w:id="722943736">
          <w:marLeft w:val="547"/>
          <w:marRight w:val="0"/>
          <w:marTop w:val="115"/>
          <w:marBottom w:val="0"/>
          <w:divBdr>
            <w:top w:val="none" w:sz="0" w:space="0" w:color="auto"/>
            <w:left w:val="none" w:sz="0" w:space="0" w:color="auto"/>
            <w:bottom w:val="none" w:sz="0" w:space="0" w:color="auto"/>
            <w:right w:val="none" w:sz="0" w:space="0" w:color="auto"/>
          </w:divBdr>
        </w:div>
        <w:div w:id="722943738">
          <w:marLeft w:val="547"/>
          <w:marRight w:val="0"/>
          <w:marTop w:val="115"/>
          <w:marBottom w:val="0"/>
          <w:divBdr>
            <w:top w:val="none" w:sz="0" w:space="0" w:color="auto"/>
            <w:left w:val="none" w:sz="0" w:space="0" w:color="auto"/>
            <w:bottom w:val="none" w:sz="0" w:space="0" w:color="auto"/>
            <w:right w:val="none" w:sz="0" w:space="0" w:color="auto"/>
          </w:divBdr>
        </w:div>
        <w:div w:id="722943800">
          <w:marLeft w:val="547"/>
          <w:marRight w:val="0"/>
          <w:marTop w:val="115"/>
          <w:marBottom w:val="0"/>
          <w:divBdr>
            <w:top w:val="none" w:sz="0" w:space="0" w:color="auto"/>
            <w:left w:val="none" w:sz="0" w:space="0" w:color="auto"/>
            <w:bottom w:val="none" w:sz="0" w:space="0" w:color="auto"/>
            <w:right w:val="none" w:sz="0" w:space="0" w:color="auto"/>
          </w:divBdr>
        </w:div>
        <w:div w:id="722943834">
          <w:marLeft w:val="1166"/>
          <w:marRight w:val="0"/>
          <w:marTop w:val="96"/>
          <w:marBottom w:val="0"/>
          <w:divBdr>
            <w:top w:val="none" w:sz="0" w:space="0" w:color="auto"/>
            <w:left w:val="none" w:sz="0" w:space="0" w:color="auto"/>
            <w:bottom w:val="none" w:sz="0" w:space="0" w:color="auto"/>
            <w:right w:val="none" w:sz="0" w:space="0" w:color="auto"/>
          </w:divBdr>
        </w:div>
        <w:div w:id="722943873">
          <w:marLeft w:val="1166"/>
          <w:marRight w:val="0"/>
          <w:marTop w:val="96"/>
          <w:marBottom w:val="0"/>
          <w:divBdr>
            <w:top w:val="none" w:sz="0" w:space="0" w:color="auto"/>
            <w:left w:val="none" w:sz="0" w:space="0" w:color="auto"/>
            <w:bottom w:val="none" w:sz="0" w:space="0" w:color="auto"/>
            <w:right w:val="none" w:sz="0" w:space="0" w:color="auto"/>
          </w:divBdr>
        </w:div>
      </w:divsChild>
    </w:div>
    <w:div w:id="722943741">
      <w:marLeft w:val="0"/>
      <w:marRight w:val="0"/>
      <w:marTop w:val="0"/>
      <w:marBottom w:val="0"/>
      <w:divBdr>
        <w:top w:val="none" w:sz="0" w:space="0" w:color="auto"/>
        <w:left w:val="none" w:sz="0" w:space="0" w:color="auto"/>
        <w:bottom w:val="none" w:sz="0" w:space="0" w:color="auto"/>
        <w:right w:val="none" w:sz="0" w:space="0" w:color="auto"/>
      </w:divBdr>
    </w:div>
    <w:div w:id="722943742">
      <w:marLeft w:val="0"/>
      <w:marRight w:val="0"/>
      <w:marTop w:val="0"/>
      <w:marBottom w:val="0"/>
      <w:divBdr>
        <w:top w:val="none" w:sz="0" w:space="0" w:color="auto"/>
        <w:left w:val="none" w:sz="0" w:space="0" w:color="auto"/>
        <w:bottom w:val="none" w:sz="0" w:space="0" w:color="auto"/>
        <w:right w:val="none" w:sz="0" w:space="0" w:color="auto"/>
      </w:divBdr>
    </w:div>
    <w:div w:id="722943743">
      <w:marLeft w:val="0"/>
      <w:marRight w:val="0"/>
      <w:marTop w:val="0"/>
      <w:marBottom w:val="0"/>
      <w:divBdr>
        <w:top w:val="none" w:sz="0" w:space="0" w:color="auto"/>
        <w:left w:val="none" w:sz="0" w:space="0" w:color="auto"/>
        <w:bottom w:val="none" w:sz="0" w:space="0" w:color="auto"/>
        <w:right w:val="none" w:sz="0" w:space="0" w:color="auto"/>
      </w:divBdr>
      <w:divsChild>
        <w:div w:id="722943735">
          <w:marLeft w:val="547"/>
          <w:marRight w:val="0"/>
          <w:marTop w:val="77"/>
          <w:marBottom w:val="0"/>
          <w:divBdr>
            <w:top w:val="none" w:sz="0" w:space="0" w:color="auto"/>
            <w:left w:val="none" w:sz="0" w:space="0" w:color="auto"/>
            <w:bottom w:val="none" w:sz="0" w:space="0" w:color="auto"/>
            <w:right w:val="none" w:sz="0" w:space="0" w:color="auto"/>
          </w:divBdr>
        </w:div>
      </w:divsChild>
    </w:div>
    <w:div w:id="722943744">
      <w:marLeft w:val="0"/>
      <w:marRight w:val="0"/>
      <w:marTop w:val="0"/>
      <w:marBottom w:val="0"/>
      <w:divBdr>
        <w:top w:val="none" w:sz="0" w:space="0" w:color="auto"/>
        <w:left w:val="none" w:sz="0" w:space="0" w:color="auto"/>
        <w:bottom w:val="none" w:sz="0" w:space="0" w:color="auto"/>
        <w:right w:val="none" w:sz="0" w:space="0" w:color="auto"/>
      </w:divBdr>
    </w:div>
    <w:div w:id="722943745">
      <w:marLeft w:val="0"/>
      <w:marRight w:val="0"/>
      <w:marTop w:val="0"/>
      <w:marBottom w:val="0"/>
      <w:divBdr>
        <w:top w:val="none" w:sz="0" w:space="0" w:color="auto"/>
        <w:left w:val="none" w:sz="0" w:space="0" w:color="auto"/>
        <w:bottom w:val="none" w:sz="0" w:space="0" w:color="auto"/>
        <w:right w:val="none" w:sz="0" w:space="0" w:color="auto"/>
      </w:divBdr>
    </w:div>
    <w:div w:id="722943746">
      <w:marLeft w:val="0"/>
      <w:marRight w:val="0"/>
      <w:marTop w:val="0"/>
      <w:marBottom w:val="0"/>
      <w:divBdr>
        <w:top w:val="none" w:sz="0" w:space="0" w:color="auto"/>
        <w:left w:val="none" w:sz="0" w:space="0" w:color="auto"/>
        <w:bottom w:val="none" w:sz="0" w:space="0" w:color="auto"/>
        <w:right w:val="none" w:sz="0" w:space="0" w:color="auto"/>
      </w:divBdr>
    </w:div>
    <w:div w:id="722943747">
      <w:marLeft w:val="0"/>
      <w:marRight w:val="0"/>
      <w:marTop w:val="0"/>
      <w:marBottom w:val="0"/>
      <w:divBdr>
        <w:top w:val="none" w:sz="0" w:space="0" w:color="auto"/>
        <w:left w:val="none" w:sz="0" w:space="0" w:color="auto"/>
        <w:bottom w:val="none" w:sz="0" w:space="0" w:color="auto"/>
        <w:right w:val="none" w:sz="0" w:space="0" w:color="auto"/>
      </w:divBdr>
    </w:div>
    <w:div w:id="722943748">
      <w:marLeft w:val="0"/>
      <w:marRight w:val="0"/>
      <w:marTop w:val="0"/>
      <w:marBottom w:val="0"/>
      <w:divBdr>
        <w:top w:val="none" w:sz="0" w:space="0" w:color="auto"/>
        <w:left w:val="none" w:sz="0" w:space="0" w:color="auto"/>
        <w:bottom w:val="none" w:sz="0" w:space="0" w:color="auto"/>
        <w:right w:val="none" w:sz="0" w:space="0" w:color="auto"/>
      </w:divBdr>
    </w:div>
    <w:div w:id="722943749">
      <w:marLeft w:val="0"/>
      <w:marRight w:val="0"/>
      <w:marTop w:val="0"/>
      <w:marBottom w:val="0"/>
      <w:divBdr>
        <w:top w:val="none" w:sz="0" w:space="0" w:color="auto"/>
        <w:left w:val="none" w:sz="0" w:space="0" w:color="auto"/>
        <w:bottom w:val="none" w:sz="0" w:space="0" w:color="auto"/>
        <w:right w:val="none" w:sz="0" w:space="0" w:color="auto"/>
      </w:divBdr>
      <w:divsChild>
        <w:div w:id="722943762">
          <w:marLeft w:val="1166"/>
          <w:marRight w:val="0"/>
          <w:marTop w:val="96"/>
          <w:marBottom w:val="0"/>
          <w:divBdr>
            <w:top w:val="none" w:sz="0" w:space="0" w:color="auto"/>
            <w:left w:val="none" w:sz="0" w:space="0" w:color="auto"/>
            <w:bottom w:val="none" w:sz="0" w:space="0" w:color="auto"/>
            <w:right w:val="none" w:sz="0" w:space="0" w:color="auto"/>
          </w:divBdr>
        </w:div>
        <w:div w:id="722943797">
          <w:marLeft w:val="547"/>
          <w:marRight w:val="0"/>
          <w:marTop w:val="115"/>
          <w:marBottom w:val="0"/>
          <w:divBdr>
            <w:top w:val="none" w:sz="0" w:space="0" w:color="auto"/>
            <w:left w:val="none" w:sz="0" w:space="0" w:color="auto"/>
            <w:bottom w:val="none" w:sz="0" w:space="0" w:color="auto"/>
            <w:right w:val="none" w:sz="0" w:space="0" w:color="auto"/>
          </w:divBdr>
        </w:div>
        <w:div w:id="722943805">
          <w:marLeft w:val="1166"/>
          <w:marRight w:val="0"/>
          <w:marTop w:val="96"/>
          <w:marBottom w:val="0"/>
          <w:divBdr>
            <w:top w:val="none" w:sz="0" w:space="0" w:color="auto"/>
            <w:left w:val="none" w:sz="0" w:space="0" w:color="auto"/>
            <w:bottom w:val="none" w:sz="0" w:space="0" w:color="auto"/>
            <w:right w:val="none" w:sz="0" w:space="0" w:color="auto"/>
          </w:divBdr>
        </w:div>
        <w:div w:id="722943811">
          <w:marLeft w:val="547"/>
          <w:marRight w:val="0"/>
          <w:marTop w:val="115"/>
          <w:marBottom w:val="0"/>
          <w:divBdr>
            <w:top w:val="none" w:sz="0" w:space="0" w:color="auto"/>
            <w:left w:val="none" w:sz="0" w:space="0" w:color="auto"/>
            <w:bottom w:val="none" w:sz="0" w:space="0" w:color="auto"/>
            <w:right w:val="none" w:sz="0" w:space="0" w:color="auto"/>
          </w:divBdr>
        </w:div>
      </w:divsChild>
    </w:div>
    <w:div w:id="722943750">
      <w:marLeft w:val="0"/>
      <w:marRight w:val="0"/>
      <w:marTop w:val="0"/>
      <w:marBottom w:val="0"/>
      <w:divBdr>
        <w:top w:val="none" w:sz="0" w:space="0" w:color="auto"/>
        <w:left w:val="none" w:sz="0" w:space="0" w:color="auto"/>
        <w:bottom w:val="none" w:sz="0" w:space="0" w:color="auto"/>
        <w:right w:val="none" w:sz="0" w:space="0" w:color="auto"/>
      </w:divBdr>
      <w:divsChild>
        <w:div w:id="722943767">
          <w:marLeft w:val="547"/>
          <w:marRight w:val="0"/>
          <w:marTop w:val="115"/>
          <w:marBottom w:val="0"/>
          <w:divBdr>
            <w:top w:val="none" w:sz="0" w:space="0" w:color="auto"/>
            <w:left w:val="none" w:sz="0" w:space="0" w:color="auto"/>
            <w:bottom w:val="none" w:sz="0" w:space="0" w:color="auto"/>
            <w:right w:val="none" w:sz="0" w:space="0" w:color="auto"/>
          </w:divBdr>
        </w:div>
        <w:div w:id="722943795">
          <w:marLeft w:val="547"/>
          <w:marRight w:val="0"/>
          <w:marTop w:val="115"/>
          <w:marBottom w:val="0"/>
          <w:divBdr>
            <w:top w:val="none" w:sz="0" w:space="0" w:color="auto"/>
            <w:left w:val="none" w:sz="0" w:space="0" w:color="auto"/>
            <w:bottom w:val="none" w:sz="0" w:space="0" w:color="auto"/>
            <w:right w:val="none" w:sz="0" w:space="0" w:color="auto"/>
          </w:divBdr>
        </w:div>
        <w:div w:id="722943827">
          <w:marLeft w:val="547"/>
          <w:marRight w:val="0"/>
          <w:marTop w:val="115"/>
          <w:marBottom w:val="0"/>
          <w:divBdr>
            <w:top w:val="none" w:sz="0" w:space="0" w:color="auto"/>
            <w:left w:val="none" w:sz="0" w:space="0" w:color="auto"/>
            <w:bottom w:val="none" w:sz="0" w:space="0" w:color="auto"/>
            <w:right w:val="none" w:sz="0" w:space="0" w:color="auto"/>
          </w:divBdr>
        </w:div>
      </w:divsChild>
    </w:div>
    <w:div w:id="722943751">
      <w:marLeft w:val="0"/>
      <w:marRight w:val="0"/>
      <w:marTop w:val="0"/>
      <w:marBottom w:val="0"/>
      <w:divBdr>
        <w:top w:val="none" w:sz="0" w:space="0" w:color="auto"/>
        <w:left w:val="none" w:sz="0" w:space="0" w:color="auto"/>
        <w:bottom w:val="none" w:sz="0" w:space="0" w:color="auto"/>
        <w:right w:val="none" w:sz="0" w:space="0" w:color="auto"/>
      </w:divBdr>
    </w:div>
    <w:div w:id="722943752">
      <w:marLeft w:val="0"/>
      <w:marRight w:val="0"/>
      <w:marTop w:val="0"/>
      <w:marBottom w:val="0"/>
      <w:divBdr>
        <w:top w:val="none" w:sz="0" w:space="0" w:color="auto"/>
        <w:left w:val="none" w:sz="0" w:space="0" w:color="auto"/>
        <w:bottom w:val="none" w:sz="0" w:space="0" w:color="auto"/>
        <w:right w:val="none" w:sz="0" w:space="0" w:color="auto"/>
      </w:divBdr>
      <w:divsChild>
        <w:div w:id="722943712">
          <w:marLeft w:val="1166"/>
          <w:marRight w:val="0"/>
          <w:marTop w:val="115"/>
          <w:marBottom w:val="0"/>
          <w:divBdr>
            <w:top w:val="none" w:sz="0" w:space="0" w:color="auto"/>
            <w:left w:val="none" w:sz="0" w:space="0" w:color="auto"/>
            <w:bottom w:val="none" w:sz="0" w:space="0" w:color="auto"/>
            <w:right w:val="none" w:sz="0" w:space="0" w:color="auto"/>
          </w:divBdr>
        </w:div>
        <w:div w:id="722943761">
          <w:marLeft w:val="1166"/>
          <w:marRight w:val="0"/>
          <w:marTop w:val="115"/>
          <w:marBottom w:val="0"/>
          <w:divBdr>
            <w:top w:val="none" w:sz="0" w:space="0" w:color="auto"/>
            <w:left w:val="none" w:sz="0" w:space="0" w:color="auto"/>
            <w:bottom w:val="none" w:sz="0" w:space="0" w:color="auto"/>
            <w:right w:val="none" w:sz="0" w:space="0" w:color="auto"/>
          </w:divBdr>
        </w:div>
        <w:div w:id="722943771">
          <w:marLeft w:val="1166"/>
          <w:marRight w:val="0"/>
          <w:marTop w:val="115"/>
          <w:marBottom w:val="0"/>
          <w:divBdr>
            <w:top w:val="none" w:sz="0" w:space="0" w:color="auto"/>
            <w:left w:val="none" w:sz="0" w:space="0" w:color="auto"/>
            <w:bottom w:val="none" w:sz="0" w:space="0" w:color="auto"/>
            <w:right w:val="none" w:sz="0" w:space="0" w:color="auto"/>
          </w:divBdr>
        </w:div>
      </w:divsChild>
    </w:div>
    <w:div w:id="722943753">
      <w:marLeft w:val="0"/>
      <w:marRight w:val="0"/>
      <w:marTop w:val="0"/>
      <w:marBottom w:val="0"/>
      <w:divBdr>
        <w:top w:val="none" w:sz="0" w:space="0" w:color="auto"/>
        <w:left w:val="none" w:sz="0" w:space="0" w:color="auto"/>
        <w:bottom w:val="none" w:sz="0" w:space="0" w:color="auto"/>
        <w:right w:val="none" w:sz="0" w:space="0" w:color="auto"/>
      </w:divBdr>
    </w:div>
    <w:div w:id="722943754">
      <w:marLeft w:val="0"/>
      <w:marRight w:val="0"/>
      <w:marTop w:val="0"/>
      <w:marBottom w:val="0"/>
      <w:divBdr>
        <w:top w:val="none" w:sz="0" w:space="0" w:color="auto"/>
        <w:left w:val="none" w:sz="0" w:space="0" w:color="auto"/>
        <w:bottom w:val="none" w:sz="0" w:space="0" w:color="auto"/>
        <w:right w:val="none" w:sz="0" w:space="0" w:color="auto"/>
      </w:divBdr>
    </w:div>
    <w:div w:id="722943755">
      <w:marLeft w:val="0"/>
      <w:marRight w:val="0"/>
      <w:marTop w:val="0"/>
      <w:marBottom w:val="0"/>
      <w:divBdr>
        <w:top w:val="none" w:sz="0" w:space="0" w:color="auto"/>
        <w:left w:val="none" w:sz="0" w:space="0" w:color="auto"/>
        <w:bottom w:val="none" w:sz="0" w:space="0" w:color="auto"/>
        <w:right w:val="none" w:sz="0" w:space="0" w:color="auto"/>
      </w:divBdr>
    </w:div>
    <w:div w:id="722943756">
      <w:marLeft w:val="0"/>
      <w:marRight w:val="0"/>
      <w:marTop w:val="0"/>
      <w:marBottom w:val="0"/>
      <w:divBdr>
        <w:top w:val="none" w:sz="0" w:space="0" w:color="auto"/>
        <w:left w:val="none" w:sz="0" w:space="0" w:color="auto"/>
        <w:bottom w:val="none" w:sz="0" w:space="0" w:color="auto"/>
        <w:right w:val="none" w:sz="0" w:space="0" w:color="auto"/>
      </w:divBdr>
    </w:div>
    <w:div w:id="722943757">
      <w:marLeft w:val="0"/>
      <w:marRight w:val="0"/>
      <w:marTop w:val="0"/>
      <w:marBottom w:val="0"/>
      <w:divBdr>
        <w:top w:val="none" w:sz="0" w:space="0" w:color="auto"/>
        <w:left w:val="none" w:sz="0" w:space="0" w:color="auto"/>
        <w:bottom w:val="none" w:sz="0" w:space="0" w:color="auto"/>
        <w:right w:val="none" w:sz="0" w:space="0" w:color="auto"/>
      </w:divBdr>
    </w:div>
    <w:div w:id="722943758">
      <w:marLeft w:val="0"/>
      <w:marRight w:val="0"/>
      <w:marTop w:val="0"/>
      <w:marBottom w:val="0"/>
      <w:divBdr>
        <w:top w:val="none" w:sz="0" w:space="0" w:color="auto"/>
        <w:left w:val="none" w:sz="0" w:space="0" w:color="auto"/>
        <w:bottom w:val="none" w:sz="0" w:space="0" w:color="auto"/>
        <w:right w:val="none" w:sz="0" w:space="0" w:color="auto"/>
      </w:divBdr>
    </w:div>
    <w:div w:id="722943759">
      <w:marLeft w:val="0"/>
      <w:marRight w:val="0"/>
      <w:marTop w:val="0"/>
      <w:marBottom w:val="0"/>
      <w:divBdr>
        <w:top w:val="none" w:sz="0" w:space="0" w:color="auto"/>
        <w:left w:val="none" w:sz="0" w:space="0" w:color="auto"/>
        <w:bottom w:val="none" w:sz="0" w:space="0" w:color="auto"/>
        <w:right w:val="none" w:sz="0" w:space="0" w:color="auto"/>
      </w:divBdr>
    </w:div>
    <w:div w:id="722943763">
      <w:marLeft w:val="0"/>
      <w:marRight w:val="0"/>
      <w:marTop w:val="0"/>
      <w:marBottom w:val="0"/>
      <w:divBdr>
        <w:top w:val="none" w:sz="0" w:space="0" w:color="auto"/>
        <w:left w:val="none" w:sz="0" w:space="0" w:color="auto"/>
        <w:bottom w:val="none" w:sz="0" w:space="0" w:color="auto"/>
        <w:right w:val="none" w:sz="0" w:space="0" w:color="auto"/>
      </w:divBdr>
    </w:div>
    <w:div w:id="722943764">
      <w:marLeft w:val="0"/>
      <w:marRight w:val="0"/>
      <w:marTop w:val="0"/>
      <w:marBottom w:val="0"/>
      <w:divBdr>
        <w:top w:val="none" w:sz="0" w:space="0" w:color="auto"/>
        <w:left w:val="none" w:sz="0" w:space="0" w:color="auto"/>
        <w:bottom w:val="none" w:sz="0" w:space="0" w:color="auto"/>
        <w:right w:val="none" w:sz="0" w:space="0" w:color="auto"/>
      </w:divBdr>
    </w:div>
    <w:div w:id="722943765">
      <w:marLeft w:val="0"/>
      <w:marRight w:val="0"/>
      <w:marTop w:val="0"/>
      <w:marBottom w:val="0"/>
      <w:divBdr>
        <w:top w:val="none" w:sz="0" w:space="0" w:color="auto"/>
        <w:left w:val="none" w:sz="0" w:space="0" w:color="auto"/>
        <w:bottom w:val="none" w:sz="0" w:space="0" w:color="auto"/>
        <w:right w:val="none" w:sz="0" w:space="0" w:color="auto"/>
      </w:divBdr>
    </w:div>
    <w:div w:id="722943766">
      <w:marLeft w:val="0"/>
      <w:marRight w:val="0"/>
      <w:marTop w:val="0"/>
      <w:marBottom w:val="0"/>
      <w:divBdr>
        <w:top w:val="none" w:sz="0" w:space="0" w:color="auto"/>
        <w:left w:val="none" w:sz="0" w:space="0" w:color="auto"/>
        <w:bottom w:val="none" w:sz="0" w:space="0" w:color="auto"/>
        <w:right w:val="none" w:sz="0" w:space="0" w:color="auto"/>
      </w:divBdr>
    </w:div>
    <w:div w:id="722943768">
      <w:marLeft w:val="0"/>
      <w:marRight w:val="0"/>
      <w:marTop w:val="0"/>
      <w:marBottom w:val="0"/>
      <w:divBdr>
        <w:top w:val="none" w:sz="0" w:space="0" w:color="auto"/>
        <w:left w:val="none" w:sz="0" w:space="0" w:color="auto"/>
        <w:bottom w:val="none" w:sz="0" w:space="0" w:color="auto"/>
        <w:right w:val="none" w:sz="0" w:space="0" w:color="auto"/>
      </w:divBdr>
    </w:div>
    <w:div w:id="722943769">
      <w:marLeft w:val="0"/>
      <w:marRight w:val="0"/>
      <w:marTop w:val="0"/>
      <w:marBottom w:val="0"/>
      <w:divBdr>
        <w:top w:val="none" w:sz="0" w:space="0" w:color="auto"/>
        <w:left w:val="none" w:sz="0" w:space="0" w:color="auto"/>
        <w:bottom w:val="none" w:sz="0" w:space="0" w:color="auto"/>
        <w:right w:val="none" w:sz="0" w:space="0" w:color="auto"/>
      </w:divBdr>
    </w:div>
    <w:div w:id="722943770">
      <w:marLeft w:val="0"/>
      <w:marRight w:val="0"/>
      <w:marTop w:val="0"/>
      <w:marBottom w:val="0"/>
      <w:divBdr>
        <w:top w:val="none" w:sz="0" w:space="0" w:color="auto"/>
        <w:left w:val="none" w:sz="0" w:space="0" w:color="auto"/>
        <w:bottom w:val="none" w:sz="0" w:space="0" w:color="auto"/>
        <w:right w:val="none" w:sz="0" w:space="0" w:color="auto"/>
      </w:divBdr>
    </w:div>
    <w:div w:id="722943773">
      <w:marLeft w:val="0"/>
      <w:marRight w:val="0"/>
      <w:marTop w:val="0"/>
      <w:marBottom w:val="0"/>
      <w:divBdr>
        <w:top w:val="none" w:sz="0" w:space="0" w:color="auto"/>
        <w:left w:val="none" w:sz="0" w:space="0" w:color="auto"/>
        <w:bottom w:val="none" w:sz="0" w:space="0" w:color="auto"/>
        <w:right w:val="none" w:sz="0" w:space="0" w:color="auto"/>
      </w:divBdr>
    </w:div>
    <w:div w:id="722943774">
      <w:marLeft w:val="0"/>
      <w:marRight w:val="0"/>
      <w:marTop w:val="0"/>
      <w:marBottom w:val="0"/>
      <w:divBdr>
        <w:top w:val="none" w:sz="0" w:space="0" w:color="auto"/>
        <w:left w:val="none" w:sz="0" w:space="0" w:color="auto"/>
        <w:bottom w:val="none" w:sz="0" w:space="0" w:color="auto"/>
        <w:right w:val="none" w:sz="0" w:space="0" w:color="auto"/>
      </w:divBdr>
    </w:div>
    <w:div w:id="722943775">
      <w:marLeft w:val="0"/>
      <w:marRight w:val="0"/>
      <w:marTop w:val="0"/>
      <w:marBottom w:val="0"/>
      <w:divBdr>
        <w:top w:val="none" w:sz="0" w:space="0" w:color="auto"/>
        <w:left w:val="none" w:sz="0" w:space="0" w:color="auto"/>
        <w:bottom w:val="none" w:sz="0" w:space="0" w:color="auto"/>
        <w:right w:val="none" w:sz="0" w:space="0" w:color="auto"/>
      </w:divBdr>
      <w:divsChild>
        <w:div w:id="722943727">
          <w:marLeft w:val="547"/>
          <w:marRight w:val="0"/>
          <w:marTop w:val="106"/>
          <w:marBottom w:val="0"/>
          <w:divBdr>
            <w:top w:val="none" w:sz="0" w:space="0" w:color="auto"/>
            <w:left w:val="none" w:sz="0" w:space="0" w:color="auto"/>
            <w:bottom w:val="none" w:sz="0" w:space="0" w:color="auto"/>
            <w:right w:val="none" w:sz="0" w:space="0" w:color="auto"/>
          </w:divBdr>
        </w:div>
        <w:div w:id="722943813">
          <w:marLeft w:val="547"/>
          <w:marRight w:val="0"/>
          <w:marTop w:val="106"/>
          <w:marBottom w:val="0"/>
          <w:divBdr>
            <w:top w:val="none" w:sz="0" w:space="0" w:color="auto"/>
            <w:left w:val="none" w:sz="0" w:space="0" w:color="auto"/>
            <w:bottom w:val="none" w:sz="0" w:space="0" w:color="auto"/>
            <w:right w:val="none" w:sz="0" w:space="0" w:color="auto"/>
          </w:divBdr>
        </w:div>
        <w:div w:id="722943846">
          <w:marLeft w:val="547"/>
          <w:marRight w:val="0"/>
          <w:marTop w:val="106"/>
          <w:marBottom w:val="0"/>
          <w:divBdr>
            <w:top w:val="none" w:sz="0" w:space="0" w:color="auto"/>
            <w:left w:val="none" w:sz="0" w:space="0" w:color="auto"/>
            <w:bottom w:val="none" w:sz="0" w:space="0" w:color="auto"/>
            <w:right w:val="none" w:sz="0" w:space="0" w:color="auto"/>
          </w:divBdr>
        </w:div>
        <w:div w:id="722943878">
          <w:marLeft w:val="547"/>
          <w:marRight w:val="0"/>
          <w:marTop w:val="106"/>
          <w:marBottom w:val="0"/>
          <w:divBdr>
            <w:top w:val="none" w:sz="0" w:space="0" w:color="auto"/>
            <w:left w:val="none" w:sz="0" w:space="0" w:color="auto"/>
            <w:bottom w:val="none" w:sz="0" w:space="0" w:color="auto"/>
            <w:right w:val="none" w:sz="0" w:space="0" w:color="auto"/>
          </w:divBdr>
        </w:div>
      </w:divsChild>
    </w:div>
    <w:div w:id="722943776">
      <w:marLeft w:val="0"/>
      <w:marRight w:val="0"/>
      <w:marTop w:val="0"/>
      <w:marBottom w:val="0"/>
      <w:divBdr>
        <w:top w:val="none" w:sz="0" w:space="0" w:color="auto"/>
        <w:left w:val="none" w:sz="0" w:space="0" w:color="auto"/>
        <w:bottom w:val="none" w:sz="0" w:space="0" w:color="auto"/>
        <w:right w:val="none" w:sz="0" w:space="0" w:color="auto"/>
      </w:divBdr>
    </w:div>
    <w:div w:id="722943777">
      <w:marLeft w:val="0"/>
      <w:marRight w:val="0"/>
      <w:marTop w:val="0"/>
      <w:marBottom w:val="0"/>
      <w:divBdr>
        <w:top w:val="none" w:sz="0" w:space="0" w:color="auto"/>
        <w:left w:val="none" w:sz="0" w:space="0" w:color="auto"/>
        <w:bottom w:val="none" w:sz="0" w:space="0" w:color="auto"/>
        <w:right w:val="none" w:sz="0" w:space="0" w:color="auto"/>
      </w:divBdr>
    </w:div>
    <w:div w:id="722943778">
      <w:marLeft w:val="0"/>
      <w:marRight w:val="0"/>
      <w:marTop w:val="0"/>
      <w:marBottom w:val="0"/>
      <w:divBdr>
        <w:top w:val="none" w:sz="0" w:space="0" w:color="auto"/>
        <w:left w:val="none" w:sz="0" w:space="0" w:color="auto"/>
        <w:bottom w:val="none" w:sz="0" w:space="0" w:color="auto"/>
        <w:right w:val="none" w:sz="0" w:space="0" w:color="auto"/>
      </w:divBdr>
    </w:div>
    <w:div w:id="722943779">
      <w:marLeft w:val="0"/>
      <w:marRight w:val="0"/>
      <w:marTop w:val="0"/>
      <w:marBottom w:val="0"/>
      <w:divBdr>
        <w:top w:val="none" w:sz="0" w:space="0" w:color="auto"/>
        <w:left w:val="none" w:sz="0" w:space="0" w:color="auto"/>
        <w:bottom w:val="none" w:sz="0" w:space="0" w:color="auto"/>
        <w:right w:val="none" w:sz="0" w:space="0" w:color="auto"/>
      </w:divBdr>
    </w:div>
    <w:div w:id="722943780">
      <w:marLeft w:val="0"/>
      <w:marRight w:val="0"/>
      <w:marTop w:val="0"/>
      <w:marBottom w:val="0"/>
      <w:divBdr>
        <w:top w:val="none" w:sz="0" w:space="0" w:color="auto"/>
        <w:left w:val="none" w:sz="0" w:space="0" w:color="auto"/>
        <w:bottom w:val="none" w:sz="0" w:space="0" w:color="auto"/>
        <w:right w:val="none" w:sz="0" w:space="0" w:color="auto"/>
      </w:divBdr>
    </w:div>
    <w:div w:id="722943783">
      <w:marLeft w:val="0"/>
      <w:marRight w:val="0"/>
      <w:marTop w:val="0"/>
      <w:marBottom w:val="0"/>
      <w:divBdr>
        <w:top w:val="none" w:sz="0" w:space="0" w:color="auto"/>
        <w:left w:val="none" w:sz="0" w:space="0" w:color="auto"/>
        <w:bottom w:val="none" w:sz="0" w:space="0" w:color="auto"/>
        <w:right w:val="none" w:sz="0" w:space="0" w:color="auto"/>
      </w:divBdr>
    </w:div>
    <w:div w:id="722943784">
      <w:marLeft w:val="0"/>
      <w:marRight w:val="0"/>
      <w:marTop w:val="0"/>
      <w:marBottom w:val="0"/>
      <w:divBdr>
        <w:top w:val="none" w:sz="0" w:space="0" w:color="auto"/>
        <w:left w:val="none" w:sz="0" w:space="0" w:color="auto"/>
        <w:bottom w:val="none" w:sz="0" w:space="0" w:color="auto"/>
        <w:right w:val="none" w:sz="0" w:space="0" w:color="auto"/>
      </w:divBdr>
    </w:div>
    <w:div w:id="722943785">
      <w:marLeft w:val="0"/>
      <w:marRight w:val="0"/>
      <w:marTop w:val="0"/>
      <w:marBottom w:val="0"/>
      <w:divBdr>
        <w:top w:val="none" w:sz="0" w:space="0" w:color="auto"/>
        <w:left w:val="none" w:sz="0" w:space="0" w:color="auto"/>
        <w:bottom w:val="none" w:sz="0" w:space="0" w:color="auto"/>
        <w:right w:val="none" w:sz="0" w:space="0" w:color="auto"/>
      </w:divBdr>
    </w:div>
    <w:div w:id="722943786">
      <w:marLeft w:val="0"/>
      <w:marRight w:val="0"/>
      <w:marTop w:val="0"/>
      <w:marBottom w:val="0"/>
      <w:divBdr>
        <w:top w:val="none" w:sz="0" w:space="0" w:color="auto"/>
        <w:left w:val="none" w:sz="0" w:space="0" w:color="auto"/>
        <w:bottom w:val="none" w:sz="0" w:space="0" w:color="auto"/>
        <w:right w:val="none" w:sz="0" w:space="0" w:color="auto"/>
      </w:divBdr>
    </w:div>
    <w:div w:id="722943788">
      <w:marLeft w:val="0"/>
      <w:marRight w:val="0"/>
      <w:marTop w:val="0"/>
      <w:marBottom w:val="0"/>
      <w:divBdr>
        <w:top w:val="none" w:sz="0" w:space="0" w:color="auto"/>
        <w:left w:val="none" w:sz="0" w:space="0" w:color="auto"/>
        <w:bottom w:val="none" w:sz="0" w:space="0" w:color="auto"/>
        <w:right w:val="none" w:sz="0" w:space="0" w:color="auto"/>
      </w:divBdr>
    </w:div>
    <w:div w:id="722943789">
      <w:marLeft w:val="0"/>
      <w:marRight w:val="0"/>
      <w:marTop w:val="0"/>
      <w:marBottom w:val="0"/>
      <w:divBdr>
        <w:top w:val="none" w:sz="0" w:space="0" w:color="auto"/>
        <w:left w:val="none" w:sz="0" w:space="0" w:color="auto"/>
        <w:bottom w:val="none" w:sz="0" w:space="0" w:color="auto"/>
        <w:right w:val="none" w:sz="0" w:space="0" w:color="auto"/>
      </w:divBdr>
    </w:div>
    <w:div w:id="722943790">
      <w:marLeft w:val="0"/>
      <w:marRight w:val="0"/>
      <w:marTop w:val="0"/>
      <w:marBottom w:val="0"/>
      <w:divBdr>
        <w:top w:val="none" w:sz="0" w:space="0" w:color="auto"/>
        <w:left w:val="none" w:sz="0" w:space="0" w:color="auto"/>
        <w:bottom w:val="none" w:sz="0" w:space="0" w:color="auto"/>
        <w:right w:val="none" w:sz="0" w:space="0" w:color="auto"/>
      </w:divBdr>
    </w:div>
    <w:div w:id="722943791">
      <w:marLeft w:val="0"/>
      <w:marRight w:val="0"/>
      <w:marTop w:val="0"/>
      <w:marBottom w:val="0"/>
      <w:divBdr>
        <w:top w:val="none" w:sz="0" w:space="0" w:color="auto"/>
        <w:left w:val="none" w:sz="0" w:space="0" w:color="auto"/>
        <w:bottom w:val="none" w:sz="0" w:space="0" w:color="auto"/>
        <w:right w:val="none" w:sz="0" w:space="0" w:color="auto"/>
      </w:divBdr>
    </w:div>
    <w:div w:id="722943792">
      <w:marLeft w:val="0"/>
      <w:marRight w:val="0"/>
      <w:marTop w:val="0"/>
      <w:marBottom w:val="0"/>
      <w:divBdr>
        <w:top w:val="none" w:sz="0" w:space="0" w:color="auto"/>
        <w:left w:val="none" w:sz="0" w:space="0" w:color="auto"/>
        <w:bottom w:val="none" w:sz="0" w:space="0" w:color="auto"/>
        <w:right w:val="none" w:sz="0" w:space="0" w:color="auto"/>
      </w:divBdr>
      <w:divsChild>
        <w:div w:id="722943719">
          <w:marLeft w:val="1166"/>
          <w:marRight w:val="0"/>
          <w:marTop w:val="96"/>
          <w:marBottom w:val="0"/>
          <w:divBdr>
            <w:top w:val="none" w:sz="0" w:space="0" w:color="auto"/>
            <w:left w:val="none" w:sz="0" w:space="0" w:color="auto"/>
            <w:bottom w:val="none" w:sz="0" w:space="0" w:color="auto"/>
            <w:right w:val="none" w:sz="0" w:space="0" w:color="auto"/>
          </w:divBdr>
        </w:div>
        <w:div w:id="722943760">
          <w:marLeft w:val="547"/>
          <w:marRight w:val="0"/>
          <w:marTop w:val="115"/>
          <w:marBottom w:val="0"/>
          <w:divBdr>
            <w:top w:val="none" w:sz="0" w:space="0" w:color="auto"/>
            <w:left w:val="none" w:sz="0" w:space="0" w:color="auto"/>
            <w:bottom w:val="none" w:sz="0" w:space="0" w:color="auto"/>
            <w:right w:val="none" w:sz="0" w:space="0" w:color="auto"/>
          </w:divBdr>
        </w:div>
        <w:div w:id="722943782">
          <w:marLeft w:val="1166"/>
          <w:marRight w:val="0"/>
          <w:marTop w:val="96"/>
          <w:marBottom w:val="0"/>
          <w:divBdr>
            <w:top w:val="none" w:sz="0" w:space="0" w:color="auto"/>
            <w:left w:val="none" w:sz="0" w:space="0" w:color="auto"/>
            <w:bottom w:val="none" w:sz="0" w:space="0" w:color="auto"/>
            <w:right w:val="none" w:sz="0" w:space="0" w:color="auto"/>
          </w:divBdr>
        </w:div>
        <w:div w:id="722943871">
          <w:marLeft w:val="547"/>
          <w:marRight w:val="0"/>
          <w:marTop w:val="115"/>
          <w:marBottom w:val="0"/>
          <w:divBdr>
            <w:top w:val="none" w:sz="0" w:space="0" w:color="auto"/>
            <w:left w:val="none" w:sz="0" w:space="0" w:color="auto"/>
            <w:bottom w:val="none" w:sz="0" w:space="0" w:color="auto"/>
            <w:right w:val="none" w:sz="0" w:space="0" w:color="auto"/>
          </w:divBdr>
        </w:div>
      </w:divsChild>
    </w:div>
    <w:div w:id="722943793">
      <w:marLeft w:val="0"/>
      <w:marRight w:val="0"/>
      <w:marTop w:val="0"/>
      <w:marBottom w:val="0"/>
      <w:divBdr>
        <w:top w:val="none" w:sz="0" w:space="0" w:color="auto"/>
        <w:left w:val="none" w:sz="0" w:space="0" w:color="auto"/>
        <w:bottom w:val="none" w:sz="0" w:space="0" w:color="auto"/>
        <w:right w:val="none" w:sz="0" w:space="0" w:color="auto"/>
      </w:divBdr>
    </w:div>
    <w:div w:id="722943796">
      <w:marLeft w:val="0"/>
      <w:marRight w:val="0"/>
      <w:marTop w:val="0"/>
      <w:marBottom w:val="0"/>
      <w:divBdr>
        <w:top w:val="none" w:sz="0" w:space="0" w:color="auto"/>
        <w:left w:val="none" w:sz="0" w:space="0" w:color="auto"/>
        <w:bottom w:val="none" w:sz="0" w:space="0" w:color="auto"/>
        <w:right w:val="none" w:sz="0" w:space="0" w:color="auto"/>
      </w:divBdr>
    </w:div>
    <w:div w:id="722943798">
      <w:marLeft w:val="0"/>
      <w:marRight w:val="0"/>
      <w:marTop w:val="0"/>
      <w:marBottom w:val="0"/>
      <w:divBdr>
        <w:top w:val="none" w:sz="0" w:space="0" w:color="auto"/>
        <w:left w:val="none" w:sz="0" w:space="0" w:color="auto"/>
        <w:bottom w:val="none" w:sz="0" w:space="0" w:color="auto"/>
        <w:right w:val="none" w:sz="0" w:space="0" w:color="auto"/>
      </w:divBdr>
    </w:div>
    <w:div w:id="722943799">
      <w:marLeft w:val="0"/>
      <w:marRight w:val="0"/>
      <w:marTop w:val="0"/>
      <w:marBottom w:val="0"/>
      <w:divBdr>
        <w:top w:val="none" w:sz="0" w:space="0" w:color="auto"/>
        <w:left w:val="none" w:sz="0" w:space="0" w:color="auto"/>
        <w:bottom w:val="none" w:sz="0" w:space="0" w:color="auto"/>
        <w:right w:val="none" w:sz="0" w:space="0" w:color="auto"/>
      </w:divBdr>
    </w:div>
    <w:div w:id="722943801">
      <w:marLeft w:val="0"/>
      <w:marRight w:val="0"/>
      <w:marTop w:val="0"/>
      <w:marBottom w:val="0"/>
      <w:divBdr>
        <w:top w:val="none" w:sz="0" w:space="0" w:color="auto"/>
        <w:left w:val="none" w:sz="0" w:space="0" w:color="auto"/>
        <w:bottom w:val="none" w:sz="0" w:space="0" w:color="auto"/>
        <w:right w:val="none" w:sz="0" w:space="0" w:color="auto"/>
      </w:divBdr>
    </w:div>
    <w:div w:id="722943802">
      <w:marLeft w:val="0"/>
      <w:marRight w:val="0"/>
      <w:marTop w:val="0"/>
      <w:marBottom w:val="0"/>
      <w:divBdr>
        <w:top w:val="none" w:sz="0" w:space="0" w:color="auto"/>
        <w:left w:val="none" w:sz="0" w:space="0" w:color="auto"/>
        <w:bottom w:val="none" w:sz="0" w:space="0" w:color="auto"/>
        <w:right w:val="none" w:sz="0" w:space="0" w:color="auto"/>
      </w:divBdr>
    </w:div>
    <w:div w:id="722943803">
      <w:marLeft w:val="0"/>
      <w:marRight w:val="0"/>
      <w:marTop w:val="0"/>
      <w:marBottom w:val="0"/>
      <w:divBdr>
        <w:top w:val="none" w:sz="0" w:space="0" w:color="auto"/>
        <w:left w:val="none" w:sz="0" w:space="0" w:color="auto"/>
        <w:bottom w:val="none" w:sz="0" w:space="0" w:color="auto"/>
        <w:right w:val="none" w:sz="0" w:space="0" w:color="auto"/>
      </w:divBdr>
    </w:div>
    <w:div w:id="722943806">
      <w:marLeft w:val="0"/>
      <w:marRight w:val="0"/>
      <w:marTop w:val="0"/>
      <w:marBottom w:val="0"/>
      <w:divBdr>
        <w:top w:val="none" w:sz="0" w:space="0" w:color="auto"/>
        <w:left w:val="none" w:sz="0" w:space="0" w:color="auto"/>
        <w:bottom w:val="none" w:sz="0" w:space="0" w:color="auto"/>
        <w:right w:val="none" w:sz="0" w:space="0" w:color="auto"/>
      </w:divBdr>
    </w:div>
    <w:div w:id="722943807">
      <w:marLeft w:val="0"/>
      <w:marRight w:val="0"/>
      <w:marTop w:val="0"/>
      <w:marBottom w:val="0"/>
      <w:divBdr>
        <w:top w:val="none" w:sz="0" w:space="0" w:color="auto"/>
        <w:left w:val="none" w:sz="0" w:space="0" w:color="auto"/>
        <w:bottom w:val="none" w:sz="0" w:space="0" w:color="auto"/>
        <w:right w:val="none" w:sz="0" w:space="0" w:color="auto"/>
      </w:divBdr>
    </w:div>
    <w:div w:id="722943808">
      <w:marLeft w:val="0"/>
      <w:marRight w:val="0"/>
      <w:marTop w:val="0"/>
      <w:marBottom w:val="0"/>
      <w:divBdr>
        <w:top w:val="none" w:sz="0" w:space="0" w:color="auto"/>
        <w:left w:val="none" w:sz="0" w:space="0" w:color="auto"/>
        <w:bottom w:val="none" w:sz="0" w:space="0" w:color="auto"/>
        <w:right w:val="none" w:sz="0" w:space="0" w:color="auto"/>
      </w:divBdr>
    </w:div>
    <w:div w:id="722943809">
      <w:marLeft w:val="0"/>
      <w:marRight w:val="0"/>
      <w:marTop w:val="0"/>
      <w:marBottom w:val="0"/>
      <w:divBdr>
        <w:top w:val="none" w:sz="0" w:space="0" w:color="auto"/>
        <w:left w:val="none" w:sz="0" w:space="0" w:color="auto"/>
        <w:bottom w:val="none" w:sz="0" w:space="0" w:color="auto"/>
        <w:right w:val="none" w:sz="0" w:space="0" w:color="auto"/>
      </w:divBdr>
    </w:div>
    <w:div w:id="722943810">
      <w:marLeft w:val="0"/>
      <w:marRight w:val="0"/>
      <w:marTop w:val="0"/>
      <w:marBottom w:val="0"/>
      <w:divBdr>
        <w:top w:val="none" w:sz="0" w:space="0" w:color="auto"/>
        <w:left w:val="none" w:sz="0" w:space="0" w:color="auto"/>
        <w:bottom w:val="none" w:sz="0" w:space="0" w:color="auto"/>
        <w:right w:val="none" w:sz="0" w:space="0" w:color="auto"/>
      </w:divBdr>
    </w:div>
    <w:div w:id="722943812">
      <w:marLeft w:val="0"/>
      <w:marRight w:val="0"/>
      <w:marTop w:val="0"/>
      <w:marBottom w:val="0"/>
      <w:divBdr>
        <w:top w:val="none" w:sz="0" w:space="0" w:color="auto"/>
        <w:left w:val="none" w:sz="0" w:space="0" w:color="auto"/>
        <w:bottom w:val="none" w:sz="0" w:space="0" w:color="auto"/>
        <w:right w:val="none" w:sz="0" w:space="0" w:color="auto"/>
      </w:divBdr>
    </w:div>
    <w:div w:id="722943814">
      <w:marLeft w:val="0"/>
      <w:marRight w:val="0"/>
      <w:marTop w:val="0"/>
      <w:marBottom w:val="0"/>
      <w:divBdr>
        <w:top w:val="none" w:sz="0" w:space="0" w:color="auto"/>
        <w:left w:val="none" w:sz="0" w:space="0" w:color="auto"/>
        <w:bottom w:val="none" w:sz="0" w:space="0" w:color="auto"/>
        <w:right w:val="none" w:sz="0" w:space="0" w:color="auto"/>
      </w:divBdr>
    </w:div>
    <w:div w:id="722943816">
      <w:marLeft w:val="0"/>
      <w:marRight w:val="0"/>
      <w:marTop w:val="0"/>
      <w:marBottom w:val="0"/>
      <w:divBdr>
        <w:top w:val="none" w:sz="0" w:space="0" w:color="auto"/>
        <w:left w:val="none" w:sz="0" w:space="0" w:color="auto"/>
        <w:bottom w:val="none" w:sz="0" w:space="0" w:color="auto"/>
        <w:right w:val="none" w:sz="0" w:space="0" w:color="auto"/>
      </w:divBdr>
    </w:div>
    <w:div w:id="722943817">
      <w:marLeft w:val="0"/>
      <w:marRight w:val="0"/>
      <w:marTop w:val="0"/>
      <w:marBottom w:val="0"/>
      <w:divBdr>
        <w:top w:val="none" w:sz="0" w:space="0" w:color="auto"/>
        <w:left w:val="none" w:sz="0" w:space="0" w:color="auto"/>
        <w:bottom w:val="none" w:sz="0" w:space="0" w:color="auto"/>
        <w:right w:val="none" w:sz="0" w:space="0" w:color="auto"/>
      </w:divBdr>
    </w:div>
    <w:div w:id="722943818">
      <w:marLeft w:val="0"/>
      <w:marRight w:val="0"/>
      <w:marTop w:val="0"/>
      <w:marBottom w:val="0"/>
      <w:divBdr>
        <w:top w:val="none" w:sz="0" w:space="0" w:color="auto"/>
        <w:left w:val="none" w:sz="0" w:space="0" w:color="auto"/>
        <w:bottom w:val="none" w:sz="0" w:space="0" w:color="auto"/>
        <w:right w:val="none" w:sz="0" w:space="0" w:color="auto"/>
      </w:divBdr>
    </w:div>
    <w:div w:id="722943821">
      <w:marLeft w:val="0"/>
      <w:marRight w:val="0"/>
      <w:marTop w:val="0"/>
      <w:marBottom w:val="0"/>
      <w:divBdr>
        <w:top w:val="none" w:sz="0" w:space="0" w:color="auto"/>
        <w:left w:val="none" w:sz="0" w:space="0" w:color="auto"/>
        <w:bottom w:val="none" w:sz="0" w:space="0" w:color="auto"/>
        <w:right w:val="none" w:sz="0" w:space="0" w:color="auto"/>
      </w:divBdr>
    </w:div>
    <w:div w:id="722943822">
      <w:marLeft w:val="0"/>
      <w:marRight w:val="0"/>
      <w:marTop w:val="0"/>
      <w:marBottom w:val="0"/>
      <w:divBdr>
        <w:top w:val="none" w:sz="0" w:space="0" w:color="auto"/>
        <w:left w:val="none" w:sz="0" w:space="0" w:color="auto"/>
        <w:bottom w:val="none" w:sz="0" w:space="0" w:color="auto"/>
        <w:right w:val="none" w:sz="0" w:space="0" w:color="auto"/>
      </w:divBdr>
    </w:div>
    <w:div w:id="722943823">
      <w:marLeft w:val="0"/>
      <w:marRight w:val="0"/>
      <w:marTop w:val="0"/>
      <w:marBottom w:val="0"/>
      <w:divBdr>
        <w:top w:val="none" w:sz="0" w:space="0" w:color="auto"/>
        <w:left w:val="none" w:sz="0" w:space="0" w:color="auto"/>
        <w:bottom w:val="none" w:sz="0" w:space="0" w:color="auto"/>
        <w:right w:val="none" w:sz="0" w:space="0" w:color="auto"/>
      </w:divBdr>
    </w:div>
    <w:div w:id="722943824">
      <w:marLeft w:val="0"/>
      <w:marRight w:val="0"/>
      <w:marTop w:val="0"/>
      <w:marBottom w:val="0"/>
      <w:divBdr>
        <w:top w:val="none" w:sz="0" w:space="0" w:color="auto"/>
        <w:left w:val="none" w:sz="0" w:space="0" w:color="auto"/>
        <w:bottom w:val="none" w:sz="0" w:space="0" w:color="auto"/>
        <w:right w:val="none" w:sz="0" w:space="0" w:color="auto"/>
      </w:divBdr>
    </w:div>
    <w:div w:id="722943825">
      <w:marLeft w:val="0"/>
      <w:marRight w:val="0"/>
      <w:marTop w:val="0"/>
      <w:marBottom w:val="0"/>
      <w:divBdr>
        <w:top w:val="none" w:sz="0" w:space="0" w:color="auto"/>
        <w:left w:val="none" w:sz="0" w:space="0" w:color="auto"/>
        <w:bottom w:val="none" w:sz="0" w:space="0" w:color="auto"/>
        <w:right w:val="none" w:sz="0" w:space="0" w:color="auto"/>
      </w:divBdr>
    </w:div>
    <w:div w:id="722943826">
      <w:marLeft w:val="0"/>
      <w:marRight w:val="0"/>
      <w:marTop w:val="0"/>
      <w:marBottom w:val="0"/>
      <w:divBdr>
        <w:top w:val="none" w:sz="0" w:space="0" w:color="auto"/>
        <w:left w:val="none" w:sz="0" w:space="0" w:color="auto"/>
        <w:bottom w:val="none" w:sz="0" w:space="0" w:color="auto"/>
        <w:right w:val="none" w:sz="0" w:space="0" w:color="auto"/>
      </w:divBdr>
    </w:div>
    <w:div w:id="722943828">
      <w:marLeft w:val="0"/>
      <w:marRight w:val="0"/>
      <w:marTop w:val="0"/>
      <w:marBottom w:val="0"/>
      <w:divBdr>
        <w:top w:val="none" w:sz="0" w:space="0" w:color="auto"/>
        <w:left w:val="none" w:sz="0" w:space="0" w:color="auto"/>
        <w:bottom w:val="none" w:sz="0" w:space="0" w:color="auto"/>
        <w:right w:val="none" w:sz="0" w:space="0" w:color="auto"/>
      </w:divBdr>
    </w:div>
    <w:div w:id="722943829">
      <w:marLeft w:val="0"/>
      <w:marRight w:val="0"/>
      <w:marTop w:val="0"/>
      <w:marBottom w:val="0"/>
      <w:divBdr>
        <w:top w:val="none" w:sz="0" w:space="0" w:color="auto"/>
        <w:left w:val="none" w:sz="0" w:space="0" w:color="auto"/>
        <w:bottom w:val="none" w:sz="0" w:space="0" w:color="auto"/>
        <w:right w:val="none" w:sz="0" w:space="0" w:color="auto"/>
      </w:divBdr>
    </w:div>
    <w:div w:id="722943830">
      <w:marLeft w:val="0"/>
      <w:marRight w:val="0"/>
      <w:marTop w:val="0"/>
      <w:marBottom w:val="0"/>
      <w:divBdr>
        <w:top w:val="none" w:sz="0" w:space="0" w:color="auto"/>
        <w:left w:val="none" w:sz="0" w:space="0" w:color="auto"/>
        <w:bottom w:val="none" w:sz="0" w:space="0" w:color="auto"/>
        <w:right w:val="none" w:sz="0" w:space="0" w:color="auto"/>
      </w:divBdr>
      <w:divsChild>
        <w:div w:id="722943804">
          <w:marLeft w:val="547"/>
          <w:marRight w:val="0"/>
          <w:marTop w:val="96"/>
          <w:marBottom w:val="0"/>
          <w:divBdr>
            <w:top w:val="none" w:sz="0" w:space="0" w:color="auto"/>
            <w:left w:val="none" w:sz="0" w:space="0" w:color="auto"/>
            <w:bottom w:val="none" w:sz="0" w:space="0" w:color="auto"/>
            <w:right w:val="none" w:sz="0" w:space="0" w:color="auto"/>
          </w:divBdr>
        </w:div>
      </w:divsChild>
    </w:div>
    <w:div w:id="722943831">
      <w:marLeft w:val="0"/>
      <w:marRight w:val="0"/>
      <w:marTop w:val="0"/>
      <w:marBottom w:val="0"/>
      <w:divBdr>
        <w:top w:val="none" w:sz="0" w:space="0" w:color="auto"/>
        <w:left w:val="none" w:sz="0" w:space="0" w:color="auto"/>
        <w:bottom w:val="none" w:sz="0" w:space="0" w:color="auto"/>
        <w:right w:val="none" w:sz="0" w:space="0" w:color="auto"/>
      </w:divBdr>
    </w:div>
    <w:div w:id="722943832">
      <w:marLeft w:val="0"/>
      <w:marRight w:val="0"/>
      <w:marTop w:val="0"/>
      <w:marBottom w:val="0"/>
      <w:divBdr>
        <w:top w:val="none" w:sz="0" w:space="0" w:color="auto"/>
        <w:left w:val="none" w:sz="0" w:space="0" w:color="auto"/>
        <w:bottom w:val="none" w:sz="0" w:space="0" w:color="auto"/>
        <w:right w:val="none" w:sz="0" w:space="0" w:color="auto"/>
      </w:divBdr>
      <w:divsChild>
        <w:div w:id="722943787">
          <w:marLeft w:val="547"/>
          <w:marRight w:val="0"/>
          <w:marTop w:val="115"/>
          <w:marBottom w:val="0"/>
          <w:divBdr>
            <w:top w:val="none" w:sz="0" w:space="0" w:color="auto"/>
            <w:left w:val="none" w:sz="0" w:space="0" w:color="auto"/>
            <w:bottom w:val="none" w:sz="0" w:space="0" w:color="auto"/>
            <w:right w:val="none" w:sz="0" w:space="0" w:color="auto"/>
          </w:divBdr>
        </w:div>
        <w:div w:id="722943819">
          <w:marLeft w:val="547"/>
          <w:marRight w:val="0"/>
          <w:marTop w:val="115"/>
          <w:marBottom w:val="0"/>
          <w:divBdr>
            <w:top w:val="none" w:sz="0" w:space="0" w:color="auto"/>
            <w:left w:val="none" w:sz="0" w:space="0" w:color="auto"/>
            <w:bottom w:val="none" w:sz="0" w:space="0" w:color="auto"/>
            <w:right w:val="none" w:sz="0" w:space="0" w:color="auto"/>
          </w:divBdr>
        </w:div>
        <w:div w:id="722943820">
          <w:marLeft w:val="547"/>
          <w:marRight w:val="0"/>
          <w:marTop w:val="115"/>
          <w:marBottom w:val="0"/>
          <w:divBdr>
            <w:top w:val="none" w:sz="0" w:space="0" w:color="auto"/>
            <w:left w:val="none" w:sz="0" w:space="0" w:color="auto"/>
            <w:bottom w:val="none" w:sz="0" w:space="0" w:color="auto"/>
            <w:right w:val="none" w:sz="0" w:space="0" w:color="auto"/>
          </w:divBdr>
        </w:div>
        <w:div w:id="722943838">
          <w:marLeft w:val="1166"/>
          <w:marRight w:val="0"/>
          <w:marTop w:val="96"/>
          <w:marBottom w:val="0"/>
          <w:divBdr>
            <w:top w:val="none" w:sz="0" w:space="0" w:color="auto"/>
            <w:left w:val="none" w:sz="0" w:space="0" w:color="auto"/>
            <w:bottom w:val="none" w:sz="0" w:space="0" w:color="auto"/>
            <w:right w:val="none" w:sz="0" w:space="0" w:color="auto"/>
          </w:divBdr>
        </w:div>
        <w:div w:id="722943858">
          <w:marLeft w:val="547"/>
          <w:marRight w:val="0"/>
          <w:marTop w:val="115"/>
          <w:marBottom w:val="0"/>
          <w:divBdr>
            <w:top w:val="none" w:sz="0" w:space="0" w:color="auto"/>
            <w:left w:val="none" w:sz="0" w:space="0" w:color="auto"/>
            <w:bottom w:val="none" w:sz="0" w:space="0" w:color="auto"/>
            <w:right w:val="none" w:sz="0" w:space="0" w:color="auto"/>
          </w:divBdr>
        </w:div>
      </w:divsChild>
    </w:div>
    <w:div w:id="722943833">
      <w:marLeft w:val="0"/>
      <w:marRight w:val="0"/>
      <w:marTop w:val="0"/>
      <w:marBottom w:val="0"/>
      <w:divBdr>
        <w:top w:val="none" w:sz="0" w:space="0" w:color="auto"/>
        <w:left w:val="none" w:sz="0" w:space="0" w:color="auto"/>
        <w:bottom w:val="none" w:sz="0" w:space="0" w:color="auto"/>
        <w:right w:val="none" w:sz="0" w:space="0" w:color="auto"/>
      </w:divBdr>
    </w:div>
    <w:div w:id="722943835">
      <w:marLeft w:val="0"/>
      <w:marRight w:val="0"/>
      <w:marTop w:val="0"/>
      <w:marBottom w:val="0"/>
      <w:divBdr>
        <w:top w:val="none" w:sz="0" w:space="0" w:color="auto"/>
        <w:left w:val="none" w:sz="0" w:space="0" w:color="auto"/>
        <w:bottom w:val="none" w:sz="0" w:space="0" w:color="auto"/>
        <w:right w:val="none" w:sz="0" w:space="0" w:color="auto"/>
      </w:divBdr>
    </w:div>
    <w:div w:id="722943836">
      <w:marLeft w:val="0"/>
      <w:marRight w:val="0"/>
      <w:marTop w:val="0"/>
      <w:marBottom w:val="0"/>
      <w:divBdr>
        <w:top w:val="none" w:sz="0" w:space="0" w:color="auto"/>
        <w:left w:val="none" w:sz="0" w:space="0" w:color="auto"/>
        <w:bottom w:val="none" w:sz="0" w:space="0" w:color="auto"/>
        <w:right w:val="none" w:sz="0" w:space="0" w:color="auto"/>
      </w:divBdr>
    </w:div>
    <w:div w:id="722943839">
      <w:marLeft w:val="0"/>
      <w:marRight w:val="0"/>
      <w:marTop w:val="0"/>
      <w:marBottom w:val="0"/>
      <w:divBdr>
        <w:top w:val="none" w:sz="0" w:space="0" w:color="auto"/>
        <w:left w:val="none" w:sz="0" w:space="0" w:color="auto"/>
        <w:bottom w:val="none" w:sz="0" w:space="0" w:color="auto"/>
        <w:right w:val="none" w:sz="0" w:space="0" w:color="auto"/>
      </w:divBdr>
      <w:divsChild>
        <w:div w:id="722943714">
          <w:marLeft w:val="547"/>
          <w:marRight w:val="0"/>
          <w:marTop w:val="115"/>
          <w:marBottom w:val="0"/>
          <w:divBdr>
            <w:top w:val="none" w:sz="0" w:space="0" w:color="auto"/>
            <w:left w:val="none" w:sz="0" w:space="0" w:color="auto"/>
            <w:bottom w:val="none" w:sz="0" w:space="0" w:color="auto"/>
            <w:right w:val="none" w:sz="0" w:space="0" w:color="auto"/>
          </w:divBdr>
        </w:div>
        <w:div w:id="722943717">
          <w:marLeft w:val="1166"/>
          <w:marRight w:val="0"/>
          <w:marTop w:val="96"/>
          <w:marBottom w:val="0"/>
          <w:divBdr>
            <w:top w:val="none" w:sz="0" w:space="0" w:color="auto"/>
            <w:left w:val="none" w:sz="0" w:space="0" w:color="auto"/>
            <w:bottom w:val="none" w:sz="0" w:space="0" w:color="auto"/>
            <w:right w:val="none" w:sz="0" w:space="0" w:color="auto"/>
          </w:divBdr>
        </w:div>
        <w:div w:id="722943794">
          <w:marLeft w:val="547"/>
          <w:marRight w:val="0"/>
          <w:marTop w:val="115"/>
          <w:marBottom w:val="0"/>
          <w:divBdr>
            <w:top w:val="none" w:sz="0" w:space="0" w:color="auto"/>
            <w:left w:val="none" w:sz="0" w:space="0" w:color="auto"/>
            <w:bottom w:val="none" w:sz="0" w:space="0" w:color="auto"/>
            <w:right w:val="none" w:sz="0" w:space="0" w:color="auto"/>
          </w:divBdr>
        </w:div>
        <w:div w:id="722943879">
          <w:marLeft w:val="547"/>
          <w:marRight w:val="0"/>
          <w:marTop w:val="115"/>
          <w:marBottom w:val="0"/>
          <w:divBdr>
            <w:top w:val="none" w:sz="0" w:space="0" w:color="auto"/>
            <w:left w:val="none" w:sz="0" w:space="0" w:color="auto"/>
            <w:bottom w:val="none" w:sz="0" w:space="0" w:color="auto"/>
            <w:right w:val="none" w:sz="0" w:space="0" w:color="auto"/>
          </w:divBdr>
        </w:div>
        <w:div w:id="722943883">
          <w:marLeft w:val="1166"/>
          <w:marRight w:val="0"/>
          <w:marTop w:val="96"/>
          <w:marBottom w:val="0"/>
          <w:divBdr>
            <w:top w:val="none" w:sz="0" w:space="0" w:color="auto"/>
            <w:left w:val="none" w:sz="0" w:space="0" w:color="auto"/>
            <w:bottom w:val="none" w:sz="0" w:space="0" w:color="auto"/>
            <w:right w:val="none" w:sz="0" w:space="0" w:color="auto"/>
          </w:divBdr>
        </w:div>
      </w:divsChild>
    </w:div>
    <w:div w:id="722943840">
      <w:marLeft w:val="0"/>
      <w:marRight w:val="0"/>
      <w:marTop w:val="0"/>
      <w:marBottom w:val="0"/>
      <w:divBdr>
        <w:top w:val="none" w:sz="0" w:space="0" w:color="auto"/>
        <w:left w:val="none" w:sz="0" w:space="0" w:color="auto"/>
        <w:bottom w:val="none" w:sz="0" w:space="0" w:color="auto"/>
        <w:right w:val="none" w:sz="0" w:space="0" w:color="auto"/>
      </w:divBdr>
    </w:div>
    <w:div w:id="722943841">
      <w:marLeft w:val="0"/>
      <w:marRight w:val="0"/>
      <w:marTop w:val="0"/>
      <w:marBottom w:val="0"/>
      <w:divBdr>
        <w:top w:val="none" w:sz="0" w:space="0" w:color="auto"/>
        <w:left w:val="none" w:sz="0" w:space="0" w:color="auto"/>
        <w:bottom w:val="none" w:sz="0" w:space="0" w:color="auto"/>
        <w:right w:val="none" w:sz="0" w:space="0" w:color="auto"/>
      </w:divBdr>
    </w:div>
    <w:div w:id="722943842">
      <w:marLeft w:val="0"/>
      <w:marRight w:val="0"/>
      <w:marTop w:val="0"/>
      <w:marBottom w:val="0"/>
      <w:divBdr>
        <w:top w:val="none" w:sz="0" w:space="0" w:color="auto"/>
        <w:left w:val="none" w:sz="0" w:space="0" w:color="auto"/>
        <w:bottom w:val="none" w:sz="0" w:space="0" w:color="auto"/>
        <w:right w:val="none" w:sz="0" w:space="0" w:color="auto"/>
      </w:divBdr>
    </w:div>
    <w:div w:id="722943843">
      <w:marLeft w:val="0"/>
      <w:marRight w:val="0"/>
      <w:marTop w:val="0"/>
      <w:marBottom w:val="0"/>
      <w:divBdr>
        <w:top w:val="none" w:sz="0" w:space="0" w:color="auto"/>
        <w:left w:val="none" w:sz="0" w:space="0" w:color="auto"/>
        <w:bottom w:val="none" w:sz="0" w:space="0" w:color="auto"/>
        <w:right w:val="none" w:sz="0" w:space="0" w:color="auto"/>
      </w:divBdr>
    </w:div>
    <w:div w:id="722943844">
      <w:marLeft w:val="0"/>
      <w:marRight w:val="0"/>
      <w:marTop w:val="0"/>
      <w:marBottom w:val="0"/>
      <w:divBdr>
        <w:top w:val="none" w:sz="0" w:space="0" w:color="auto"/>
        <w:left w:val="none" w:sz="0" w:space="0" w:color="auto"/>
        <w:bottom w:val="none" w:sz="0" w:space="0" w:color="auto"/>
        <w:right w:val="none" w:sz="0" w:space="0" w:color="auto"/>
      </w:divBdr>
    </w:div>
    <w:div w:id="722943845">
      <w:marLeft w:val="0"/>
      <w:marRight w:val="0"/>
      <w:marTop w:val="0"/>
      <w:marBottom w:val="0"/>
      <w:divBdr>
        <w:top w:val="none" w:sz="0" w:space="0" w:color="auto"/>
        <w:left w:val="none" w:sz="0" w:space="0" w:color="auto"/>
        <w:bottom w:val="none" w:sz="0" w:space="0" w:color="auto"/>
        <w:right w:val="none" w:sz="0" w:space="0" w:color="auto"/>
      </w:divBdr>
    </w:div>
    <w:div w:id="722943847">
      <w:marLeft w:val="0"/>
      <w:marRight w:val="0"/>
      <w:marTop w:val="0"/>
      <w:marBottom w:val="0"/>
      <w:divBdr>
        <w:top w:val="none" w:sz="0" w:space="0" w:color="auto"/>
        <w:left w:val="none" w:sz="0" w:space="0" w:color="auto"/>
        <w:bottom w:val="none" w:sz="0" w:space="0" w:color="auto"/>
        <w:right w:val="none" w:sz="0" w:space="0" w:color="auto"/>
      </w:divBdr>
    </w:div>
    <w:div w:id="722943848">
      <w:marLeft w:val="0"/>
      <w:marRight w:val="0"/>
      <w:marTop w:val="0"/>
      <w:marBottom w:val="0"/>
      <w:divBdr>
        <w:top w:val="none" w:sz="0" w:space="0" w:color="auto"/>
        <w:left w:val="none" w:sz="0" w:space="0" w:color="auto"/>
        <w:bottom w:val="none" w:sz="0" w:space="0" w:color="auto"/>
        <w:right w:val="none" w:sz="0" w:space="0" w:color="auto"/>
      </w:divBdr>
    </w:div>
    <w:div w:id="722943849">
      <w:marLeft w:val="0"/>
      <w:marRight w:val="0"/>
      <w:marTop w:val="0"/>
      <w:marBottom w:val="0"/>
      <w:divBdr>
        <w:top w:val="none" w:sz="0" w:space="0" w:color="auto"/>
        <w:left w:val="none" w:sz="0" w:space="0" w:color="auto"/>
        <w:bottom w:val="none" w:sz="0" w:space="0" w:color="auto"/>
        <w:right w:val="none" w:sz="0" w:space="0" w:color="auto"/>
      </w:divBdr>
    </w:div>
    <w:div w:id="722943850">
      <w:marLeft w:val="0"/>
      <w:marRight w:val="0"/>
      <w:marTop w:val="0"/>
      <w:marBottom w:val="0"/>
      <w:divBdr>
        <w:top w:val="none" w:sz="0" w:space="0" w:color="auto"/>
        <w:left w:val="none" w:sz="0" w:space="0" w:color="auto"/>
        <w:bottom w:val="none" w:sz="0" w:space="0" w:color="auto"/>
        <w:right w:val="none" w:sz="0" w:space="0" w:color="auto"/>
      </w:divBdr>
      <w:divsChild>
        <w:div w:id="722943699">
          <w:marLeft w:val="1166"/>
          <w:marRight w:val="0"/>
          <w:marTop w:val="115"/>
          <w:marBottom w:val="0"/>
          <w:divBdr>
            <w:top w:val="none" w:sz="0" w:space="0" w:color="auto"/>
            <w:left w:val="none" w:sz="0" w:space="0" w:color="auto"/>
            <w:bottom w:val="none" w:sz="0" w:space="0" w:color="auto"/>
            <w:right w:val="none" w:sz="0" w:space="0" w:color="auto"/>
          </w:divBdr>
        </w:div>
        <w:div w:id="722943815">
          <w:marLeft w:val="1166"/>
          <w:marRight w:val="0"/>
          <w:marTop w:val="115"/>
          <w:marBottom w:val="0"/>
          <w:divBdr>
            <w:top w:val="none" w:sz="0" w:space="0" w:color="auto"/>
            <w:left w:val="none" w:sz="0" w:space="0" w:color="auto"/>
            <w:bottom w:val="none" w:sz="0" w:space="0" w:color="auto"/>
            <w:right w:val="none" w:sz="0" w:space="0" w:color="auto"/>
          </w:divBdr>
        </w:div>
        <w:div w:id="722943837">
          <w:marLeft w:val="1166"/>
          <w:marRight w:val="0"/>
          <w:marTop w:val="115"/>
          <w:marBottom w:val="0"/>
          <w:divBdr>
            <w:top w:val="none" w:sz="0" w:space="0" w:color="auto"/>
            <w:left w:val="none" w:sz="0" w:space="0" w:color="auto"/>
            <w:bottom w:val="none" w:sz="0" w:space="0" w:color="auto"/>
            <w:right w:val="none" w:sz="0" w:space="0" w:color="auto"/>
          </w:divBdr>
        </w:div>
      </w:divsChild>
    </w:div>
    <w:div w:id="722943851">
      <w:marLeft w:val="0"/>
      <w:marRight w:val="0"/>
      <w:marTop w:val="0"/>
      <w:marBottom w:val="0"/>
      <w:divBdr>
        <w:top w:val="none" w:sz="0" w:space="0" w:color="auto"/>
        <w:left w:val="none" w:sz="0" w:space="0" w:color="auto"/>
        <w:bottom w:val="none" w:sz="0" w:space="0" w:color="auto"/>
        <w:right w:val="none" w:sz="0" w:space="0" w:color="auto"/>
      </w:divBdr>
    </w:div>
    <w:div w:id="722943852">
      <w:marLeft w:val="0"/>
      <w:marRight w:val="0"/>
      <w:marTop w:val="0"/>
      <w:marBottom w:val="0"/>
      <w:divBdr>
        <w:top w:val="none" w:sz="0" w:space="0" w:color="auto"/>
        <w:left w:val="none" w:sz="0" w:space="0" w:color="auto"/>
        <w:bottom w:val="none" w:sz="0" w:space="0" w:color="auto"/>
        <w:right w:val="none" w:sz="0" w:space="0" w:color="auto"/>
      </w:divBdr>
    </w:div>
    <w:div w:id="722943853">
      <w:marLeft w:val="0"/>
      <w:marRight w:val="0"/>
      <w:marTop w:val="0"/>
      <w:marBottom w:val="0"/>
      <w:divBdr>
        <w:top w:val="none" w:sz="0" w:space="0" w:color="auto"/>
        <w:left w:val="none" w:sz="0" w:space="0" w:color="auto"/>
        <w:bottom w:val="none" w:sz="0" w:space="0" w:color="auto"/>
        <w:right w:val="none" w:sz="0" w:space="0" w:color="auto"/>
      </w:divBdr>
    </w:div>
    <w:div w:id="722943854">
      <w:marLeft w:val="0"/>
      <w:marRight w:val="0"/>
      <w:marTop w:val="0"/>
      <w:marBottom w:val="0"/>
      <w:divBdr>
        <w:top w:val="none" w:sz="0" w:space="0" w:color="auto"/>
        <w:left w:val="none" w:sz="0" w:space="0" w:color="auto"/>
        <w:bottom w:val="none" w:sz="0" w:space="0" w:color="auto"/>
        <w:right w:val="none" w:sz="0" w:space="0" w:color="auto"/>
      </w:divBdr>
    </w:div>
    <w:div w:id="722943855">
      <w:marLeft w:val="0"/>
      <w:marRight w:val="0"/>
      <w:marTop w:val="0"/>
      <w:marBottom w:val="0"/>
      <w:divBdr>
        <w:top w:val="none" w:sz="0" w:space="0" w:color="auto"/>
        <w:left w:val="none" w:sz="0" w:space="0" w:color="auto"/>
        <w:bottom w:val="none" w:sz="0" w:space="0" w:color="auto"/>
        <w:right w:val="none" w:sz="0" w:space="0" w:color="auto"/>
      </w:divBdr>
    </w:div>
    <w:div w:id="722943857">
      <w:marLeft w:val="0"/>
      <w:marRight w:val="0"/>
      <w:marTop w:val="0"/>
      <w:marBottom w:val="0"/>
      <w:divBdr>
        <w:top w:val="none" w:sz="0" w:space="0" w:color="auto"/>
        <w:left w:val="none" w:sz="0" w:space="0" w:color="auto"/>
        <w:bottom w:val="none" w:sz="0" w:space="0" w:color="auto"/>
        <w:right w:val="none" w:sz="0" w:space="0" w:color="auto"/>
      </w:divBdr>
    </w:div>
    <w:div w:id="722943859">
      <w:marLeft w:val="0"/>
      <w:marRight w:val="0"/>
      <w:marTop w:val="0"/>
      <w:marBottom w:val="0"/>
      <w:divBdr>
        <w:top w:val="none" w:sz="0" w:space="0" w:color="auto"/>
        <w:left w:val="none" w:sz="0" w:space="0" w:color="auto"/>
        <w:bottom w:val="none" w:sz="0" w:space="0" w:color="auto"/>
        <w:right w:val="none" w:sz="0" w:space="0" w:color="auto"/>
      </w:divBdr>
    </w:div>
    <w:div w:id="722943860">
      <w:marLeft w:val="0"/>
      <w:marRight w:val="0"/>
      <w:marTop w:val="0"/>
      <w:marBottom w:val="0"/>
      <w:divBdr>
        <w:top w:val="none" w:sz="0" w:space="0" w:color="auto"/>
        <w:left w:val="none" w:sz="0" w:space="0" w:color="auto"/>
        <w:bottom w:val="none" w:sz="0" w:space="0" w:color="auto"/>
        <w:right w:val="none" w:sz="0" w:space="0" w:color="auto"/>
      </w:divBdr>
    </w:div>
    <w:div w:id="722943861">
      <w:marLeft w:val="0"/>
      <w:marRight w:val="0"/>
      <w:marTop w:val="0"/>
      <w:marBottom w:val="0"/>
      <w:divBdr>
        <w:top w:val="none" w:sz="0" w:space="0" w:color="auto"/>
        <w:left w:val="none" w:sz="0" w:space="0" w:color="auto"/>
        <w:bottom w:val="none" w:sz="0" w:space="0" w:color="auto"/>
        <w:right w:val="none" w:sz="0" w:space="0" w:color="auto"/>
      </w:divBdr>
    </w:div>
    <w:div w:id="722943862">
      <w:marLeft w:val="0"/>
      <w:marRight w:val="0"/>
      <w:marTop w:val="0"/>
      <w:marBottom w:val="0"/>
      <w:divBdr>
        <w:top w:val="none" w:sz="0" w:space="0" w:color="auto"/>
        <w:left w:val="none" w:sz="0" w:space="0" w:color="auto"/>
        <w:bottom w:val="none" w:sz="0" w:space="0" w:color="auto"/>
        <w:right w:val="none" w:sz="0" w:space="0" w:color="auto"/>
      </w:divBdr>
    </w:div>
    <w:div w:id="722943863">
      <w:marLeft w:val="0"/>
      <w:marRight w:val="0"/>
      <w:marTop w:val="0"/>
      <w:marBottom w:val="0"/>
      <w:divBdr>
        <w:top w:val="none" w:sz="0" w:space="0" w:color="auto"/>
        <w:left w:val="none" w:sz="0" w:space="0" w:color="auto"/>
        <w:bottom w:val="none" w:sz="0" w:space="0" w:color="auto"/>
        <w:right w:val="none" w:sz="0" w:space="0" w:color="auto"/>
      </w:divBdr>
    </w:div>
    <w:div w:id="722943864">
      <w:marLeft w:val="0"/>
      <w:marRight w:val="0"/>
      <w:marTop w:val="0"/>
      <w:marBottom w:val="0"/>
      <w:divBdr>
        <w:top w:val="none" w:sz="0" w:space="0" w:color="auto"/>
        <w:left w:val="none" w:sz="0" w:space="0" w:color="auto"/>
        <w:bottom w:val="none" w:sz="0" w:space="0" w:color="auto"/>
        <w:right w:val="none" w:sz="0" w:space="0" w:color="auto"/>
      </w:divBdr>
    </w:div>
    <w:div w:id="722943865">
      <w:marLeft w:val="0"/>
      <w:marRight w:val="0"/>
      <w:marTop w:val="0"/>
      <w:marBottom w:val="0"/>
      <w:divBdr>
        <w:top w:val="none" w:sz="0" w:space="0" w:color="auto"/>
        <w:left w:val="none" w:sz="0" w:space="0" w:color="auto"/>
        <w:bottom w:val="none" w:sz="0" w:space="0" w:color="auto"/>
        <w:right w:val="none" w:sz="0" w:space="0" w:color="auto"/>
      </w:divBdr>
    </w:div>
    <w:div w:id="722943867">
      <w:marLeft w:val="0"/>
      <w:marRight w:val="0"/>
      <w:marTop w:val="0"/>
      <w:marBottom w:val="0"/>
      <w:divBdr>
        <w:top w:val="none" w:sz="0" w:space="0" w:color="auto"/>
        <w:left w:val="none" w:sz="0" w:space="0" w:color="auto"/>
        <w:bottom w:val="none" w:sz="0" w:space="0" w:color="auto"/>
        <w:right w:val="none" w:sz="0" w:space="0" w:color="auto"/>
      </w:divBdr>
    </w:div>
    <w:div w:id="722943868">
      <w:marLeft w:val="0"/>
      <w:marRight w:val="0"/>
      <w:marTop w:val="0"/>
      <w:marBottom w:val="0"/>
      <w:divBdr>
        <w:top w:val="none" w:sz="0" w:space="0" w:color="auto"/>
        <w:left w:val="none" w:sz="0" w:space="0" w:color="auto"/>
        <w:bottom w:val="none" w:sz="0" w:space="0" w:color="auto"/>
        <w:right w:val="none" w:sz="0" w:space="0" w:color="auto"/>
      </w:divBdr>
    </w:div>
    <w:div w:id="722943869">
      <w:marLeft w:val="0"/>
      <w:marRight w:val="0"/>
      <w:marTop w:val="0"/>
      <w:marBottom w:val="0"/>
      <w:divBdr>
        <w:top w:val="none" w:sz="0" w:space="0" w:color="auto"/>
        <w:left w:val="none" w:sz="0" w:space="0" w:color="auto"/>
        <w:bottom w:val="none" w:sz="0" w:space="0" w:color="auto"/>
        <w:right w:val="none" w:sz="0" w:space="0" w:color="auto"/>
      </w:divBdr>
    </w:div>
    <w:div w:id="722943870">
      <w:marLeft w:val="0"/>
      <w:marRight w:val="0"/>
      <w:marTop w:val="0"/>
      <w:marBottom w:val="0"/>
      <w:divBdr>
        <w:top w:val="none" w:sz="0" w:space="0" w:color="auto"/>
        <w:left w:val="none" w:sz="0" w:space="0" w:color="auto"/>
        <w:bottom w:val="none" w:sz="0" w:space="0" w:color="auto"/>
        <w:right w:val="none" w:sz="0" w:space="0" w:color="auto"/>
      </w:divBdr>
    </w:div>
    <w:div w:id="722943872">
      <w:marLeft w:val="0"/>
      <w:marRight w:val="0"/>
      <w:marTop w:val="0"/>
      <w:marBottom w:val="0"/>
      <w:divBdr>
        <w:top w:val="none" w:sz="0" w:space="0" w:color="auto"/>
        <w:left w:val="none" w:sz="0" w:space="0" w:color="auto"/>
        <w:bottom w:val="none" w:sz="0" w:space="0" w:color="auto"/>
        <w:right w:val="none" w:sz="0" w:space="0" w:color="auto"/>
      </w:divBdr>
    </w:div>
    <w:div w:id="722943875">
      <w:marLeft w:val="0"/>
      <w:marRight w:val="0"/>
      <w:marTop w:val="0"/>
      <w:marBottom w:val="0"/>
      <w:divBdr>
        <w:top w:val="none" w:sz="0" w:space="0" w:color="auto"/>
        <w:left w:val="none" w:sz="0" w:space="0" w:color="auto"/>
        <w:bottom w:val="none" w:sz="0" w:space="0" w:color="auto"/>
        <w:right w:val="none" w:sz="0" w:space="0" w:color="auto"/>
      </w:divBdr>
      <w:divsChild>
        <w:div w:id="722943718">
          <w:marLeft w:val="547"/>
          <w:marRight w:val="0"/>
          <w:marTop w:val="115"/>
          <w:marBottom w:val="0"/>
          <w:divBdr>
            <w:top w:val="none" w:sz="0" w:space="0" w:color="auto"/>
            <w:left w:val="none" w:sz="0" w:space="0" w:color="auto"/>
            <w:bottom w:val="none" w:sz="0" w:space="0" w:color="auto"/>
            <w:right w:val="none" w:sz="0" w:space="0" w:color="auto"/>
          </w:divBdr>
        </w:div>
        <w:div w:id="722943725">
          <w:marLeft w:val="547"/>
          <w:marRight w:val="0"/>
          <w:marTop w:val="115"/>
          <w:marBottom w:val="0"/>
          <w:divBdr>
            <w:top w:val="none" w:sz="0" w:space="0" w:color="auto"/>
            <w:left w:val="none" w:sz="0" w:space="0" w:color="auto"/>
            <w:bottom w:val="none" w:sz="0" w:space="0" w:color="auto"/>
            <w:right w:val="none" w:sz="0" w:space="0" w:color="auto"/>
          </w:divBdr>
        </w:div>
        <w:div w:id="722943728">
          <w:marLeft w:val="547"/>
          <w:marRight w:val="0"/>
          <w:marTop w:val="115"/>
          <w:marBottom w:val="0"/>
          <w:divBdr>
            <w:top w:val="none" w:sz="0" w:space="0" w:color="auto"/>
            <w:left w:val="none" w:sz="0" w:space="0" w:color="auto"/>
            <w:bottom w:val="none" w:sz="0" w:space="0" w:color="auto"/>
            <w:right w:val="none" w:sz="0" w:space="0" w:color="auto"/>
          </w:divBdr>
        </w:div>
        <w:div w:id="722943866">
          <w:marLeft w:val="547"/>
          <w:marRight w:val="0"/>
          <w:marTop w:val="115"/>
          <w:marBottom w:val="0"/>
          <w:divBdr>
            <w:top w:val="none" w:sz="0" w:space="0" w:color="auto"/>
            <w:left w:val="none" w:sz="0" w:space="0" w:color="auto"/>
            <w:bottom w:val="none" w:sz="0" w:space="0" w:color="auto"/>
            <w:right w:val="none" w:sz="0" w:space="0" w:color="auto"/>
          </w:divBdr>
        </w:div>
      </w:divsChild>
    </w:div>
    <w:div w:id="722943876">
      <w:marLeft w:val="0"/>
      <w:marRight w:val="0"/>
      <w:marTop w:val="0"/>
      <w:marBottom w:val="0"/>
      <w:divBdr>
        <w:top w:val="none" w:sz="0" w:space="0" w:color="auto"/>
        <w:left w:val="none" w:sz="0" w:space="0" w:color="auto"/>
        <w:bottom w:val="none" w:sz="0" w:space="0" w:color="auto"/>
        <w:right w:val="none" w:sz="0" w:space="0" w:color="auto"/>
      </w:divBdr>
    </w:div>
    <w:div w:id="722943877">
      <w:marLeft w:val="0"/>
      <w:marRight w:val="0"/>
      <w:marTop w:val="0"/>
      <w:marBottom w:val="0"/>
      <w:divBdr>
        <w:top w:val="none" w:sz="0" w:space="0" w:color="auto"/>
        <w:left w:val="none" w:sz="0" w:space="0" w:color="auto"/>
        <w:bottom w:val="none" w:sz="0" w:space="0" w:color="auto"/>
        <w:right w:val="none" w:sz="0" w:space="0" w:color="auto"/>
      </w:divBdr>
    </w:div>
    <w:div w:id="722943880">
      <w:marLeft w:val="0"/>
      <w:marRight w:val="0"/>
      <w:marTop w:val="0"/>
      <w:marBottom w:val="0"/>
      <w:divBdr>
        <w:top w:val="none" w:sz="0" w:space="0" w:color="auto"/>
        <w:left w:val="none" w:sz="0" w:space="0" w:color="auto"/>
        <w:bottom w:val="none" w:sz="0" w:space="0" w:color="auto"/>
        <w:right w:val="none" w:sz="0" w:space="0" w:color="auto"/>
      </w:divBdr>
    </w:div>
    <w:div w:id="722943881">
      <w:marLeft w:val="0"/>
      <w:marRight w:val="0"/>
      <w:marTop w:val="0"/>
      <w:marBottom w:val="0"/>
      <w:divBdr>
        <w:top w:val="none" w:sz="0" w:space="0" w:color="auto"/>
        <w:left w:val="none" w:sz="0" w:space="0" w:color="auto"/>
        <w:bottom w:val="none" w:sz="0" w:space="0" w:color="auto"/>
        <w:right w:val="none" w:sz="0" w:space="0" w:color="auto"/>
      </w:divBdr>
    </w:div>
    <w:div w:id="722943882">
      <w:marLeft w:val="0"/>
      <w:marRight w:val="0"/>
      <w:marTop w:val="0"/>
      <w:marBottom w:val="0"/>
      <w:divBdr>
        <w:top w:val="none" w:sz="0" w:space="0" w:color="auto"/>
        <w:left w:val="none" w:sz="0" w:space="0" w:color="auto"/>
        <w:bottom w:val="none" w:sz="0" w:space="0" w:color="auto"/>
        <w:right w:val="none" w:sz="0" w:space="0" w:color="auto"/>
      </w:divBdr>
    </w:div>
    <w:div w:id="722943884">
      <w:marLeft w:val="0"/>
      <w:marRight w:val="0"/>
      <w:marTop w:val="0"/>
      <w:marBottom w:val="0"/>
      <w:divBdr>
        <w:top w:val="none" w:sz="0" w:space="0" w:color="auto"/>
        <w:left w:val="none" w:sz="0" w:space="0" w:color="auto"/>
        <w:bottom w:val="none" w:sz="0" w:space="0" w:color="auto"/>
        <w:right w:val="none" w:sz="0" w:space="0" w:color="auto"/>
      </w:divBdr>
    </w:div>
    <w:div w:id="722943885">
      <w:marLeft w:val="0"/>
      <w:marRight w:val="0"/>
      <w:marTop w:val="0"/>
      <w:marBottom w:val="0"/>
      <w:divBdr>
        <w:top w:val="none" w:sz="0" w:space="0" w:color="auto"/>
        <w:left w:val="none" w:sz="0" w:space="0" w:color="auto"/>
        <w:bottom w:val="none" w:sz="0" w:space="0" w:color="auto"/>
        <w:right w:val="none" w:sz="0" w:space="0" w:color="auto"/>
      </w:divBdr>
    </w:div>
    <w:div w:id="722943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8050</Words>
  <Characters>-32766</Characters>
  <Application>Microsoft Office Outlook</Application>
  <DocSecurity>0</DocSecurity>
  <Lines>0</Lines>
  <Paragraphs>0</Paragraphs>
  <ScaleCrop>false</ScaleCrop>
  <Company>The University of Melbourne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VICAR, THE WIDOW, OR THE GENTLEMAN: WHO GETS ALLOCATED IPO SHARES</dc:title>
  <dc:subject/>
  <dc:creator>Sturla Lyngnes Fjesme</dc:creator>
  <cp:keywords/>
  <dc:description/>
  <cp:lastModifiedBy>Maureen</cp:lastModifiedBy>
  <cp:revision>2</cp:revision>
  <cp:lastPrinted>2013-10-30T04:06:00Z</cp:lastPrinted>
  <dcterms:created xsi:type="dcterms:W3CDTF">2015-03-02T09:59:00Z</dcterms:created>
  <dcterms:modified xsi:type="dcterms:W3CDTF">2015-03-02T09:59:00Z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