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BF" w:rsidRDefault="009F11BF" w:rsidP="00642D61">
      <w:pPr>
        <w:spacing w:after="0" w:line="480" w:lineRule="auto"/>
        <w:ind w:firstLine="567"/>
        <w:jc w:val="both"/>
        <w:rPr>
          <w:noProof w:val="0"/>
        </w:rPr>
      </w:pPr>
      <w:bookmarkStart w:id="0" w:name="_GoBack"/>
      <w:bookmarkEnd w:id="0"/>
    </w:p>
    <w:p w:rsidR="00137589" w:rsidRDefault="00137589">
      <w:pPr>
        <w:rPr>
          <w:noProof w:val="0"/>
        </w:rPr>
      </w:pPr>
    </w:p>
    <w:p w:rsidR="00137589" w:rsidRDefault="00137589">
      <w:pPr>
        <w:rPr>
          <w:noProof w:val="0"/>
        </w:rPr>
      </w:pPr>
    </w:p>
    <w:p w:rsidR="00137589" w:rsidRDefault="00137589">
      <w:pPr>
        <w:rPr>
          <w:noProof w:val="0"/>
        </w:rPr>
      </w:pPr>
    </w:p>
    <w:p w:rsidR="00137589" w:rsidRDefault="00137589">
      <w:pPr>
        <w:rPr>
          <w:noProof w:val="0"/>
        </w:rPr>
      </w:pPr>
    </w:p>
    <w:p w:rsidR="00137589" w:rsidRDefault="00137589">
      <w:pPr>
        <w:rPr>
          <w:noProof w:val="0"/>
        </w:rPr>
      </w:pPr>
    </w:p>
    <w:p w:rsidR="00137589" w:rsidRDefault="00137589">
      <w:pPr>
        <w:rPr>
          <w:noProof w:val="0"/>
        </w:rPr>
      </w:pPr>
    </w:p>
    <w:p w:rsidR="00137589" w:rsidRDefault="00137589">
      <w:pPr>
        <w:rPr>
          <w:noProof w:val="0"/>
        </w:rPr>
      </w:pPr>
    </w:p>
    <w:p w:rsidR="00137589" w:rsidRDefault="00137589">
      <w:pPr>
        <w:rPr>
          <w:noProof w:val="0"/>
        </w:rPr>
      </w:pPr>
    </w:p>
    <w:p w:rsidR="00137589" w:rsidRDefault="00137589">
      <w:pPr>
        <w:rPr>
          <w:noProof w:val="0"/>
        </w:rPr>
      </w:pPr>
    </w:p>
    <w:p w:rsidR="00137589" w:rsidRDefault="00137589" w:rsidP="00137589">
      <w:pPr>
        <w:jc w:val="center"/>
        <w:rPr>
          <w:b/>
        </w:rPr>
      </w:pPr>
      <w:r>
        <w:rPr>
          <w:b/>
        </w:rPr>
        <w:t>Institutional Shocks and Competition in Portuguese Commercial Banking in the Long Run (1960-2015)</w:t>
      </w:r>
    </w:p>
    <w:p w:rsidR="00137589" w:rsidRDefault="00137589" w:rsidP="00137589">
      <w:pPr>
        <w:jc w:val="center"/>
      </w:pPr>
      <w:r>
        <w:t>Luciano Amaral</w:t>
      </w:r>
    </w:p>
    <w:p w:rsidR="00137589" w:rsidRDefault="00137589" w:rsidP="00137589">
      <w:pPr>
        <w:jc w:val="center"/>
      </w:pPr>
      <w:r>
        <w:t>Nova School of Business and Economics</w:t>
      </w:r>
      <w:r w:rsidR="006B0CD0">
        <w:t>, Lisbon</w:t>
      </w:r>
    </w:p>
    <w:p w:rsidR="00137589" w:rsidRPr="00EC3F8F" w:rsidRDefault="00D36D34" w:rsidP="00137589">
      <w:pPr>
        <w:jc w:val="center"/>
        <w:rPr>
          <w:lang w:val="pt-PT"/>
        </w:rPr>
      </w:pPr>
      <w:hyperlink r:id="rId9" w:history="1">
        <w:r w:rsidR="00137589" w:rsidRPr="00EC3F8F">
          <w:rPr>
            <w:rStyle w:val="Hyperlink"/>
            <w:lang w:val="pt-PT"/>
          </w:rPr>
          <w:t>lamaral@novasbe.pt</w:t>
        </w:r>
      </w:hyperlink>
    </w:p>
    <w:p w:rsidR="00137589" w:rsidRPr="00EC3F8F" w:rsidRDefault="00137589" w:rsidP="00137589">
      <w:pPr>
        <w:jc w:val="center"/>
        <w:rPr>
          <w:lang w:val="pt-PT"/>
        </w:rPr>
      </w:pPr>
    </w:p>
    <w:p w:rsidR="006B0CD0" w:rsidRPr="00EC3F8F" w:rsidRDefault="006B0CD0" w:rsidP="00137589">
      <w:pPr>
        <w:jc w:val="center"/>
        <w:rPr>
          <w:lang w:val="pt-PT"/>
        </w:rPr>
      </w:pPr>
      <w:r w:rsidRPr="00EC3F8F">
        <w:rPr>
          <w:lang w:val="pt-PT"/>
        </w:rPr>
        <w:t>Filipa Santos Machado</w:t>
      </w:r>
    </w:p>
    <w:p w:rsidR="006B0CD0" w:rsidRDefault="006B0CD0" w:rsidP="00137589">
      <w:pPr>
        <w:jc w:val="center"/>
      </w:pPr>
      <w:r>
        <w:t>Collège d’Europe, Bruges</w:t>
      </w:r>
    </w:p>
    <w:p w:rsidR="006B0CD0" w:rsidRDefault="00D36D34" w:rsidP="00137589">
      <w:pPr>
        <w:jc w:val="center"/>
      </w:pPr>
      <w:hyperlink r:id="rId10" w:history="1">
        <w:r w:rsidR="00D26381" w:rsidRPr="004A1D89">
          <w:rPr>
            <w:rStyle w:val="Hyperlink"/>
          </w:rPr>
          <w:t>FilipaSantosMachado@hotmail.com</w:t>
        </w:r>
      </w:hyperlink>
    </w:p>
    <w:p w:rsidR="00D26381" w:rsidRDefault="00D26381" w:rsidP="00137589">
      <w:pPr>
        <w:jc w:val="center"/>
      </w:pPr>
    </w:p>
    <w:p w:rsidR="00137589" w:rsidRDefault="00137589" w:rsidP="00137589">
      <w:pPr>
        <w:jc w:val="center"/>
      </w:pPr>
    </w:p>
    <w:p w:rsidR="00137589" w:rsidRDefault="00137589" w:rsidP="00137589">
      <w:pPr>
        <w:jc w:val="center"/>
      </w:pPr>
    </w:p>
    <w:p w:rsidR="00137589" w:rsidRDefault="00137589" w:rsidP="00137589">
      <w:pPr>
        <w:jc w:val="center"/>
      </w:pPr>
    </w:p>
    <w:p w:rsidR="00137589" w:rsidRDefault="00137589" w:rsidP="00137589">
      <w:pPr>
        <w:jc w:val="center"/>
      </w:pPr>
    </w:p>
    <w:p w:rsidR="00137589" w:rsidRDefault="00137589" w:rsidP="00137589">
      <w:pPr>
        <w:jc w:val="center"/>
      </w:pPr>
    </w:p>
    <w:p w:rsidR="00137589" w:rsidRDefault="00137589" w:rsidP="00137589">
      <w:pPr>
        <w:jc w:val="center"/>
      </w:pPr>
    </w:p>
    <w:p w:rsidR="00137589" w:rsidRDefault="00137589" w:rsidP="00137589">
      <w:pPr>
        <w:jc w:val="center"/>
      </w:pPr>
    </w:p>
    <w:p w:rsidR="00137589" w:rsidRDefault="00137589" w:rsidP="00137589">
      <w:pPr>
        <w:jc w:val="center"/>
      </w:pPr>
    </w:p>
    <w:p w:rsidR="00137589" w:rsidRDefault="00137589" w:rsidP="00137589">
      <w:pPr>
        <w:jc w:val="center"/>
        <w:rPr>
          <w:noProof w:val="0"/>
        </w:rPr>
      </w:pPr>
      <w:r>
        <w:t>Lisbon, September 2017</w:t>
      </w:r>
      <w:r>
        <w:rPr>
          <w:noProof w:val="0"/>
        </w:rPr>
        <w:br w:type="page"/>
      </w:r>
    </w:p>
    <w:p w:rsidR="00137589" w:rsidRDefault="00137589" w:rsidP="00137589">
      <w:pPr>
        <w:rPr>
          <w:b/>
          <w:noProof w:val="0"/>
        </w:rPr>
      </w:pPr>
    </w:p>
    <w:p w:rsidR="0039030B" w:rsidRDefault="0039030B" w:rsidP="00137589">
      <w:pPr>
        <w:rPr>
          <w:b/>
          <w:noProof w:val="0"/>
        </w:rPr>
      </w:pPr>
    </w:p>
    <w:p w:rsidR="00137589" w:rsidRDefault="00137589" w:rsidP="00137589">
      <w:r w:rsidRPr="00137589">
        <w:rPr>
          <w:b/>
          <w:noProof w:val="0"/>
        </w:rPr>
        <w:t>Abstract:</w:t>
      </w:r>
      <w:r>
        <w:rPr>
          <w:noProof w:val="0"/>
        </w:rPr>
        <w:t xml:space="preserve"> </w:t>
      </w:r>
      <w:r>
        <w:t>The Portuguese economy passed through two massive institutional shocks in the period from 1960 to 2015: in 1975, with one of the largest nationalisation programmes ever in the Western world; and in the late-1980s, with one of the largest privatisation programmes ever in the world. We assess how these shocks affected competition in commercial banking through statistical tests of the Panzar-Rosse type. Interesting conclusions result, namely that the nationalisation period did not imply a reduction in competition and that the privatisation period might have meant a reduction in competition. We provide a few hypotheses to understand these counterintuitive results.</w:t>
      </w:r>
    </w:p>
    <w:p w:rsidR="009F11BF" w:rsidRDefault="009F11BF" w:rsidP="00642D61">
      <w:pPr>
        <w:spacing w:after="0" w:line="480" w:lineRule="auto"/>
        <w:ind w:firstLine="567"/>
        <w:jc w:val="both"/>
        <w:rPr>
          <w:noProof w:val="0"/>
        </w:rPr>
      </w:pPr>
    </w:p>
    <w:p w:rsidR="00137589" w:rsidRDefault="00137589" w:rsidP="00642D61">
      <w:pPr>
        <w:spacing w:after="0" w:line="480" w:lineRule="auto"/>
        <w:ind w:firstLine="567"/>
        <w:jc w:val="both"/>
        <w:rPr>
          <w:noProof w:val="0"/>
        </w:rPr>
      </w:pPr>
    </w:p>
    <w:p w:rsidR="00137589" w:rsidRPr="009F11BF" w:rsidRDefault="00137589" w:rsidP="00642D61">
      <w:pPr>
        <w:spacing w:after="0" w:line="480" w:lineRule="auto"/>
        <w:ind w:firstLine="567"/>
        <w:jc w:val="both"/>
        <w:rPr>
          <w:noProof w:val="0"/>
        </w:rPr>
      </w:pPr>
    </w:p>
    <w:p w:rsidR="00182D96" w:rsidRPr="00182D96" w:rsidRDefault="00182D96" w:rsidP="00642D61">
      <w:pPr>
        <w:spacing w:after="0" w:line="480" w:lineRule="auto"/>
        <w:ind w:firstLine="567"/>
        <w:jc w:val="both"/>
        <w:rPr>
          <w:b/>
          <w:noProof w:val="0"/>
        </w:rPr>
      </w:pPr>
      <w:r w:rsidRPr="00182D96">
        <w:rPr>
          <w:b/>
          <w:noProof w:val="0"/>
        </w:rPr>
        <w:t>Introduction</w:t>
      </w:r>
    </w:p>
    <w:p w:rsidR="00EB2354" w:rsidRDefault="00642D61" w:rsidP="00642D61">
      <w:pPr>
        <w:spacing w:after="0" w:line="480" w:lineRule="auto"/>
        <w:ind w:firstLine="567"/>
        <w:jc w:val="both"/>
        <w:rPr>
          <w:noProof w:val="0"/>
        </w:rPr>
      </w:pPr>
      <w:r w:rsidRPr="00137589">
        <w:rPr>
          <w:noProof w:val="0"/>
        </w:rPr>
        <w:t>The Portuguese economy was affected b</w:t>
      </w:r>
      <w:r w:rsidR="00B13524" w:rsidRPr="00137589">
        <w:rPr>
          <w:noProof w:val="0"/>
        </w:rPr>
        <w:t>y</w:t>
      </w:r>
      <w:r w:rsidRPr="00137589">
        <w:rPr>
          <w:noProof w:val="0"/>
        </w:rPr>
        <w:t xml:space="preserve"> two radical institutional shocks in the period ranging from 1960 until the early twenty-first century. The first shock took place in 1975, when a massive nationalisation programme led to one of the largest transfers of private property into public hands in Western Europe. The second occurred in the early 1990s, with a shift of a totally opposite sign, thanks to one of the largest privatisation programmes ever. These shocks made the economy pass through three different periods of strongly contrasting regulatory frameworks: from 1960 to 1975, from 1975 to the early 1990s, and from the early 1990s to 2015. In each period the issue of competition was dealt with in</w:t>
      </w:r>
      <w:r w:rsidR="00EB2354">
        <w:rPr>
          <w:noProof w:val="0"/>
        </w:rPr>
        <w:t xml:space="preserve"> a completely different manner. In the first period, </w:t>
      </w:r>
      <w:r w:rsidR="0039030B">
        <w:rPr>
          <w:noProof w:val="0"/>
        </w:rPr>
        <w:t>the purpose of</w:t>
      </w:r>
      <w:r w:rsidR="00EB2354">
        <w:rPr>
          <w:noProof w:val="0"/>
        </w:rPr>
        <w:t xml:space="preserve"> regulation </w:t>
      </w:r>
      <w:r w:rsidR="0039030B">
        <w:rPr>
          <w:noProof w:val="0"/>
        </w:rPr>
        <w:t>in the various markets was to restrict</w:t>
      </w:r>
      <w:r w:rsidR="00EB2354">
        <w:rPr>
          <w:noProof w:val="0"/>
        </w:rPr>
        <w:t xml:space="preserve"> competition heavily; in the second, </w:t>
      </w:r>
      <w:r w:rsidR="0039030B">
        <w:rPr>
          <w:noProof w:val="0"/>
        </w:rPr>
        <w:t>such a purpose was</w:t>
      </w:r>
      <w:r w:rsidR="00EB2354">
        <w:rPr>
          <w:noProof w:val="0"/>
        </w:rPr>
        <w:t xml:space="preserve"> even </w:t>
      </w:r>
      <w:r w:rsidR="0039030B">
        <w:rPr>
          <w:noProof w:val="0"/>
        </w:rPr>
        <w:t>clearer</w:t>
      </w:r>
      <w:r w:rsidR="00EB2354">
        <w:rPr>
          <w:noProof w:val="0"/>
        </w:rPr>
        <w:t xml:space="preserve">, as a large part of the economy was in the hands of the State, with various public monopolies being created; in the third, there was a </w:t>
      </w:r>
      <w:r w:rsidR="0039030B">
        <w:rPr>
          <w:noProof w:val="0"/>
        </w:rPr>
        <w:t>radical change in the spirit of regulation, now informed by liberalising and pro-competition principles</w:t>
      </w:r>
      <w:r w:rsidR="00EB2354">
        <w:rPr>
          <w:noProof w:val="0"/>
        </w:rPr>
        <w:t>.</w:t>
      </w:r>
    </w:p>
    <w:p w:rsidR="00642D61" w:rsidRPr="00137589" w:rsidRDefault="00642D61" w:rsidP="00642D61">
      <w:pPr>
        <w:spacing w:after="0" w:line="480" w:lineRule="auto"/>
        <w:ind w:firstLine="567"/>
        <w:jc w:val="both"/>
        <w:rPr>
          <w:noProof w:val="0"/>
        </w:rPr>
      </w:pPr>
      <w:r w:rsidRPr="00137589">
        <w:rPr>
          <w:noProof w:val="0"/>
        </w:rPr>
        <w:t>The banking market was directly affected by these changes. What we do in this paper is to assess the impact on competition in commercial banking of the mentioned three different institutional settings. In order to do so we use a statistical test developed by James Rosse and John Panzar (Rosse and Panzar, 1977, and Panzar and Rosse, 1987), allowing to measure and classify competition.</w:t>
      </w:r>
      <w:r w:rsidR="00EB2354">
        <w:rPr>
          <w:noProof w:val="0"/>
        </w:rPr>
        <w:t xml:space="preserve"> We would expect competition to be very limited in the first period, verging on non-</w:t>
      </w:r>
      <w:r w:rsidR="00EB2354">
        <w:rPr>
          <w:noProof w:val="0"/>
        </w:rPr>
        <w:lastRenderedPageBreak/>
        <w:t>existent</w:t>
      </w:r>
      <w:r w:rsidR="0039030B">
        <w:rPr>
          <w:noProof w:val="0"/>
        </w:rPr>
        <w:t>; we would also expect competition</w:t>
      </w:r>
      <w:r w:rsidR="00EB2354">
        <w:rPr>
          <w:noProof w:val="0"/>
        </w:rPr>
        <w:t xml:space="preserve"> to virtually disappear in the second, as all commercial banks became State-owned, and to re-emerge strongly in the third, with privatisation and a nominally competition-friendly new </w:t>
      </w:r>
      <w:r w:rsidR="0039030B">
        <w:rPr>
          <w:noProof w:val="0"/>
        </w:rPr>
        <w:t>environment</w:t>
      </w:r>
      <w:r w:rsidR="00EB2354">
        <w:rPr>
          <w:noProof w:val="0"/>
        </w:rPr>
        <w:t>. However, as we will see below, that is not what</w:t>
      </w:r>
      <w:r w:rsidR="005D0B8F">
        <w:rPr>
          <w:noProof w:val="0"/>
        </w:rPr>
        <w:t xml:space="preserve"> happened</w:t>
      </w:r>
      <w:r w:rsidR="00EB2354">
        <w:rPr>
          <w:noProof w:val="0"/>
        </w:rPr>
        <w:t>.</w:t>
      </w:r>
      <w:r w:rsidR="005D0B8F">
        <w:rPr>
          <w:noProof w:val="0"/>
        </w:rPr>
        <w:t xml:space="preserve"> </w:t>
      </w:r>
      <w:r w:rsidR="00EB2354">
        <w:rPr>
          <w:noProof w:val="0"/>
        </w:rPr>
        <w:t xml:space="preserve">Not anticipating much, our Panzar-Rosse tests show strong competition in the commercial banking market in the first period, weaker competition in the second and even weaker in the third, </w:t>
      </w:r>
      <w:r w:rsidR="005D0B8F">
        <w:rPr>
          <w:noProof w:val="0"/>
        </w:rPr>
        <w:t xml:space="preserve">pointing to </w:t>
      </w:r>
      <w:r w:rsidR="0039030B">
        <w:rPr>
          <w:noProof w:val="0"/>
        </w:rPr>
        <w:t xml:space="preserve">the appearance of </w:t>
      </w:r>
      <w:r w:rsidR="005D0B8F">
        <w:rPr>
          <w:noProof w:val="0"/>
        </w:rPr>
        <w:t xml:space="preserve">a collusive oligopoly. These counterintuitive results need an explanation, which we can only partially provide here. An agenda for future research </w:t>
      </w:r>
      <w:r w:rsidR="002A7183">
        <w:rPr>
          <w:noProof w:val="0"/>
        </w:rPr>
        <w:t>will</w:t>
      </w:r>
      <w:r w:rsidR="005D0B8F">
        <w:rPr>
          <w:noProof w:val="0"/>
        </w:rPr>
        <w:t xml:space="preserve"> </w:t>
      </w:r>
      <w:r w:rsidR="002A7183">
        <w:rPr>
          <w:noProof w:val="0"/>
        </w:rPr>
        <w:t xml:space="preserve">have </w:t>
      </w:r>
      <w:r w:rsidR="005D0B8F">
        <w:rPr>
          <w:noProof w:val="0"/>
        </w:rPr>
        <w:t xml:space="preserve">to look into each of these periods in detail in order to find a rationale for the </w:t>
      </w:r>
      <w:r w:rsidR="0039030B">
        <w:rPr>
          <w:noProof w:val="0"/>
        </w:rPr>
        <w:t xml:space="preserve">different </w:t>
      </w:r>
      <w:r w:rsidR="005D0B8F">
        <w:rPr>
          <w:noProof w:val="0"/>
        </w:rPr>
        <w:t>behaviour</w:t>
      </w:r>
      <w:r w:rsidR="0039030B">
        <w:rPr>
          <w:noProof w:val="0"/>
        </w:rPr>
        <w:t>s</w:t>
      </w:r>
      <w:r w:rsidR="005D0B8F">
        <w:rPr>
          <w:noProof w:val="0"/>
        </w:rPr>
        <w:t xml:space="preserve"> of the market.</w:t>
      </w:r>
    </w:p>
    <w:p w:rsidR="00642D61" w:rsidRPr="00137589" w:rsidRDefault="00642D61" w:rsidP="00642D61">
      <w:pPr>
        <w:spacing w:after="0" w:line="480" w:lineRule="auto"/>
        <w:ind w:firstLine="567"/>
        <w:jc w:val="both"/>
        <w:rPr>
          <w:noProof w:val="0"/>
        </w:rPr>
      </w:pPr>
      <w:r w:rsidRPr="00137589">
        <w:rPr>
          <w:noProof w:val="0"/>
        </w:rPr>
        <w:t>The issue of competition has been at the centre of contemporary economic and business history. A trend toward concentration and oligopoly in the twentieth century has been famously identified by Alfred Chandler (1977 and 1990), following Ronald Coase’s (1937) and Oliver Williamson’s (1975 and 1981) lead. However, the analysis of this trend has been applied mostly to large developed economies, such as the US, the UK or Germany. This paper should be understood as a contribution to expand it to small and relatively less developed economies.</w:t>
      </w:r>
    </w:p>
    <w:p w:rsidR="00642D61" w:rsidRPr="00137589" w:rsidRDefault="00642D61" w:rsidP="00642D61">
      <w:pPr>
        <w:spacing w:after="0" w:line="480" w:lineRule="auto"/>
        <w:ind w:firstLine="567"/>
        <w:jc w:val="both"/>
        <w:rPr>
          <w:noProof w:val="0"/>
        </w:rPr>
      </w:pPr>
      <w:r w:rsidRPr="00137589">
        <w:rPr>
          <w:noProof w:val="0"/>
        </w:rPr>
        <w:t xml:space="preserve">Banking is a special sector which has been subject to strong legislative interventions, most of them with the issue of competition in mind. Most western governments tried to limit banking competition by introducing fiercely anti-competitive legislation in a large part of the twentieth century (at least from the 1920s to the 1970s); most inverted stance from the 1980s onwards and adopted liberalising measures (AAVV, 1994, and Cassis </w:t>
      </w:r>
      <w:r w:rsidRPr="00137589">
        <w:rPr>
          <w:i/>
          <w:noProof w:val="0"/>
        </w:rPr>
        <w:t>et al.</w:t>
      </w:r>
      <w:r w:rsidRPr="00137589">
        <w:rPr>
          <w:noProof w:val="0"/>
        </w:rPr>
        <w:t xml:space="preserve">, 1995). The effectiveness of these various waves of legislation has, however, been questioned by many authors, who have showed that, in the period when countries adopted the strongest legal restrictions, their banking markets displayed signs of competition that were similar to those existing in later periods, when liberalisation was the norm (Bordo </w:t>
      </w:r>
      <w:r w:rsidR="00B734BB" w:rsidRPr="00137589">
        <w:rPr>
          <w:i/>
          <w:noProof w:val="0"/>
        </w:rPr>
        <w:t>et al.</w:t>
      </w:r>
      <w:r w:rsidRPr="00137589">
        <w:rPr>
          <w:noProof w:val="0"/>
        </w:rPr>
        <w:t>, 1994, Battilossi, 2000, Capie and Billings, 2004, Pons, 2002, Pueyo, 2003, or Amaral, 2013 and 2015</w:t>
      </w:r>
      <w:r w:rsidR="009350C2" w:rsidRPr="00137589">
        <w:rPr>
          <w:noProof w:val="0"/>
        </w:rPr>
        <w:t>a</w:t>
      </w:r>
      <w:r w:rsidRPr="00137589">
        <w:rPr>
          <w:noProof w:val="0"/>
        </w:rPr>
        <w:t xml:space="preserve">). Other authors have shown that the liberalisation process after the 1980s brought increasing concentration in banking markets, especially during the 1990s and the early twenty-first century, but also that such a process was not necessarily synonym with less competition: </w:t>
      </w:r>
      <w:r w:rsidRPr="00137589">
        <w:rPr>
          <w:noProof w:val="0"/>
        </w:rPr>
        <w:lastRenderedPageBreak/>
        <w:t xml:space="preserve">whilst the evidence on concentration does not pose doubts, the evidence on competition is ambiguous, increasing in some countries while decreasing in others (Bandt and Davies, 2000, Bikker and Haaf, 2002, Bikker </w:t>
      </w:r>
      <w:r w:rsidRPr="00137589">
        <w:rPr>
          <w:i/>
          <w:noProof w:val="0"/>
        </w:rPr>
        <w:t>et al.</w:t>
      </w:r>
      <w:r w:rsidRPr="00137589">
        <w:rPr>
          <w:noProof w:val="0"/>
        </w:rPr>
        <w:t xml:space="preserve">, 2007, Beck, 2008, OECD, 2010 and 2011, Anginer </w:t>
      </w:r>
      <w:r w:rsidRPr="00137589">
        <w:rPr>
          <w:i/>
          <w:noProof w:val="0"/>
        </w:rPr>
        <w:t>et al.</w:t>
      </w:r>
      <w:r w:rsidRPr="00137589">
        <w:rPr>
          <w:noProof w:val="0"/>
        </w:rPr>
        <w:t>, 2012</w:t>
      </w:r>
      <w:r w:rsidR="009350C2" w:rsidRPr="00137589">
        <w:rPr>
          <w:noProof w:val="0"/>
        </w:rPr>
        <w:t xml:space="preserve">, and Bikker </w:t>
      </w:r>
      <w:r w:rsidR="009350C2" w:rsidRPr="00137589">
        <w:rPr>
          <w:i/>
          <w:noProof w:val="0"/>
        </w:rPr>
        <w:t>et al</w:t>
      </w:r>
      <w:r w:rsidR="009350C2" w:rsidRPr="00137589">
        <w:rPr>
          <w:noProof w:val="0"/>
        </w:rPr>
        <w:t>., 2012</w:t>
      </w:r>
      <w:r w:rsidRPr="00137589">
        <w:rPr>
          <w:noProof w:val="0"/>
        </w:rPr>
        <w:t>).</w:t>
      </w:r>
    </w:p>
    <w:p w:rsidR="00642D61" w:rsidRPr="00137589" w:rsidRDefault="00642D61" w:rsidP="00642D61">
      <w:pPr>
        <w:spacing w:after="0" w:line="480" w:lineRule="auto"/>
        <w:ind w:firstLine="567"/>
        <w:jc w:val="both"/>
        <w:rPr>
          <w:noProof w:val="0"/>
        </w:rPr>
      </w:pPr>
      <w:r w:rsidRPr="00137589">
        <w:rPr>
          <w:noProof w:val="0"/>
        </w:rPr>
        <w:t>We use Portugal as an example of a small and relatively less developed economy, and start by assessing if its commercial banking market followed the trend of increasing concentration typical of large and rich economies in the twentieth century; then we assess if competition was affected by that trend. Most studies on the issue of competition in Portugal, in general (Alexandre and Bação, 2012, Amador and Soares, 2013) and in the banking market in particular (Barros and Modesto, 1997, Pinho, 2000, Canhoto, 2004, or Boucinha and Ribeiro, 2009), have focused on recent periods, mostly from the 1990s onward. An indirect and broad analysis for the whole economy in the long-run has been tried by Silva and Neves (2014), through the study of interlocking directorates. Amaral (2013 and 2015</w:t>
      </w:r>
      <w:r w:rsidR="009350C2" w:rsidRPr="00137589">
        <w:rPr>
          <w:noProof w:val="0"/>
        </w:rPr>
        <w:t>a</w:t>
      </w:r>
      <w:r w:rsidRPr="00137589">
        <w:rPr>
          <w:noProof w:val="0"/>
        </w:rPr>
        <w:t>) has contributed with two pieces on the banking market in the 1950-1973 period. The current paper is, thus, the first one measuring competition directly in the long run for a specific sector of the economy.</w:t>
      </w:r>
    </w:p>
    <w:p w:rsidR="00642D61" w:rsidRPr="00137589" w:rsidRDefault="00642D61" w:rsidP="00642D61">
      <w:pPr>
        <w:spacing w:after="0" w:line="480" w:lineRule="auto"/>
        <w:ind w:firstLine="567"/>
        <w:jc w:val="both"/>
        <w:rPr>
          <w:noProof w:val="0"/>
        </w:rPr>
      </w:pPr>
      <w:r w:rsidRPr="00137589">
        <w:rPr>
          <w:noProof w:val="0"/>
        </w:rPr>
        <w:t>The radical institutional shifts that rocked the economy make the Portuguese case a particularly interesting one. The country can almost be seen as a laboratory case of the effect of the main political ideas of the twentieth and twenty-first centuries on the functioning of the economy: the 1960-1974 period corresponded to the last fourteen years of a long lasting authoritarian regime (coming from 1933) which was very suspicious of free markets and competition and regulated the economy accordingly; 1974 was the year of a coup d’état that overthrew the authoritarian regime and initiated a revolutionary process of communist or socialist tendencies, eventually leading to the nationalisation of large swathes of the economy</w:t>
      </w:r>
      <w:r w:rsidR="00B734BB" w:rsidRPr="00137589">
        <w:rPr>
          <w:noProof w:val="0"/>
        </w:rPr>
        <w:t xml:space="preserve"> in 1975</w:t>
      </w:r>
      <w:r w:rsidRPr="00137589">
        <w:rPr>
          <w:noProof w:val="0"/>
        </w:rPr>
        <w:t>, including the entire commercial banking sector; this lasted until the late-1980s and early-1990s, when a liberalising wave swept the country and reverted virtually all previous nationalisations and the country entered into an institutional environment that should have been more favourable to competition.</w:t>
      </w:r>
    </w:p>
    <w:p w:rsidR="006F01BC" w:rsidRPr="00137589" w:rsidRDefault="00642D61" w:rsidP="00642D61">
      <w:pPr>
        <w:spacing w:after="0" w:line="480" w:lineRule="auto"/>
        <w:ind w:firstLine="567"/>
        <w:jc w:val="both"/>
        <w:rPr>
          <w:noProof w:val="0"/>
        </w:rPr>
      </w:pPr>
      <w:r w:rsidRPr="00137589">
        <w:rPr>
          <w:noProof w:val="0"/>
        </w:rPr>
        <w:lastRenderedPageBreak/>
        <w:t>The purpose of this paper is to assess how competition in the commercial banking sector evolved throughout these dra</w:t>
      </w:r>
      <w:r w:rsidR="006F01BC" w:rsidRPr="00137589">
        <w:rPr>
          <w:noProof w:val="0"/>
        </w:rPr>
        <w:t>stic changes. In order to do it</w:t>
      </w:r>
      <w:r w:rsidRPr="00137589">
        <w:rPr>
          <w:noProof w:val="0"/>
        </w:rPr>
        <w:t xml:space="preserve"> we go beyond the simple description of legislative measures as well as simple measures of concentration of the market, which are sometimes assumed as being equivalent to competition. Instead we implement a series of tests of the Panzar-Rosse type which measure directly competition using banks’ balance sheets as data sources.</w:t>
      </w:r>
      <w:r w:rsidR="002E0FEA" w:rsidRPr="00137589">
        <w:rPr>
          <w:noProof w:val="0"/>
        </w:rPr>
        <w:t xml:space="preserve"> These tests allow to classify competition into three categories: perfect competition, </w:t>
      </w:r>
      <w:r w:rsidR="001823B5" w:rsidRPr="00137589">
        <w:rPr>
          <w:noProof w:val="0"/>
        </w:rPr>
        <w:t xml:space="preserve">monopolistic competition (a form of oligopoly </w:t>
      </w:r>
      <w:r w:rsidR="001C3BDF" w:rsidRPr="00137589">
        <w:rPr>
          <w:noProof w:val="0"/>
        </w:rPr>
        <w:t>the outcome of which is</w:t>
      </w:r>
      <w:r w:rsidR="001823B5" w:rsidRPr="00137589">
        <w:rPr>
          <w:noProof w:val="0"/>
        </w:rPr>
        <w:t xml:space="preserve"> similar to perfect competition</w:t>
      </w:r>
      <w:r w:rsidR="001C3BDF" w:rsidRPr="00137589">
        <w:rPr>
          <w:noProof w:val="0"/>
        </w:rPr>
        <w:t xml:space="preserve"> in the long-run, although not in the sh</w:t>
      </w:r>
      <w:r w:rsidR="00781DA3" w:rsidRPr="00137589">
        <w:rPr>
          <w:noProof w:val="0"/>
        </w:rPr>
        <w:t>o</w:t>
      </w:r>
      <w:r w:rsidR="001C3BDF" w:rsidRPr="00137589">
        <w:rPr>
          <w:noProof w:val="0"/>
        </w:rPr>
        <w:t>rt-run)</w:t>
      </w:r>
      <w:r w:rsidR="00781DA3" w:rsidRPr="00137589">
        <w:rPr>
          <w:noProof w:val="0"/>
        </w:rPr>
        <w:t xml:space="preserve"> and a perfectly collusive oligopoly.</w:t>
      </w:r>
    </w:p>
    <w:p w:rsidR="00642D61" w:rsidRPr="00137589" w:rsidRDefault="005D0B8F" w:rsidP="00642D61">
      <w:pPr>
        <w:spacing w:after="0" w:line="480" w:lineRule="auto"/>
        <w:ind w:firstLine="567"/>
        <w:jc w:val="both"/>
        <w:rPr>
          <w:noProof w:val="0"/>
        </w:rPr>
      </w:pPr>
      <w:r>
        <w:rPr>
          <w:noProof w:val="0"/>
        </w:rPr>
        <w:t>As already hinted above, t</w:t>
      </w:r>
      <w:r w:rsidR="006F01BC" w:rsidRPr="00137589">
        <w:rPr>
          <w:noProof w:val="0"/>
        </w:rPr>
        <w:t>he results in this paper</w:t>
      </w:r>
      <w:r w:rsidR="002E0FEA" w:rsidRPr="00137589">
        <w:rPr>
          <w:noProof w:val="0"/>
        </w:rPr>
        <w:t xml:space="preserve"> are </w:t>
      </w:r>
      <w:r w:rsidR="008F135D" w:rsidRPr="00137589">
        <w:rPr>
          <w:noProof w:val="0"/>
        </w:rPr>
        <w:t xml:space="preserve">sometimes </w:t>
      </w:r>
      <w:r w:rsidR="002E0FEA" w:rsidRPr="00137589">
        <w:rPr>
          <w:noProof w:val="0"/>
        </w:rPr>
        <w:t xml:space="preserve">surprising. According to some of </w:t>
      </w:r>
      <w:r w:rsidR="006F01BC" w:rsidRPr="00137589">
        <w:rPr>
          <w:noProof w:val="0"/>
        </w:rPr>
        <w:t>them</w:t>
      </w:r>
      <w:r w:rsidR="002E0FEA" w:rsidRPr="00137589">
        <w:rPr>
          <w:noProof w:val="0"/>
        </w:rPr>
        <w:t xml:space="preserve">, </w:t>
      </w:r>
      <w:r w:rsidR="009350C2" w:rsidRPr="00137589">
        <w:rPr>
          <w:noProof w:val="0"/>
        </w:rPr>
        <w:t>there are</w:t>
      </w:r>
      <w:r w:rsidR="00781DA3" w:rsidRPr="00137589">
        <w:rPr>
          <w:noProof w:val="0"/>
        </w:rPr>
        <w:t xml:space="preserve"> signs of perfect competition in the 1960-</w:t>
      </w:r>
      <w:r w:rsidR="00D95DFF" w:rsidRPr="00137589">
        <w:rPr>
          <w:noProof w:val="0"/>
        </w:rPr>
        <w:t>19</w:t>
      </w:r>
      <w:r w:rsidR="00781DA3" w:rsidRPr="00137589">
        <w:rPr>
          <w:noProof w:val="0"/>
        </w:rPr>
        <w:t>75 period</w:t>
      </w:r>
      <w:r w:rsidR="00D95DFF" w:rsidRPr="00137589">
        <w:rPr>
          <w:noProof w:val="0"/>
        </w:rPr>
        <w:t xml:space="preserve">, despite the heavily restrictive institutional setting, and signs of a colluding oligopoly after the 1980s, despite the increasingly liberalising framework. </w:t>
      </w:r>
      <w:r w:rsidR="006F01BC" w:rsidRPr="00137589">
        <w:rPr>
          <w:noProof w:val="0"/>
        </w:rPr>
        <w:t xml:space="preserve">The tests suggest </w:t>
      </w:r>
      <w:r w:rsidR="009D7907" w:rsidRPr="00137589">
        <w:rPr>
          <w:noProof w:val="0"/>
        </w:rPr>
        <w:t xml:space="preserve">furthermore </w:t>
      </w:r>
      <w:r w:rsidR="006F01BC" w:rsidRPr="00137589">
        <w:rPr>
          <w:noProof w:val="0"/>
        </w:rPr>
        <w:t>that</w:t>
      </w:r>
      <w:r w:rsidR="00D95DFF" w:rsidRPr="00137589">
        <w:rPr>
          <w:noProof w:val="0"/>
        </w:rPr>
        <w:t xml:space="preserve"> commercial banking presented stronger competitive signs </w:t>
      </w:r>
      <w:r w:rsidR="006176B7" w:rsidRPr="00137589">
        <w:rPr>
          <w:noProof w:val="0"/>
        </w:rPr>
        <w:t xml:space="preserve">during the period of integral State-ownership between 1975 and the mid-1980s than afterwards, when banks were privatised and the legislative setting </w:t>
      </w:r>
      <w:r w:rsidR="006F01BC" w:rsidRPr="00137589">
        <w:rPr>
          <w:noProof w:val="0"/>
        </w:rPr>
        <w:t>had the explicit objective of</w:t>
      </w:r>
      <w:r w:rsidR="006176B7" w:rsidRPr="00137589">
        <w:rPr>
          <w:noProof w:val="0"/>
        </w:rPr>
        <w:t xml:space="preserve"> promoting competition.</w:t>
      </w:r>
      <w:r w:rsidR="0039030B">
        <w:rPr>
          <w:noProof w:val="0"/>
        </w:rPr>
        <w:t xml:space="preserve"> This raises the issue of the differentiation between the purpose of the law and the actual behaviour of the agents in the market</w:t>
      </w:r>
    </w:p>
    <w:p w:rsidR="00642D61" w:rsidRPr="00137589" w:rsidRDefault="00642D61" w:rsidP="00642D61">
      <w:pPr>
        <w:spacing w:after="0" w:line="480" w:lineRule="auto"/>
        <w:ind w:firstLine="567"/>
        <w:jc w:val="both"/>
        <w:rPr>
          <w:noProof w:val="0"/>
        </w:rPr>
      </w:pPr>
      <w:r w:rsidRPr="00137589">
        <w:rPr>
          <w:noProof w:val="0"/>
        </w:rPr>
        <w:t xml:space="preserve">We should start by establishing the relevance of the object </w:t>
      </w:r>
      <w:r w:rsidR="008F135D" w:rsidRPr="00137589">
        <w:rPr>
          <w:noProof w:val="0"/>
        </w:rPr>
        <w:t>of our paper</w:t>
      </w:r>
      <w:r w:rsidRPr="00137589">
        <w:rPr>
          <w:noProof w:val="0"/>
        </w:rPr>
        <w:t xml:space="preserve">. In such a long period and with such drastic swings in institutional environment it is only natural that commercial banking has not retained a constant quantitative importance in the financial sector. Figure 1 shows the share of assets in commercial banks as </w:t>
      </w:r>
      <w:r w:rsidR="006D210D" w:rsidRPr="00137589">
        <w:rPr>
          <w:noProof w:val="0"/>
        </w:rPr>
        <w:t xml:space="preserve">a </w:t>
      </w:r>
      <w:r w:rsidRPr="00137589">
        <w:rPr>
          <w:noProof w:val="0"/>
        </w:rPr>
        <w:t>proportion of all financial assets in the Portuguese economy between 1960 and 2006.</w:t>
      </w:r>
      <w:r w:rsidRPr="00137589">
        <w:rPr>
          <w:rStyle w:val="EndnoteReference"/>
          <w:noProof w:val="0"/>
        </w:rPr>
        <w:endnoteReference w:id="1"/>
      </w:r>
      <w:r w:rsidRPr="00137589">
        <w:rPr>
          <w:noProof w:val="0"/>
        </w:rPr>
        <w:t xml:space="preserve"> The figures are worth a few comments. The first</w:t>
      </w:r>
      <w:r w:rsidR="006F01BC" w:rsidRPr="00137589">
        <w:rPr>
          <w:noProof w:val="0"/>
        </w:rPr>
        <w:t xml:space="preserve"> comment</w:t>
      </w:r>
      <w:r w:rsidRPr="00137589">
        <w:rPr>
          <w:noProof w:val="0"/>
        </w:rPr>
        <w:t xml:space="preserve"> is that we are talking of a branch that was consistently the largest within the financial sector, something that should be enough to stress the relevance of our study. The second is that we can identify essentially three periods in what respects that importance. The first went from 1960 to 1975, during which the asset share of commercial banks ranged between 80% and 90% of all the financial sector. The second period went from 1975 to the 1980s, when the asset share of commercial banks declined consistently to 65% until 1986 and then stabilised, until the early 1990s. As Figure 1 shows this </w:t>
      </w:r>
      <w:r w:rsidRPr="00137589">
        <w:rPr>
          <w:noProof w:val="0"/>
        </w:rPr>
        <w:lastRenderedPageBreak/>
        <w:t xml:space="preserve">decline occurred mostly to the benefit of savings banks, a section of the market overwhelmingly dominated by Caixa Geral de Depósitos (CGD), the State-owned savings bank and the only savings bank of relevant dimension. In a final period there was a massive recovery of the importance of commercial banks, reaching unprecedented levels – around more than 90% of financial assets. A large part of this was, however, the result of the institutional reclassification of CGD, which lost its </w:t>
      </w:r>
      <w:r w:rsidR="006F01BC" w:rsidRPr="00137589">
        <w:rPr>
          <w:noProof w:val="0"/>
        </w:rPr>
        <w:t>nature of a savings bank in 1993</w:t>
      </w:r>
      <w:r w:rsidRPr="00137589">
        <w:rPr>
          <w:noProof w:val="0"/>
        </w:rPr>
        <w:t xml:space="preserve"> to assume that of a </w:t>
      </w:r>
      <w:r w:rsidR="00842605" w:rsidRPr="00137589">
        <w:rPr>
          <w:noProof w:val="0"/>
        </w:rPr>
        <w:t>universal</w:t>
      </w:r>
      <w:r w:rsidRPr="00137589">
        <w:rPr>
          <w:noProof w:val="0"/>
        </w:rPr>
        <w:t xml:space="preserve"> bank, as we will see below. In fact, in this last period the differentiation between commercial and savings banks became increasingly less relevant as most banks acquired the nature of universal banks, a principle introduced through the norms of the European Union.</w:t>
      </w:r>
    </w:p>
    <w:p w:rsidR="00642D61" w:rsidRPr="00137589" w:rsidRDefault="008F135D" w:rsidP="00642D61">
      <w:pPr>
        <w:spacing w:after="0" w:line="480" w:lineRule="auto"/>
        <w:ind w:firstLine="567"/>
        <w:jc w:val="both"/>
        <w:rPr>
          <w:noProof w:val="0"/>
        </w:rPr>
      </w:pPr>
      <w:r w:rsidRPr="00137589">
        <w:rPr>
          <w:noProof w:val="0"/>
        </w:rPr>
        <w:t>The remainder of the</w:t>
      </w:r>
      <w:r w:rsidR="00642D61" w:rsidRPr="00137589">
        <w:rPr>
          <w:noProof w:val="0"/>
        </w:rPr>
        <w:t xml:space="preserve"> paper goes as follows:</w:t>
      </w:r>
    </w:p>
    <w:p w:rsidR="006176B7" w:rsidRDefault="006176B7" w:rsidP="00642D61">
      <w:pPr>
        <w:spacing w:after="0" w:line="480" w:lineRule="auto"/>
        <w:ind w:firstLine="567"/>
        <w:jc w:val="both"/>
        <w:rPr>
          <w:noProof w:val="0"/>
        </w:rPr>
      </w:pPr>
      <w:r w:rsidRPr="00137589">
        <w:rPr>
          <w:noProof w:val="0"/>
        </w:rPr>
        <w:t xml:space="preserve">In Section 1 we present the legislative framework of each of the periods studied and also the evolution of the market in terms of the number of </w:t>
      </w:r>
      <w:r w:rsidR="008F135D" w:rsidRPr="00137589">
        <w:rPr>
          <w:noProof w:val="0"/>
        </w:rPr>
        <w:t>banks</w:t>
      </w:r>
      <w:r w:rsidRPr="00137589">
        <w:rPr>
          <w:noProof w:val="0"/>
        </w:rPr>
        <w:t xml:space="preserve"> and degree of concentration. In Section </w:t>
      </w:r>
      <w:r w:rsidR="008F135D" w:rsidRPr="00137589">
        <w:rPr>
          <w:noProof w:val="0"/>
        </w:rPr>
        <w:t xml:space="preserve">2 </w:t>
      </w:r>
      <w:r w:rsidRPr="00137589">
        <w:rPr>
          <w:noProof w:val="0"/>
        </w:rPr>
        <w:t xml:space="preserve">we present the statistical model used. In Section 3 we present the sources of our data, which are basically the banks’ annual reports from 1960 to </w:t>
      </w:r>
      <w:r w:rsidR="009D7907" w:rsidRPr="00137589">
        <w:rPr>
          <w:noProof w:val="0"/>
        </w:rPr>
        <w:t>2015</w:t>
      </w:r>
      <w:r w:rsidRPr="00137589">
        <w:rPr>
          <w:noProof w:val="0"/>
        </w:rPr>
        <w:t>. In Section 4 we show the results of the tests and in Section 5 we discuss them, taking into consideration their relevance for the issue of competition in the Portuguese economy.</w:t>
      </w:r>
    </w:p>
    <w:p w:rsidR="0013457F" w:rsidRDefault="0013457F" w:rsidP="00BF6326">
      <w:pPr>
        <w:spacing w:after="0" w:line="480" w:lineRule="auto"/>
        <w:ind w:firstLine="567"/>
        <w:jc w:val="both"/>
        <w:rPr>
          <w:noProof w:val="0"/>
        </w:rPr>
      </w:pPr>
    </w:p>
    <w:p w:rsidR="00184F45" w:rsidRPr="009E4B63" w:rsidRDefault="00BE0A1E" w:rsidP="00184F45">
      <w:pPr>
        <w:pStyle w:val="ListParagraph"/>
        <w:numPr>
          <w:ilvl w:val="0"/>
          <w:numId w:val="4"/>
        </w:numPr>
        <w:spacing w:after="0" w:line="480" w:lineRule="auto"/>
        <w:jc w:val="both"/>
        <w:rPr>
          <w:b/>
          <w:noProof w:val="0"/>
        </w:rPr>
      </w:pPr>
      <w:r w:rsidRPr="009E4B63">
        <w:rPr>
          <w:b/>
          <w:noProof w:val="0"/>
        </w:rPr>
        <w:t>Regulation and concentration</w:t>
      </w:r>
    </w:p>
    <w:p w:rsidR="001562FF" w:rsidRPr="009E4B63" w:rsidRDefault="001562FF" w:rsidP="001562FF">
      <w:pPr>
        <w:spacing w:after="0" w:line="480" w:lineRule="auto"/>
        <w:ind w:firstLine="567"/>
        <w:jc w:val="both"/>
        <w:rPr>
          <w:noProof w:val="0"/>
        </w:rPr>
      </w:pPr>
      <w:r w:rsidRPr="009E4B63">
        <w:rPr>
          <w:noProof w:val="0"/>
        </w:rPr>
        <w:t>Next we describe the main legislative features of each of the sub-periods studied and present the basic figures concerning the number of banks in the market and its degree of concentration.</w:t>
      </w:r>
    </w:p>
    <w:p w:rsidR="001562FF" w:rsidRPr="009E4B63" w:rsidRDefault="001562FF" w:rsidP="001562FF">
      <w:pPr>
        <w:spacing w:after="0" w:line="480" w:lineRule="auto"/>
        <w:ind w:firstLine="567"/>
        <w:jc w:val="both"/>
        <w:rPr>
          <w:noProof w:val="0"/>
        </w:rPr>
      </w:pPr>
    </w:p>
    <w:p w:rsidR="00184F45" w:rsidRPr="009E4B63" w:rsidRDefault="00184F45" w:rsidP="00184F45">
      <w:pPr>
        <w:spacing w:after="0" w:line="480" w:lineRule="auto"/>
        <w:ind w:left="567"/>
        <w:jc w:val="both"/>
        <w:rPr>
          <w:b/>
          <w:noProof w:val="0"/>
        </w:rPr>
      </w:pPr>
      <w:r w:rsidRPr="009E4B63">
        <w:rPr>
          <w:b/>
          <w:noProof w:val="0"/>
        </w:rPr>
        <w:t>1a) 1960-1975</w:t>
      </w:r>
    </w:p>
    <w:p w:rsidR="00BE0A1E" w:rsidRPr="00137589" w:rsidRDefault="00BE0A1E" w:rsidP="00184F45">
      <w:pPr>
        <w:spacing w:after="0" w:line="480" w:lineRule="auto"/>
        <w:ind w:firstLine="567"/>
        <w:jc w:val="both"/>
        <w:rPr>
          <w:noProof w:val="0"/>
        </w:rPr>
      </w:pPr>
      <w:r w:rsidRPr="00137589">
        <w:rPr>
          <w:noProof w:val="0"/>
        </w:rPr>
        <w:t xml:space="preserve">The legislative framework </w:t>
      </w:r>
      <w:r w:rsidR="00184F45" w:rsidRPr="00137589">
        <w:rPr>
          <w:noProof w:val="0"/>
        </w:rPr>
        <w:t>of Portuguese banking in the period 1960-1975</w:t>
      </w:r>
      <w:r w:rsidRPr="00137589">
        <w:rPr>
          <w:noProof w:val="0"/>
        </w:rPr>
        <w:t xml:space="preserve"> </w:t>
      </w:r>
      <w:r w:rsidR="00184F45" w:rsidRPr="00137589">
        <w:rPr>
          <w:noProof w:val="0"/>
        </w:rPr>
        <w:t xml:space="preserve">was based on </w:t>
      </w:r>
      <w:r w:rsidRPr="00137589">
        <w:rPr>
          <w:noProof w:val="0"/>
        </w:rPr>
        <w:t>Decree-Law 42,641</w:t>
      </w:r>
      <w:r w:rsidR="00155B85" w:rsidRPr="00137589">
        <w:rPr>
          <w:noProof w:val="0"/>
        </w:rPr>
        <w:t>,</w:t>
      </w:r>
      <w:r w:rsidRPr="00137589">
        <w:rPr>
          <w:noProof w:val="0"/>
        </w:rPr>
        <w:t xml:space="preserve"> of 12 November 1959. Similar</w:t>
      </w:r>
      <w:r w:rsidR="00184F45" w:rsidRPr="00137589">
        <w:rPr>
          <w:noProof w:val="0"/>
        </w:rPr>
        <w:t>ly</w:t>
      </w:r>
      <w:r w:rsidRPr="00137589">
        <w:rPr>
          <w:noProof w:val="0"/>
        </w:rPr>
        <w:t xml:space="preserve"> to the situation existing in most other countries, the Portuguese legal framework included: a) the principle of discretio</w:t>
      </w:r>
      <w:r w:rsidR="006F12AA" w:rsidRPr="00137589">
        <w:rPr>
          <w:noProof w:val="0"/>
        </w:rPr>
        <w:t>nary governmental authoris</w:t>
      </w:r>
      <w:r w:rsidRPr="00137589">
        <w:rPr>
          <w:noProof w:val="0"/>
        </w:rPr>
        <w:t xml:space="preserve">ation for the opening of banks and branches, and for mergers and acquisitions, </w:t>
      </w:r>
      <w:r w:rsidR="001562FF" w:rsidRPr="00137589">
        <w:rPr>
          <w:noProof w:val="0"/>
        </w:rPr>
        <w:t>to which was added an</w:t>
      </w:r>
      <w:r w:rsidR="00184F45" w:rsidRPr="00137589">
        <w:rPr>
          <w:noProof w:val="0"/>
        </w:rPr>
        <w:t xml:space="preserve"> implicit freezing on the number of banks, so</w:t>
      </w:r>
      <w:r w:rsidR="005213F5" w:rsidRPr="00137589">
        <w:rPr>
          <w:noProof w:val="0"/>
        </w:rPr>
        <w:t xml:space="preserve">mething that prevented the appearance of new </w:t>
      </w:r>
      <w:r w:rsidR="005213F5" w:rsidRPr="00137589">
        <w:rPr>
          <w:noProof w:val="0"/>
        </w:rPr>
        <w:lastRenderedPageBreak/>
        <w:t xml:space="preserve">entrants (except in very special circumstances), </w:t>
      </w:r>
      <w:r w:rsidRPr="00137589">
        <w:rPr>
          <w:noProof w:val="0"/>
        </w:rPr>
        <w:t xml:space="preserve">b) high capital requirements, c) high liquidity requirements, d) the establishment of interest rates by </w:t>
      </w:r>
      <w:r w:rsidR="001740B5" w:rsidRPr="00137589">
        <w:rPr>
          <w:noProof w:val="0"/>
        </w:rPr>
        <w:t>decree</w:t>
      </w:r>
      <w:r w:rsidRPr="00137589">
        <w:rPr>
          <w:noProof w:val="0"/>
        </w:rPr>
        <w:t>, and e) some form of separation between the investment and</w:t>
      </w:r>
      <w:r w:rsidR="00155B85" w:rsidRPr="00137589">
        <w:rPr>
          <w:noProof w:val="0"/>
        </w:rPr>
        <w:t xml:space="preserve"> commercial activities of banks, i.e. the refusal of the “universal bank” model</w:t>
      </w:r>
      <w:r w:rsidR="004F4478" w:rsidRPr="00137589">
        <w:rPr>
          <w:noProof w:val="0"/>
        </w:rPr>
        <w:t xml:space="preserve">, which </w:t>
      </w:r>
      <w:r w:rsidR="006F01BC" w:rsidRPr="00137589">
        <w:rPr>
          <w:noProof w:val="0"/>
        </w:rPr>
        <w:t xml:space="preserve">Portuguese authorities </w:t>
      </w:r>
      <w:r w:rsidR="0039030B">
        <w:rPr>
          <w:noProof w:val="0"/>
        </w:rPr>
        <w:t>believed</w:t>
      </w:r>
      <w:r w:rsidR="006F01BC" w:rsidRPr="00137589">
        <w:rPr>
          <w:noProof w:val="0"/>
        </w:rPr>
        <w:t xml:space="preserve"> </w:t>
      </w:r>
      <w:r w:rsidR="004F4478" w:rsidRPr="00137589">
        <w:rPr>
          <w:noProof w:val="0"/>
        </w:rPr>
        <w:t>had been at the origin of most of the banking crises from the second half of the nineteenth century until the 1920s (Reis, 1995)</w:t>
      </w:r>
      <w:r w:rsidR="00155B85" w:rsidRPr="00137589">
        <w:rPr>
          <w:noProof w:val="0"/>
        </w:rPr>
        <w:t>.</w:t>
      </w:r>
      <w:r w:rsidRPr="00137589">
        <w:rPr>
          <w:noProof w:val="0"/>
        </w:rPr>
        <w:t xml:space="preserve"> Portuguese legislation did not impose a formal separation between investment and commercial banking, but severely limited the ability of commercial banks to engage in long-term ventures. The </w:t>
      </w:r>
      <w:r w:rsidR="006F01BC" w:rsidRPr="00137589">
        <w:rPr>
          <w:noProof w:val="0"/>
        </w:rPr>
        <w:t>main elements</w:t>
      </w:r>
      <w:r w:rsidRPr="00137589">
        <w:rPr>
          <w:noProof w:val="0"/>
        </w:rPr>
        <w:t xml:space="preserve"> of this legal framework </w:t>
      </w:r>
      <w:r w:rsidR="006F01BC" w:rsidRPr="00137589">
        <w:rPr>
          <w:noProof w:val="0"/>
        </w:rPr>
        <w:t>are</w:t>
      </w:r>
      <w:r w:rsidRPr="00137589">
        <w:rPr>
          <w:noProof w:val="0"/>
        </w:rPr>
        <w:t xml:space="preserve"> summarized in Table I</w:t>
      </w:r>
      <w:r w:rsidR="005213F5" w:rsidRPr="00137589">
        <w:rPr>
          <w:noProof w:val="0"/>
        </w:rPr>
        <w:t xml:space="preserve"> (further discussion</w:t>
      </w:r>
      <w:r w:rsidR="001740B5" w:rsidRPr="00137589">
        <w:rPr>
          <w:noProof w:val="0"/>
        </w:rPr>
        <w:t xml:space="preserve"> can be found</w:t>
      </w:r>
      <w:r w:rsidR="005213F5" w:rsidRPr="00137589">
        <w:rPr>
          <w:noProof w:val="0"/>
        </w:rPr>
        <w:t xml:space="preserve"> in Amaral, 2013 and 2015</w:t>
      </w:r>
      <w:r w:rsidR="009350C2" w:rsidRPr="00137589">
        <w:rPr>
          <w:noProof w:val="0"/>
        </w:rPr>
        <w:t>a</w:t>
      </w:r>
      <w:r w:rsidR="005213F5" w:rsidRPr="00137589">
        <w:rPr>
          <w:noProof w:val="0"/>
        </w:rPr>
        <w:t>)</w:t>
      </w:r>
      <w:r w:rsidRPr="00137589">
        <w:rPr>
          <w:noProof w:val="0"/>
        </w:rPr>
        <w:t>.</w:t>
      </w:r>
    </w:p>
    <w:p w:rsidR="005213F5" w:rsidRPr="00137589" w:rsidRDefault="005213F5" w:rsidP="00C52D5C">
      <w:pPr>
        <w:spacing w:after="0" w:line="480" w:lineRule="auto"/>
        <w:ind w:firstLine="567"/>
        <w:jc w:val="both"/>
        <w:rPr>
          <w:noProof w:val="0"/>
        </w:rPr>
      </w:pPr>
      <w:r w:rsidRPr="00137589">
        <w:rPr>
          <w:noProof w:val="0"/>
        </w:rPr>
        <w:t>A</w:t>
      </w:r>
      <w:r w:rsidR="00BE0A1E" w:rsidRPr="00137589">
        <w:rPr>
          <w:noProof w:val="0"/>
        </w:rPr>
        <w:t xml:space="preserve">ccording to this institutional setting, banks had very limited freedom of action: </w:t>
      </w:r>
      <w:r w:rsidR="009D68A1" w:rsidRPr="00137589">
        <w:rPr>
          <w:noProof w:val="0"/>
        </w:rPr>
        <w:t>quite restrained in their</w:t>
      </w:r>
      <w:r w:rsidR="00BE0A1E" w:rsidRPr="00137589">
        <w:rPr>
          <w:noProof w:val="0"/>
        </w:rPr>
        <w:t xml:space="preserve"> interest rate policy and forced to hold high cash reserves, they could not lend in the long run and could apply only a very limited portion of their resources </w:t>
      </w:r>
      <w:r w:rsidR="006F12AA" w:rsidRPr="00137589">
        <w:rPr>
          <w:noProof w:val="0"/>
        </w:rPr>
        <w:t>i</w:t>
      </w:r>
      <w:r w:rsidR="001562FF" w:rsidRPr="00137589">
        <w:rPr>
          <w:noProof w:val="0"/>
        </w:rPr>
        <w:t>n</w:t>
      </w:r>
      <w:r w:rsidR="00BE0A1E" w:rsidRPr="00137589">
        <w:rPr>
          <w:noProof w:val="0"/>
        </w:rPr>
        <w:t xml:space="preserve"> stocks or bonds. Also, if they wished to expand geographically</w:t>
      </w:r>
      <w:r w:rsidRPr="00137589">
        <w:rPr>
          <w:noProof w:val="0"/>
        </w:rPr>
        <w:t xml:space="preserve"> by opening branches</w:t>
      </w:r>
      <w:r w:rsidR="006F12AA" w:rsidRPr="00137589">
        <w:rPr>
          <w:noProof w:val="0"/>
        </w:rPr>
        <w:t>, the Government’s authoris</w:t>
      </w:r>
      <w:r w:rsidR="00BE0A1E" w:rsidRPr="00137589">
        <w:rPr>
          <w:noProof w:val="0"/>
        </w:rPr>
        <w:t xml:space="preserve">ation was needed. </w:t>
      </w:r>
      <w:r w:rsidR="001740B5" w:rsidRPr="00137589">
        <w:rPr>
          <w:noProof w:val="0"/>
        </w:rPr>
        <w:t>We must note that the market possessed some contestability</w:t>
      </w:r>
      <w:r w:rsidR="00BE0A1E" w:rsidRPr="00137589">
        <w:rPr>
          <w:noProof w:val="0"/>
        </w:rPr>
        <w:t>: mergers, acquisitions, and entries depended on governme</w:t>
      </w:r>
      <w:r w:rsidR="006F12AA" w:rsidRPr="00137589">
        <w:rPr>
          <w:noProof w:val="0"/>
        </w:rPr>
        <w:t>ntal authoris</w:t>
      </w:r>
      <w:r w:rsidR="00BE0A1E" w:rsidRPr="00137589">
        <w:rPr>
          <w:noProof w:val="0"/>
        </w:rPr>
        <w:t>ation but were not forbidden. Th</w:t>
      </w:r>
      <w:r w:rsidR="001740B5" w:rsidRPr="00137589">
        <w:rPr>
          <w:noProof w:val="0"/>
        </w:rPr>
        <w:t>us,</w:t>
      </w:r>
      <w:r w:rsidR="00BE0A1E" w:rsidRPr="00137589">
        <w:rPr>
          <w:noProof w:val="0"/>
        </w:rPr>
        <w:t xml:space="preserve"> </w:t>
      </w:r>
      <w:r w:rsidR="004F4478" w:rsidRPr="00137589">
        <w:rPr>
          <w:noProof w:val="0"/>
        </w:rPr>
        <w:t>despite</w:t>
      </w:r>
      <w:r w:rsidR="00BE0A1E" w:rsidRPr="00137589">
        <w:rPr>
          <w:noProof w:val="0"/>
        </w:rPr>
        <w:t xml:space="preserve"> not </w:t>
      </w:r>
      <w:r w:rsidR="004F4478" w:rsidRPr="00137589">
        <w:rPr>
          <w:noProof w:val="0"/>
        </w:rPr>
        <w:t xml:space="preserve">being </w:t>
      </w:r>
      <w:r w:rsidR="00BE0A1E" w:rsidRPr="00137589">
        <w:rPr>
          <w:noProof w:val="0"/>
        </w:rPr>
        <w:t>free</w:t>
      </w:r>
      <w:r w:rsidR="00E17D88" w:rsidRPr="00137589">
        <w:rPr>
          <w:noProof w:val="0"/>
        </w:rPr>
        <w:t>,</w:t>
      </w:r>
      <w:r w:rsidR="00BE0A1E" w:rsidRPr="00137589">
        <w:rPr>
          <w:noProof w:val="0"/>
        </w:rPr>
        <w:t xml:space="preserve"> </w:t>
      </w:r>
      <w:r w:rsidR="004F4478" w:rsidRPr="00137589">
        <w:rPr>
          <w:noProof w:val="0"/>
        </w:rPr>
        <w:t>contestability</w:t>
      </w:r>
      <w:r w:rsidR="00BE0A1E" w:rsidRPr="00137589">
        <w:rPr>
          <w:noProof w:val="0"/>
        </w:rPr>
        <w:t xml:space="preserve"> existed, and the threat of exclusion, although not </w:t>
      </w:r>
      <w:r w:rsidR="00155B85" w:rsidRPr="00137589">
        <w:rPr>
          <w:noProof w:val="0"/>
        </w:rPr>
        <w:t xml:space="preserve">entirely </w:t>
      </w:r>
      <w:r w:rsidR="00BE0A1E" w:rsidRPr="00137589">
        <w:rPr>
          <w:noProof w:val="0"/>
        </w:rPr>
        <w:t xml:space="preserve">determined by the market, was present. </w:t>
      </w:r>
      <w:r w:rsidR="009D68A1" w:rsidRPr="00137589">
        <w:rPr>
          <w:noProof w:val="0"/>
        </w:rPr>
        <w:t xml:space="preserve">Amaral (2013) has also shown that, despite being forced by law to lend only short-term, commercial banks had adopted the practice of renewing several times these loans, so that ultimately they functioned as long-term credit to the economy. </w:t>
      </w:r>
      <w:r w:rsidR="00BE0A1E" w:rsidRPr="00137589">
        <w:rPr>
          <w:noProof w:val="0"/>
        </w:rPr>
        <w:t xml:space="preserve">The </w:t>
      </w:r>
      <w:r w:rsidR="001740B5" w:rsidRPr="00137589">
        <w:rPr>
          <w:noProof w:val="0"/>
        </w:rPr>
        <w:t>fact</w:t>
      </w:r>
      <w:r w:rsidR="00BE0A1E" w:rsidRPr="00137589">
        <w:rPr>
          <w:noProof w:val="0"/>
        </w:rPr>
        <w:t xml:space="preserve"> is that the number of banks d</w:t>
      </w:r>
      <w:r w:rsidRPr="00137589">
        <w:rPr>
          <w:noProof w:val="0"/>
        </w:rPr>
        <w:t>eclined considerably between 1960 and 1975</w:t>
      </w:r>
      <w:r w:rsidR="00BE0A1E" w:rsidRPr="00137589">
        <w:rPr>
          <w:noProof w:val="0"/>
        </w:rPr>
        <w:t>, always through some form of merger or acquisition or through the transformation of unincorporated banking houses into incorporated banks.</w:t>
      </w:r>
    </w:p>
    <w:p w:rsidR="00C52D5C" w:rsidRPr="00137589" w:rsidRDefault="00C52D5C" w:rsidP="00E646E7">
      <w:pPr>
        <w:spacing w:after="0" w:line="480" w:lineRule="auto"/>
        <w:ind w:firstLine="567"/>
        <w:jc w:val="both"/>
        <w:rPr>
          <w:noProof w:val="0"/>
        </w:rPr>
      </w:pPr>
      <w:r w:rsidRPr="00137589">
        <w:rPr>
          <w:noProof w:val="0"/>
        </w:rPr>
        <w:t>In 19</w:t>
      </w:r>
      <w:r w:rsidR="005213F5" w:rsidRPr="00137589">
        <w:rPr>
          <w:noProof w:val="0"/>
        </w:rPr>
        <w:t>6</w:t>
      </w:r>
      <w:r w:rsidRPr="00137589">
        <w:rPr>
          <w:noProof w:val="0"/>
        </w:rPr>
        <w:t>0</w:t>
      </w:r>
      <w:r w:rsidR="002A3F74" w:rsidRPr="00137589">
        <w:rPr>
          <w:noProof w:val="0"/>
        </w:rPr>
        <w:t>, at the beginning of this period,</w:t>
      </w:r>
      <w:r w:rsidRPr="00137589">
        <w:rPr>
          <w:noProof w:val="0"/>
        </w:rPr>
        <w:t xml:space="preserve"> the Portuguese banking system comprised 2</w:t>
      </w:r>
      <w:r w:rsidR="005149A2" w:rsidRPr="00137589">
        <w:rPr>
          <w:noProof w:val="0"/>
        </w:rPr>
        <w:t>4</w:t>
      </w:r>
      <w:r w:rsidRPr="00137589">
        <w:rPr>
          <w:noProof w:val="0"/>
        </w:rPr>
        <w:t xml:space="preserve"> i</w:t>
      </w:r>
      <w:r w:rsidR="005149A2" w:rsidRPr="00137589">
        <w:rPr>
          <w:noProof w:val="0"/>
        </w:rPr>
        <w:t>ncorporated commercial banks, 11</w:t>
      </w:r>
      <w:r w:rsidRPr="00137589">
        <w:rPr>
          <w:noProof w:val="0"/>
        </w:rPr>
        <w:t xml:space="preserve"> non-incorporated banking houses, and 20 savings banks</w:t>
      </w:r>
      <w:r w:rsidR="00842605" w:rsidRPr="00137589">
        <w:rPr>
          <w:noProof w:val="0"/>
        </w:rPr>
        <w:t>, plus a few less important institutions</w:t>
      </w:r>
      <w:r w:rsidR="005149A2" w:rsidRPr="00137589">
        <w:rPr>
          <w:noProof w:val="0"/>
        </w:rPr>
        <w:t xml:space="preserve"> (INEb, 1960-1976</w:t>
      </w:r>
      <w:r w:rsidR="00E646E7" w:rsidRPr="00137589">
        <w:rPr>
          <w:noProof w:val="0"/>
        </w:rPr>
        <w:t>)</w:t>
      </w:r>
      <w:r w:rsidRPr="00137589">
        <w:rPr>
          <w:noProof w:val="0"/>
        </w:rPr>
        <w:t>. Incorporated commercial banks dominated the market, accounting for roughly 69% of all deposits (up from 40% in 1938).  Non-incorporated banks were residual, with a market share of about 1.5%</w:t>
      </w:r>
      <w:r w:rsidR="0055025E" w:rsidRPr="00137589">
        <w:rPr>
          <w:noProof w:val="0"/>
        </w:rPr>
        <w:t xml:space="preserve"> (INEa, 1960-1974</w:t>
      </w:r>
      <w:r w:rsidR="00E646E7" w:rsidRPr="00137589">
        <w:rPr>
          <w:noProof w:val="0"/>
        </w:rPr>
        <w:t>)</w:t>
      </w:r>
      <w:r w:rsidRPr="00137589">
        <w:rPr>
          <w:noProof w:val="0"/>
        </w:rPr>
        <w:t xml:space="preserve">. Most of the 20 savings banks </w:t>
      </w:r>
      <w:r w:rsidRPr="00137589">
        <w:rPr>
          <w:noProof w:val="0"/>
        </w:rPr>
        <w:lastRenderedPageBreak/>
        <w:t xml:space="preserve">were small, with the exception of </w:t>
      </w:r>
      <w:r w:rsidR="00E17D88" w:rsidRPr="00137589">
        <w:rPr>
          <w:noProof w:val="0"/>
        </w:rPr>
        <w:t>CGD</w:t>
      </w:r>
      <w:r w:rsidR="001562FF" w:rsidRPr="00137589">
        <w:rPr>
          <w:noProof w:val="0"/>
        </w:rPr>
        <w:t>,</w:t>
      </w:r>
      <w:r w:rsidRPr="00137589">
        <w:rPr>
          <w:noProof w:val="0"/>
        </w:rPr>
        <w:t xml:space="preserve"> which represented 90% of all deposits in savings banks and was the largest financial institution in the country, with a market share of around 27%.</w:t>
      </w:r>
    </w:p>
    <w:p w:rsidR="00C52D5C" w:rsidRPr="00137589" w:rsidRDefault="00C52D5C" w:rsidP="00C52D5C">
      <w:pPr>
        <w:spacing w:after="0" w:line="480" w:lineRule="auto"/>
        <w:ind w:firstLine="567"/>
        <w:jc w:val="both"/>
        <w:rPr>
          <w:noProof w:val="0"/>
        </w:rPr>
      </w:pPr>
      <w:r w:rsidRPr="00137589">
        <w:rPr>
          <w:noProof w:val="0"/>
        </w:rPr>
        <w:t>The value of the Hirschman-Herfindahl Index (HHI) for deposits in Portuguese commercial bank</w:t>
      </w:r>
      <w:r w:rsidR="005213F5" w:rsidRPr="00137589">
        <w:rPr>
          <w:noProof w:val="0"/>
        </w:rPr>
        <w:t>s in 196</w:t>
      </w:r>
      <w:r w:rsidRPr="00137589">
        <w:rPr>
          <w:noProof w:val="0"/>
        </w:rPr>
        <w:t xml:space="preserve">0 (which excludes </w:t>
      </w:r>
      <w:r w:rsidR="00E17D88" w:rsidRPr="00137589">
        <w:rPr>
          <w:noProof w:val="0"/>
        </w:rPr>
        <w:t>CGD</w:t>
      </w:r>
      <w:r w:rsidRPr="00137589">
        <w:rPr>
          <w:noProof w:val="0"/>
        </w:rPr>
        <w:t xml:space="preserve">) was </w:t>
      </w:r>
      <w:r w:rsidR="002A3F74" w:rsidRPr="00137589">
        <w:rPr>
          <w:noProof w:val="0"/>
        </w:rPr>
        <w:t>0</w:t>
      </w:r>
      <w:r w:rsidR="000B7F8E" w:rsidRPr="00137589">
        <w:rPr>
          <w:noProof w:val="0"/>
        </w:rPr>
        <w:t>.15</w:t>
      </w:r>
      <w:r w:rsidR="00E65886">
        <w:rPr>
          <w:noProof w:val="0"/>
        </w:rPr>
        <w:t xml:space="preserve"> (Figure 2</w:t>
      </w:r>
      <w:r w:rsidR="005E5EC5" w:rsidRPr="00137589">
        <w:rPr>
          <w:noProof w:val="0"/>
        </w:rPr>
        <w:t>), a moderate to high figure in comparative terms</w:t>
      </w:r>
      <w:r w:rsidR="009D7907" w:rsidRPr="00137589">
        <w:rPr>
          <w:noProof w:val="0"/>
        </w:rPr>
        <w:t>, if we use the</w:t>
      </w:r>
      <w:r w:rsidR="005E5EC5" w:rsidRPr="00137589">
        <w:rPr>
          <w:noProof w:val="0"/>
        </w:rPr>
        <w:t xml:space="preserve"> </w:t>
      </w:r>
      <w:r w:rsidR="009D7907" w:rsidRPr="00137589">
        <w:rPr>
          <w:noProof w:val="0"/>
        </w:rPr>
        <w:t>US Department of Justice and Federal Trade Commission’s standards (</w:t>
      </w:r>
      <w:r w:rsidR="005E5EC5" w:rsidRPr="00137589">
        <w:rPr>
          <w:noProof w:val="0"/>
        </w:rPr>
        <w:t xml:space="preserve">US Department of Justice and Federal Trade Commission, 1982, and 2010). </w:t>
      </w:r>
      <w:r w:rsidR="000B7F8E" w:rsidRPr="00137589">
        <w:rPr>
          <w:noProof w:val="0"/>
        </w:rPr>
        <w:t>C</w:t>
      </w:r>
      <w:r w:rsidRPr="00137589">
        <w:rPr>
          <w:noProof w:val="0"/>
        </w:rPr>
        <w:t xml:space="preserve">oncentration ratios </w:t>
      </w:r>
      <w:r w:rsidR="005213F5" w:rsidRPr="00137589">
        <w:rPr>
          <w:noProof w:val="0"/>
        </w:rPr>
        <w:t xml:space="preserve">are presented </w:t>
      </w:r>
      <w:r w:rsidRPr="00137589">
        <w:rPr>
          <w:noProof w:val="0"/>
        </w:rPr>
        <w:t xml:space="preserve">in Figure </w:t>
      </w:r>
      <w:r w:rsidR="00E65886">
        <w:rPr>
          <w:noProof w:val="0"/>
        </w:rPr>
        <w:t>3</w:t>
      </w:r>
      <w:r w:rsidRPr="00137589">
        <w:rPr>
          <w:noProof w:val="0"/>
        </w:rPr>
        <w:t xml:space="preserve"> (measuring the proportion of deposits appropriated by, respectively, the three</w:t>
      </w:r>
      <w:r w:rsidR="001562FF" w:rsidRPr="00137589">
        <w:rPr>
          <w:noProof w:val="0"/>
        </w:rPr>
        <w:t xml:space="preserve"> and</w:t>
      </w:r>
      <w:r w:rsidRPr="00137589">
        <w:rPr>
          <w:noProof w:val="0"/>
        </w:rPr>
        <w:t xml:space="preserve"> five largest commercial banks in Portugal)</w:t>
      </w:r>
      <w:r w:rsidR="001740B5" w:rsidRPr="00137589">
        <w:rPr>
          <w:noProof w:val="0"/>
        </w:rPr>
        <w:t>: t</w:t>
      </w:r>
      <w:r w:rsidR="005E5EC5" w:rsidRPr="00137589">
        <w:rPr>
          <w:noProof w:val="0"/>
        </w:rPr>
        <w:t>he three largest banks appropriated 55% of deposits and the five largest about 70%</w:t>
      </w:r>
      <w:r w:rsidR="001740B5" w:rsidRPr="00137589">
        <w:rPr>
          <w:noProof w:val="0"/>
        </w:rPr>
        <w:t>, a</w:t>
      </w:r>
      <w:r w:rsidR="009D7907" w:rsidRPr="00137589">
        <w:rPr>
          <w:noProof w:val="0"/>
        </w:rPr>
        <w:t xml:space="preserve">gain a moderate to high figure, as shown by the international comparisons presented in </w:t>
      </w:r>
      <w:r w:rsidR="001740B5" w:rsidRPr="00137589">
        <w:rPr>
          <w:noProof w:val="0"/>
        </w:rPr>
        <w:t xml:space="preserve">Amaral </w:t>
      </w:r>
      <w:r w:rsidR="009D7907" w:rsidRPr="00137589">
        <w:rPr>
          <w:noProof w:val="0"/>
        </w:rPr>
        <w:t>(</w:t>
      </w:r>
      <w:r w:rsidR="001740B5" w:rsidRPr="00137589">
        <w:rPr>
          <w:noProof w:val="0"/>
        </w:rPr>
        <w:t>2013)</w:t>
      </w:r>
      <w:r w:rsidR="005E5EC5" w:rsidRPr="00137589">
        <w:rPr>
          <w:noProof w:val="0"/>
        </w:rPr>
        <w:t xml:space="preserve">. </w:t>
      </w:r>
      <w:r w:rsidRPr="00137589">
        <w:rPr>
          <w:noProof w:val="0"/>
        </w:rPr>
        <w:t>In terms of assets, the picture was similar</w:t>
      </w:r>
      <w:r w:rsidR="005E5EC5" w:rsidRPr="00137589">
        <w:rPr>
          <w:noProof w:val="0"/>
        </w:rPr>
        <w:t>, both for the HHI and the concentration ratios</w:t>
      </w:r>
      <w:r w:rsidR="00E65886">
        <w:rPr>
          <w:noProof w:val="0"/>
        </w:rPr>
        <w:t xml:space="preserve"> (Figures 2 and 3</w:t>
      </w:r>
      <w:r w:rsidR="005213F5" w:rsidRPr="00137589">
        <w:rPr>
          <w:noProof w:val="0"/>
        </w:rPr>
        <w:t>)</w:t>
      </w:r>
      <w:r w:rsidRPr="00137589">
        <w:rPr>
          <w:noProof w:val="0"/>
        </w:rPr>
        <w:t>.</w:t>
      </w:r>
    </w:p>
    <w:p w:rsidR="00BE0A1E" w:rsidRPr="00137589" w:rsidRDefault="0055025E" w:rsidP="00C52D5C">
      <w:pPr>
        <w:spacing w:after="0" w:line="480" w:lineRule="auto"/>
        <w:ind w:firstLine="567"/>
        <w:jc w:val="both"/>
        <w:rPr>
          <w:noProof w:val="0"/>
        </w:rPr>
      </w:pPr>
      <w:r w:rsidRPr="00137589">
        <w:rPr>
          <w:noProof w:val="0"/>
        </w:rPr>
        <w:t>Fourteen</w:t>
      </w:r>
      <w:r w:rsidR="00C52D5C" w:rsidRPr="00137589">
        <w:rPr>
          <w:noProof w:val="0"/>
        </w:rPr>
        <w:t xml:space="preserve"> years later, in 197</w:t>
      </w:r>
      <w:r w:rsidR="009D7907" w:rsidRPr="00137589">
        <w:rPr>
          <w:noProof w:val="0"/>
        </w:rPr>
        <w:t>3</w:t>
      </w:r>
      <w:r w:rsidR="00C52D5C" w:rsidRPr="00137589">
        <w:rPr>
          <w:noProof w:val="0"/>
        </w:rPr>
        <w:t>, the banking structure had changed considerably. Commercial banks now held 80% of all deposits in the country, with the remaining 20% being held almost entirely by CGD. The number of incorporated banks had dropp</w:t>
      </w:r>
      <w:r w:rsidR="005E5EC5" w:rsidRPr="00137589">
        <w:rPr>
          <w:noProof w:val="0"/>
        </w:rPr>
        <w:t>ed to 16</w:t>
      </w:r>
      <w:r w:rsidR="00C52D5C" w:rsidRPr="00137589">
        <w:rPr>
          <w:noProof w:val="0"/>
        </w:rPr>
        <w:t xml:space="preserve"> </w:t>
      </w:r>
      <w:r w:rsidR="005A7A5E" w:rsidRPr="00137589">
        <w:rPr>
          <w:noProof w:val="0"/>
        </w:rPr>
        <w:t>(Valério, org., 2010)</w:t>
      </w:r>
      <w:r w:rsidR="008C218E" w:rsidRPr="00137589">
        <w:rPr>
          <w:noProof w:val="0"/>
        </w:rPr>
        <w:t>,</w:t>
      </w:r>
      <w:r w:rsidR="00C52D5C" w:rsidRPr="00137589">
        <w:rPr>
          <w:noProof w:val="0"/>
        </w:rPr>
        <w:t xml:space="preserve"> the numbe</w:t>
      </w:r>
      <w:r w:rsidR="005149A2" w:rsidRPr="00137589">
        <w:rPr>
          <w:noProof w:val="0"/>
        </w:rPr>
        <w:t>r of non-incorporated banks to 4</w:t>
      </w:r>
      <w:r w:rsidR="00C52D5C" w:rsidRPr="00137589">
        <w:rPr>
          <w:noProof w:val="0"/>
        </w:rPr>
        <w:t xml:space="preserve"> </w:t>
      </w:r>
      <w:r w:rsidR="005A7A5E" w:rsidRPr="00137589">
        <w:rPr>
          <w:noProof w:val="0"/>
        </w:rPr>
        <w:t>(INE</w:t>
      </w:r>
      <w:r w:rsidR="00E646E7" w:rsidRPr="00137589">
        <w:rPr>
          <w:noProof w:val="0"/>
        </w:rPr>
        <w:t>a</w:t>
      </w:r>
      <w:r w:rsidR="005A7A5E" w:rsidRPr="00137589">
        <w:rPr>
          <w:noProof w:val="0"/>
        </w:rPr>
        <w:t>, 1960-197</w:t>
      </w:r>
      <w:r w:rsidRPr="00137589">
        <w:rPr>
          <w:noProof w:val="0"/>
        </w:rPr>
        <w:t>4</w:t>
      </w:r>
      <w:r w:rsidR="005A7A5E" w:rsidRPr="00137589">
        <w:rPr>
          <w:noProof w:val="0"/>
        </w:rPr>
        <w:t>)</w:t>
      </w:r>
      <w:r w:rsidR="008C218E" w:rsidRPr="00137589">
        <w:rPr>
          <w:noProof w:val="0"/>
        </w:rPr>
        <w:t xml:space="preserve"> </w:t>
      </w:r>
      <w:r w:rsidR="005149A2" w:rsidRPr="00137589">
        <w:rPr>
          <w:noProof w:val="0"/>
        </w:rPr>
        <w:t>and among the savings banks only CGD had some relevance.</w:t>
      </w:r>
      <w:r w:rsidR="00C52D5C" w:rsidRPr="00137589">
        <w:rPr>
          <w:noProof w:val="0"/>
        </w:rPr>
        <w:t xml:space="preserve"> None of th</w:t>
      </w:r>
      <w:r w:rsidR="008C218E" w:rsidRPr="00137589">
        <w:rPr>
          <w:noProof w:val="0"/>
        </w:rPr>
        <w:t>ese</w:t>
      </w:r>
      <w:r w:rsidR="00C52D5C" w:rsidRPr="00137589">
        <w:rPr>
          <w:noProof w:val="0"/>
        </w:rPr>
        <w:t xml:space="preserve"> </w:t>
      </w:r>
      <w:r w:rsidR="008C218E" w:rsidRPr="00137589">
        <w:rPr>
          <w:noProof w:val="0"/>
        </w:rPr>
        <w:t xml:space="preserve">movements in the market resulted from </w:t>
      </w:r>
      <w:r w:rsidR="002A3F74" w:rsidRPr="00137589">
        <w:rPr>
          <w:noProof w:val="0"/>
        </w:rPr>
        <w:t>bankruptcies</w:t>
      </w:r>
      <w:r w:rsidR="00C52D5C" w:rsidRPr="00137589">
        <w:rPr>
          <w:noProof w:val="0"/>
        </w:rPr>
        <w:t>, but rather of the transformation of non-incorporated banks into incorporated ones</w:t>
      </w:r>
      <w:r w:rsidR="005E5EC5" w:rsidRPr="00137589">
        <w:rPr>
          <w:noProof w:val="0"/>
        </w:rPr>
        <w:t xml:space="preserve"> and of</w:t>
      </w:r>
      <w:r w:rsidR="00C52D5C" w:rsidRPr="00137589">
        <w:rPr>
          <w:noProof w:val="0"/>
        </w:rPr>
        <w:t xml:space="preserve"> mergers and acquisitions.</w:t>
      </w:r>
    </w:p>
    <w:p w:rsidR="00C52D5C" w:rsidRPr="00137589" w:rsidRDefault="00C52D5C" w:rsidP="005A7A5E">
      <w:pPr>
        <w:spacing w:after="0" w:line="480" w:lineRule="auto"/>
        <w:ind w:firstLine="567"/>
        <w:jc w:val="both"/>
        <w:rPr>
          <w:noProof w:val="0"/>
        </w:rPr>
      </w:pPr>
      <w:r w:rsidRPr="00137589">
        <w:rPr>
          <w:noProof w:val="0"/>
        </w:rPr>
        <w:t>The changes outlined above were reflected in a degree of con</w:t>
      </w:r>
      <w:r w:rsidR="005A7A5E" w:rsidRPr="00137589">
        <w:rPr>
          <w:noProof w:val="0"/>
        </w:rPr>
        <w:t>centration that fell between 196</w:t>
      </w:r>
      <w:r w:rsidRPr="00137589">
        <w:rPr>
          <w:noProof w:val="0"/>
        </w:rPr>
        <w:t>0 and 197</w:t>
      </w:r>
      <w:r w:rsidR="000B7F8E" w:rsidRPr="00137589">
        <w:rPr>
          <w:noProof w:val="0"/>
        </w:rPr>
        <w:t>3</w:t>
      </w:r>
      <w:r w:rsidRPr="00137589">
        <w:rPr>
          <w:noProof w:val="0"/>
        </w:rPr>
        <w:t>, as measured by both the HHI and th</w:t>
      </w:r>
      <w:r w:rsidR="001562FF" w:rsidRPr="00137589">
        <w:rPr>
          <w:noProof w:val="0"/>
        </w:rPr>
        <w:t>e concentration ratios (Figures</w:t>
      </w:r>
      <w:r w:rsidR="00186D5A">
        <w:rPr>
          <w:noProof w:val="0"/>
        </w:rPr>
        <w:t xml:space="preserve"> 2</w:t>
      </w:r>
      <w:r w:rsidR="005A7A5E" w:rsidRPr="00137589">
        <w:rPr>
          <w:noProof w:val="0"/>
        </w:rPr>
        <w:t xml:space="preserve"> and</w:t>
      </w:r>
      <w:r w:rsidR="001562FF" w:rsidRPr="00137589">
        <w:rPr>
          <w:noProof w:val="0"/>
        </w:rPr>
        <w:t xml:space="preserve"> </w:t>
      </w:r>
      <w:r w:rsidR="00186D5A">
        <w:rPr>
          <w:noProof w:val="0"/>
        </w:rPr>
        <w:t>3</w:t>
      </w:r>
      <w:r w:rsidRPr="00137589">
        <w:rPr>
          <w:noProof w:val="0"/>
        </w:rPr>
        <w:t>). The HHI for deposits went f</w:t>
      </w:r>
      <w:r w:rsidR="005A7A5E" w:rsidRPr="00137589">
        <w:rPr>
          <w:noProof w:val="0"/>
        </w:rPr>
        <w:t xml:space="preserve">rom around </w:t>
      </w:r>
      <w:r w:rsidR="000B7F8E" w:rsidRPr="00137589">
        <w:rPr>
          <w:noProof w:val="0"/>
        </w:rPr>
        <w:t>0.15</w:t>
      </w:r>
      <w:r w:rsidR="005A7A5E" w:rsidRPr="00137589">
        <w:rPr>
          <w:noProof w:val="0"/>
        </w:rPr>
        <w:t xml:space="preserve"> in 1960 to around </w:t>
      </w:r>
      <w:r w:rsidR="000B7F8E" w:rsidRPr="00137589">
        <w:rPr>
          <w:noProof w:val="0"/>
        </w:rPr>
        <w:t>0.10</w:t>
      </w:r>
      <w:r w:rsidR="005A7A5E" w:rsidRPr="00137589">
        <w:rPr>
          <w:noProof w:val="0"/>
        </w:rPr>
        <w:t xml:space="preserve"> in 1973</w:t>
      </w:r>
      <w:r w:rsidR="00A5276B" w:rsidRPr="00137589">
        <w:rPr>
          <w:noProof w:val="0"/>
        </w:rPr>
        <w:t>, a low level of concentration.</w:t>
      </w:r>
      <w:r w:rsidRPr="00137589">
        <w:rPr>
          <w:noProof w:val="0"/>
        </w:rPr>
        <w:t xml:space="preserve"> </w:t>
      </w:r>
      <w:r w:rsidR="005A7A5E" w:rsidRPr="00137589">
        <w:rPr>
          <w:noProof w:val="0"/>
        </w:rPr>
        <w:t xml:space="preserve">And </w:t>
      </w:r>
      <w:r w:rsidR="002A3F74" w:rsidRPr="00137589">
        <w:rPr>
          <w:noProof w:val="0"/>
        </w:rPr>
        <w:t xml:space="preserve">the one for </w:t>
      </w:r>
      <w:r w:rsidR="005A7A5E" w:rsidRPr="00137589">
        <w:rPr>
          <w:noProof w:val="0"/>
        </w:rPr>
        <w:t xml:space="preserve">assets displayed </w:t>
      </w:r>
      <w:r w:rsidR="005E5EC5" w:rsidRPr="00137589">
        <w:rPr>
          <w:noProof w:val="0"/>
        </w:rPr>
        <w:t xml:space="preserve">a </w:t>
      </w:r>
      <w:r w:rsidR="005A7A5E" w:rsidRPr="00137589">
        <w:rPr>
          <w:noProof w:val="0"/>
        </w:rPr>
        <w:t>similar behaviour</w:t>
      </w:r>
      <w:r w:rsidR="00E17D88" w:rsidRPr="00137589">
        <w:rPr>
          <w:noProof w:val="0"/>
        </w:rPr>
        <w:t xml:space="preserve">, from </w:t>
      </w:r>
      <w:r w:rsidR="000B7F8E" w:rsidRPr="00137589">
        <w:rPr>
          <w:noProof w:val="0"/>
        </w:rPr>
        <w:t>0.14</w:t>
      </w:r>
      <w:r w:rsidR="00E17D88" w:rsidRPr="00137589">
        <w:rPr>
          <w:noProof w:val="0"/>
        </w:rPr>
        <w:t xml:space="preserve"> to </w:t>
      </w:r>
      <w:r w:rsidR="000B7F8E" w:rsidRPr="00137589">
        <w:rPr>
          <w:noProof w:val="0"/>
        </w:rPr>
        <w:t>0.09</w:t>
      </w:r>
      <w:r w:rsidRPr="00137589">
        <w:rPr>
          <w:noProof w:val="0"/>
        </w:rPr>
        <w:t xml:space="preserve">. As for the concentration ratios, the decline was </w:t>
      </w:r>
      <w:r w:rsidR="001562FF" w:rsidRPr="00137589">
        <w:rPr>
          <w:noProof w:val="0"/>
        </w:rPr>
        <w:t>especially pronounced in the CR</w:t>
      </w:r>
      <w:r w:rsidR="00A5276B" w:rsidRPr="00137589">
        <w:rPr>
          <w:noProof w:val="0"/>
        </w:rPr>
        <w:t>3</w:t>
      </w:r>
      <w:r w:rsidRPr="00137589">
        <w:rPr>
          <w:noProof w:val="0"/>
        </w:rPr>
        <w:t xml:space="preserve"> indicator</w:t>
      </w:r>
      <w:r w:rsidR="00A5276B" w:rsidRPr="00137589">
        <w:rPr>
          <w:noProof w:val="0"/>
        </w:rPr>
        <w:t xml:space="preserve"> in </w:t>
      </w:r>
      <w:r w:rsidR="00E17D88" w:rsidRPr="00137589">
        <w:rPr>
          <w:noProof w:val="0"/>
        </w:rPr>
        <w:t xml:space="preserve">both </w:t>
      </w:r>
      <w:r w:rsidR="00A5276B" w:rsidRPr="00137589">
        <w:rPr>
          <w:noProof w:val="0"/>
        </w:rPr>
        <w:t>deposits (from around 55% to around 4</w:t>
      </w:r>
      <w:r w:rsidR="000B7F8E" w:rsidRPr="00137589">
        <w:rPr>
          <w:noProof w:val="0"/>
        </w:rPr>
        <w:t>3</w:t>
      </w:r>
      <w:r w:rsidR="00A5276B" w:rsidRPr="00137589">
        <w:rPr>
          <w:noProof w:val="0"/>
        </w:rPr>
        <w:t>%)</w:t>
      </w:r>
      <w:r w:rsidR="00E17D88" w:rsidRPr="00137589">
        <w:rPr>
          <w:noProof w:val="0"/>
        </w:rPr>
        <w:t xml:space="preserve"> and assets (</w:t>
      </w:r>
      <w:r w:rsidR="000B7F8E" w:rsidRPr="00137589">
        <w:rPr>
          <w:noProof w:val="0"/>
        </w:rPr>
        <w:t>55% to 35%</w:t>
      </w:r>
      <w:r w:rsidR="00E17D88" w:rsidRPr="00137589">
        <w:rPr>
          <w:noProof w:val="0"/>
        </w:rPr>
        <w:t>)</w:t>
      </w:r>
      <w:r w:rsidRPr="00137589">
        <w:rPr>
          <w:noProof w:val="0"/>
        </w:rPr>
        <w:t xml:space="preserve">, </w:t>
      </w:r>
      <w:r w:rsidR="001562FF" w:rsidRPr="00137589">
        <w:rPr>
          <w:noProof w:val="0"/>
        </w:rPr>
        <w:t xml:space="preserve">but is visible </w:t>
      </w:r>
      <w:r w:rsidR="000B7F8E" w:rsidRPr="00137589">
        <w:rPr>
          <w:noProof w:val="0"/>
        </w:rPr>
        <w:t>also in CR5</w:t>
      </w:r>
      <w:r w:rsidRPr="00137589">
        <w:rPr>
          <w:noProof w:val="0"/>
        </w:rPr>
        <w:t>.</w:t>
      </w:r>
      <w:r w:rsidR="00A5276B" w:rsidRPr="00137589">
        <w:rPr>
          <w:noProof w:val="0"/>
        </w:rPr>
        <w:t xml:space="preserve"> </w:t>
      </w:r>
      <w:r w:rsidRPr="00137589">
        <w:rPr>
          <w:noProof w:val="0"/>
        </w:rPr>
        <w:t xml:space="preserve">As a first impression, this is not a picture of stability, contrary to what the </w:t>
      </w:r>
      <w:r w:rsidR="005A7A5E" w:rsidRPr="00137589">
        <w:rPr>
          <w:noProof w:val="0"/>
        </w:rPr>
        <w:t>nature of the legislation would have implied</w:t>
      </w:r>
      <w:r w:rsidRPr="00137589">
        <w:rPr>
          <w:noProof w:val="0"/>
        </w:rPr>
        <w:t>.</w:t>
      </w:r>
    </w:p>
    <w:p w:rsidR="00C52D5C" w:rsidRDefault="00C52D5C" w:rsidP="00C52D5C">
      <w:pPr>
        <w:spacing w:after="0" w:line="480" w:lineRule="auto"/>
        <w:ind w:firstLine="567"/>
        <w:jc w:val="both"/>
        <w:rPr>
          <w:noProof w:val="0"/>
        </w:rPr>
      </w:pPr>
      <w:r w:rsidRPr="00137589">
        <w:rPr>
          <w:noProof w:val="0"/>
        </w:rPr>
        <w:t>Although often used, mostly in the Structure-Conduct-Performance type of analysis, measures of market concentration (such as the Herfindhal Ind</w:t>
      </w:r>
      <w:r w:rsidR="001740B5" w:rsidRPr="00137589">
        <w:rPr>
          <w:noProof w:val="0"/>
        </w:rPr>
        <w:t>ic</w:t>
      </w:r>
      <w:r w:rsidRPr="00137589">
        <w:rPr>
          <w:noProof w:val="0"/>
        </w:rPr>
        <w:t>es and concentration ratios above) pose problems of interpretation when taken as a proxy for competitive behavio</w:t>
      </w:r>
      <w:r w:rsidR="00E17D88" w:rsidRPr="00137589">
        <w:rPr>
          <w:noProof w:val="0"/>
        </w:rPr>
        <w:t>u</w:t>
      </w:r>
      <w:r w:rsidRPr="00137589">
        <w:rPr>
          <w:noProof w:val="0"/>
        </w:rPr>
        <w:t xml:space="preserve">r. They cannot be </w:t>
      </w:r>
      <w:r w:rsidR="00E17D88" w:rsidRPr="00137589">
        <w:rPr>
          <w:noProof w:val="0"/>
        </w:rPr>
        <w:lastRenderedPageBreak/>
        <w:t>interpreted</w:t>
      </w:r>
      <w:r w:rsidRPr="00137589">
        <w:rPr>
          <w:noProof w:val="0"/>
        </w:rPr>
        <w:t xml:space="preserve"> </w:t>
      </w:r>
      <w:r w:rsidR="00E17D88" w:rsidRPr="00137589">
        <w:rPr>
          <w:noProof w:val="0"/>
        </w:rPr>
        <w:t>in</w:t>
      </w:r>
      <w:r w:rsidRPr="00137589">
        <w:rPr>
          <w:noProof w:val="0"/>
        </w:rPr>
        <w:t xml:space="preserve"> themselves </w:t>
      </w:r>
      <w:r w:rsidR="00E17D88" w:rsidRPr="00137589">
        <w:rPr>
          <w:noProof w:val="0"/>
        </w:rPr>
        <w:t>as</w:t>
      </w:r>
      <w:r w:rsidRPr="00137589">
        <w:rPr>
          <w:noProof w:val="0"/>
        </w:rPr>
        <w:t xml:space="preserve"> confirm</w:t>
      </w:r>
      <w:r w:rsidR="00E17D88" w:rsidRPr="00137589">
        <w:rPr>
          <w:noProof w:val="0"/>
        </w:rPr>
        <w:t>ation</w:t>
      </w:r>
      <w:r w:rsidRPr="00137589">
        <w:rPr>
          <w:noProof w:val="0"/>
        </w:rPr>
        <w:t xml:space="preserve"> </w:t>
      </w:r>
      <w:r w:rsidR="00E17D88" w:rsidRPr="00137589">
        <w:rPr>
          <w:noProof w:val="0"/>
        </w:rPr>
        <w:t xml:space="preserve">of </w:t>
      </w:r>
      <w:r w:rsidRPr="00137589">
        <w:rPr>
          <w:noProof w:val="0"/>
        </w:rPr>
        <w:t xml:space="preserve">the existence or </w:t>
      </w:r>
      <w:r w:rsidR="00AA2ADA" w:rsidRPr="00137589">
        <w:rPr>
          <w:noProof w:val="0"/>
        </w:rPr>
        <w:t xml:space="preserve">of the </w:t>
      </w:r>
      <w:r w:rsidRPr="00137589">
        <w:rPr>
          <w:noProof w:val="0"/>
        </w:rPr>
        <w:t>lack of competition. Still, they are a preliminary indicator to take into account, and the behavio</w:t>
      </w:r>
      <w:r w:rsidR="00E17D88" w:rsidRPr="00137589">
        <w:rPr>
          <w:noProof w:val="0"/>
        </w:rPr>
        <w:t>u</w:t>
      </w:r>
      <w:r w:rsidRPr="00137589">
        <w:rPr>
          <w:noProof w:val="0"/>
        </w:rPr>
        <w:t>r of the measures presented above does raise some q</w:t>
      </w:r>
      <w:r w:rsidR="00E17D88" w:rsidRPr="00137589">
        <w:rPr>
          <w:noProof w:val="0"/>
        </w:rPr>
        <w:t>uestions regarding the idea of the</w:t>
      </w:r>
      <w:r w:rsidRPr="00137589">
        <w:rPr>
          <w:noProof w:val="0"/>
        </w:rPr>
        <w:t xml:space="preserve"> </w:t>
      </w:r>
      <w:r w:rsidR="00A5276B" w:rsidRPr="00137589">
        <w:rPr>
          <w:noProof w:val="0"/>
        </w:rPr>
        <w:t>non-competitive</w:t>
      </w:r>
      <w:r w:rsidRPr="00137589">
        <w:rPr>
          <w:noProof w:val="0"/>
        </w:rPr>
        <w:t xml:space="preserve"> environment Portuguese banks</w:t>
      </w:r>
      <w:r w:rsidR="00E17D88" w:rsidRPr="00137589">
        <w:rPr>
          <w:noProof w:val="0"/>
        </w:rPr>
        <w:t xml:space="preserve"> faced in this period</w:t>
      </w:r>
      <w:r w:rsidRPr="00137589">
        <w:rPr>
          <w:noProof w:val="0"/>
        </w:rPr>
        <w:t>. We will test these ideas below by measuring competition in a formal way.</w:t>
      </w:r>
    </w:p>
    <w:p w:rsidR="00C52D5C" w:rsidRDefault="00C52D5C" w:rsidP="00BE0A1E">
      <w:pPr>
        <w:spacing w:after="0" w:line="480" w:lineRule="auto"/>
        <w:ind w:left="567"/>
        <w:jc w:val="both"/>
        <w:rPr>
          <w:b/>
          <w:noProof w:val="0"/>
        </w:rPr>
      </w:pPr>
    </w:p>
    <w:p w:rsidR="00630C4E" w:rsidRPr="009E4B63" w:rsidRDefault="00630C4E" w:rsidP="00BE0A1E">
      <w:pPr>
        <w:spacing w:after="0" w:line="480" w:lineRule="auto"/>
        <w:ind w:left="567"/>
        <w:jc w:val="both"/>
        <w:rPr>
          <w:b/>
          <w:noProof w:val="0"/>
        </w:rPr>
      </w:pPr>
    </w:p>
    <w:p w:rsidR="006A5473" w:rsidRPr="009E4B63" w:rsidRDefault="006A5473" w:rsidP="00BE0A1E">
      <w:pPr>
        <w:spacing w:after="0" w:line="480" w:lineRule="auto"/>
        <w:ind w:left="567"/>
        <w:jc w:val="both"/>
        <w:rPr>
          <w:b/>
          <w:noProof w:val="0"/>
        </w:rPr>
      </w:pPr>
      <w:r w:rsidRPr="009E4B63">
        <w:rPr>
          <w:b/>
          <w:noProof w:val="0"/>
        </w:rPr>
        <w:t>1b) 1975-1989</w:t>
      </w:r>
    </w:p>
    <w:p w:rsidR="006A5473" w:rsidRPr="00137589" w:rsidRDefault="006A5473" w:rsidP="006A5473">
      <w:pPr>
        <w:spacing w:after="0" w:line="480" w:lineRule="auto"/>
        <w:ind w:firstLine="567"/>
        <w:jc w:val="both"/>
        <w:rPr>
          <w:noProof w:val="0"/>
        </w:rPr>
      </w:pPr>
      <w:r w:rsidRPr="00137589">
        <w:rPr>
          <w:noProof w:val="0"/>
        </w:rPr>
        <w:t xml:space="preserve">The institutional environment of the previous period was radically </w:t>
      </w:r>
      <w:r w:rsidR="00A5276B" w:rsidRPr="00137589">
        <w:rPr>
          <w:noProof w:val="0"/>
        </w:rPr>
        <w:t>altered</w:t>
      </w:r>
      <w:r w:rsidRPr="00137589">
        <w:rPr>
          <w:noProof w:val="0"/>
        </w:rPr>
        <w:t xml:space="preserve"> in 1975, when the commercial banking sector (togeth</w:t>
      </w:r>
      <w:r w:rsidR="00605C92" w:rsidRPr="00137589">
        <w:rPr>
          <w:noProof w:val="0"/>
        </w:rPr>
        <w:t>er with a large number of other sectors</w:t>
      </w:r>
      <w:r w:rsidR="001740B5" w:rsidRPr="00137589">
        <w:rPr>
          <w:noProof w:val="0"/>
        </w:rPr>
        <w:t xml:space="preserve"> of the Portuguese economy</w:t>
      </w:r>
      <w:r w:rsidR="00336F09" w:rsidRPr="00137589">
        <w:rPr>
          <w:noProof w:val="0"/>
        </w:rPr>
        <w:t xml:space="preserve">: </w:t>
      </w:r>
      <w:r w:rsidR="00336F09" w:rsidRPr="00137589">
        <w:t>money emission, insurance, basic metals, naval construction and repair, cement, paper and paper pulp, chemicals and petrochemicals</w:t>
      </w:r>
      <w:r w:rsidR="00605C92" w:rsidRPr="00137589">
        <w:rPr>
          <w:noProof w:val="0"/>
        </w:rPr>
        <w:t>)</w:t>
      </w:r>
      <w:r w:rsidR="00E17D88" w:rsidRPr="00137589">
        <w:rPr>
          <w:noProof w:val="0"/>
        </w:rPr>
        <w:t xml:space="preserve"> was nationalis</w:t>
      </w:r>
      <w:r w:rsidRPr="00137589">
        <w:rPr>
          <w:noProof w:val="0"/>
        </w:rPr>
        <w:t>ed. In 1974 a military coup d’État overthrew the previous authoritarian regime</w:t>
      </w:r>
      <w:r w:rsidR="0039030B">
        <w:rPr>
          <w:noProof w:val="0"/>
        </w:rPr>
        <w:t xml:space="preserve"> and sent the country into a path of</w:t>
      </w:r>
      <w:r w:rsidRPr="00137589">
        <w:rPr>
          <w:noProof w:val="0"/>
        </w:rPr>
        <w:t xml:space="preserve"> socialist- or communist-oriented </w:t>
      </w:r>
      <w:r w:rsidR="0039030B">
        <w:rPr>
          <w:noProof w:val="0"/>
        </w:rPr>
        <w:t>policies</w:t>
      </w:r>
      <w:r w:rsidRPr="00137589">
        <w:rPr>
          <w:noProof w:val="0"/>
        </w:rPr>
        <w:t>. Th</w:t>
      </w:r>
      <w:r w:rsidR="00E17D88" w:rsidRPr="00137589">
        <w:rPr>
          <w:noProof w:val="0"/>
        </w:rPr>
        <w:t>e consequence was the nationalis</w:t>
      </w:r>
      <w:r w:rsidRPr="00137589">
        <w:rPr>
          <w:noProof w:val="0"/>
        </w:rPr>
        <w:t xml:space="preserve">ation of a significant section of the economy, generally covering </w:t>
      </w:r>
      <w:r w:rsidR="001740B5" w:rsidRPr="00137589">
        <w:rPr>
          <w:noProof w:val="0"/>
        </w:rPr>
        <w:t xml:space="preserve">the property of the large business groups that had grown in dimension during the authoritarian regime and/or </w:t>
      </w:r>
      <w:r w:rsidR="004F4478" w:rsidRPr="00137589">
        <w:rPr>
          <w:noProof w:val="0"/>
        </w:rPr>
        <w:t>the sectors t</w:t>
      </w:r>
      <w:r w:rsidRPr="00137589">
        <w:rPr>
          <w:noProof w:val="0"/>
        </w:rPr>
        <w:t>hat the revolutionary authorities considered to be “strategic” (</w:t>
      </w:r>
      <w:r w:rsidR="00A5276B" w:rsidRPr="00137589">
        <w:rPr>
          <w:noProof w:val="0"/>
        </w:rPr>
        <w:t>Baklanoff, 1996</w:t>
      </w:r>
      <w:r w:rsidRPr="00137589">
        <w:rPr>
          <w:noProof w:val="0"/>
        </w:rPr>
        <w:t xml:space="preserve">). Commercial banking was inevitably included, as it qualified on both dimensions: it was a “strategic sector” and many banks were part of business groups. </w:t>
      </w:r>
      <w:r w:rsidR="00CE4AEB" w:rsidRPr="00137589">
        <w:rPr>
          <w:noProof w:val="0"/>
        </w:rPr>
        <w:t>Decree-Law 132-</w:t>
      </w:r>
      <w:r w:rsidR="00E17D88" w:rsidRPr="00137589">
        <w:rPr>
          <w:noProof w:val="0"/>
        </w:rPr>
        <w:t>A/75 of 14 March 1975 nationalis</w:t>
      </w:r>
      <w:r w:rsidR="00CE4AEB" w:rsidRPr="00137589">
        <w:rPr>
          <w:noProof w:val="0"/>
        </w:rPr>
        <w:t>ed all commercial banks</w:t>
      </w:r>
      <w:r w:rsidR="00186D5A">
        <w:rPr>
          <w:noProof w:val="0"/>
        </w:rPr>
        <w:t>,</w:t>
      </w:r>
      <w:r w:rsidR="00CE4AEB" w:rsidRPr="00137589">
        <w:rPr>
          <w:noProof w:val="0"/>
        </w:rPr>
        <w:t xml:space="preserve"> with the exception of the three foreign ones </w:t>
      </w:r>
      <w:r w:rsidR="00605C92" w:rsidRPr="00137589">
        <w:rPr>
          <w:noProof w:val="0"/>
        </w:rPr>
        <w:t xml:space="preserve">then </w:t>
      </w:r>
      <w:r w:rsidR="00186D5A">
        <w:rPr>
          <w:noProof w:val="0"/>
        </w:rPr>
        <w:t>operating</w:t>
      </w:r>
      <w:r w:rsidR="00605C92" w:rsidRPr="00137589">
        <w:rPr>
          <w:noProof w:val="0"/>
        </w:rPr>
        <w:t xml:space="preserve"> </w:t>
      </w:r>
      <w:r w:rsidR="00CE4AEB" w:rsidRPr="00137589">
        <w:rPr>
          <w:noProof w:val="0"/>
        </w:rPr>
        <w:t xml:space="preserve">in the country and of savings banks – </w:t>
      </w:r>
      <w:r w:rsidR="00336F09" w:rsidRPr="00137589">
        <w:rPr>
          <w:noProof w:val="0"/>
        </w:rPr>
        <w:t xml:space="preserve">the latter being </w:t>
      </w:r>
      <w:r w:rsidR="00CE4AEB" w:rsidRPr="00137589">
        <w:rPr>
          <w:noProof w:val="0"/>
        </w:rPr>
        <w:t>a small part of the sector, except for CGD, which was already owned by the State</w:t>
      </w:r>
      <w:r w:rsidR="00E957CF" w:rsidRPr="00137589">
        <w:rPr>
          <w:noProof w:val="0"/>
        </w:rPr>
        <w:t xml:space="preserve"> </w:t>
      </w:r>
      <w:r w:rsidR="004F4478" w:rsidRPr="00137589">
        <w:rPr>
          <w:noProof w:val="0"/>
        </w:rPr>
        <w:t xml:space="preserve">anyway </w:t>
      </w:r>
      <w:r w:rsidR="00E957CF" w:rsidRPr="00137589">
        <w:rPr>
          <w:noProof w:val="0"/>
        </w:rPr>
        <w:t>(Table I)</w:t>
      </w:r>
      <w:r w:rsidR="00CE4AEB" w:rsidRPr="00137589">
        <w:rPr>
          <w:noProof w:val="0"/>
        </w:rPr>
        <w:t>.</w:t>
      </w:r>
    </w:p>
    <w:p w:rsidR="000838BC" w:rsidRPr="00137589" w:rsidRDefault="00884A29" w:rsidP="000838BC">
      <w:pPr>
        <w:spacing w:after="0" w:line="480" w:lineRule="auto"/>
        <w:ind w:firstLine="567"/>
        <w:jc w:val="both"/>
        <w:rPr>
          <w:noProof w:val="0"/>
        </w:rPr>
      </w:pPr>
      <w:r w:rsidRPr="00137589">
        <w:rPr>
          <w:noProof w:val="0"/>
        </w:rPr>
        <w:t>On 22 December 1975</w:t>
      </w:r>
      <w:r w:rsidR="00A20F8A" w:rsidRPr="00137589">
        <w:rPr>
          <w:noProof w:val="0"/>
        </w:rPr>
        <w:t>,</w:t>
      </w:r>
      <w:r w:rsidRPr="00137589">
        <w:rPr>
          <w:noProof w:val="0"/>
        </w:rPr>
        <w:t xml:space="preserve"> Decree-Law 729</w:t>
      </w:r>
      <w:r w:rsidR="00E17D88" w:rsidRPr="00137589">
        <w:rPr>
          <w:noProof w:val="0"/>
        </w:rPr>
        <w:t>-F/75 transformed the nationalis</w:t>
      </w:r>
      <w:r w:rsidR="00AA2ADA" w:rsidRPr="00137589">
        <w:rPr>
          <w:noProof w:val="0"/>
        </w:rPr>
        <w:t>ed banks into S</w:t>
      </w:r>
      <w:r w:rsidRPr="00137589">
        <w:rPr>
          <w:noProof w:val="0"/>
        </w:rPr>
        <w:t>tate-owned enterprises</w:t>
      </w:r>
      <w:r w:rsidR="00C8155D" w:rsidRPr="00137589">
        <w:rPr>
          <w:noProof w:val="0"/>
        </w:rPr>
        <w:t xml:space="preserve"> (Table I)</w:t>
      </w:r>
      <w:r w:rsidRPr="00137589">
        <w:rPr>
          <w:noProof w:val="0"/>
        </w:rPr>
        <w:t xml:space="preserve">, which </w:t>
      </w:r>
      <w:r w:rsidR="004F4478" w:rsidRPr="00137589">
        <w:rPr>
          <w:noProof w:val="0"/>
        </w:rPr>
        <w:t>acquired</w:t>
      </w:r>
      <w:r w:rsidRPr="00137589">
        <w:rPr>
          <w:noProof w:val="0"/>
        </w:rPr>
        <w:t xml:space="preserve"> a particular legal status</w:t>
      </w:r>
      <w:r w:rsidR="004F4478" w:rsidRPr="00137589">
        <w:rPr>
          <w:noProof w:val="0"/>
        </w:rPr>
        <w:t xml:space="preserve"> in 1976</w:t>
      </w:r>
      <w:r w:rsidRPr="00137589">
        <w:rPr>
          <w:noProof w:val="0"/>
        </w:rPr>
        <w:t>, defined by Decree-Law 260/76 of 8 April. This piece of legislation granted State-owned companies administrative, financial and asset autonomy, although under general guidance by the Government, to be exerted through a specific ministry.</w:t>
      </w:r>
      <w:r w:rsidR="000838BC" w:rsidRPr="00137589">
        <w:rPr>
          <w:noProof w:val="0"/>
        </w:rPr>
        <w:t xml:space="preserve"> The minister had to approve the plan of activities of the company, its budget, the prices to be set for its goods and services, as well </w:t>
      </w:r>
      <w:r w:rsidR="009D68A1" w:rsidRPr="00137589">
        <w:rPr>
          <w:noProof w:val="0"/>
        </w:rPr>
        <w:t xml:space="preserve">as </w:t>
      </w:r>
      <w:r w:rsidR="000838BC" w:rsidRPr="00137589">
        <w:rPr>
          <w:noProof w:val="0"/>
        </w:rPr>
        <w:t xml:space="preserve">some forms of debt to be issued, and other </w:t>
      </w:r>
      <w:r w:rsidR="000838BC" w:rsidRPr="00137589">
        <w:rPr>
          <w:noProof w:val="0"/>
        </w:rPr>
        <w:lastRenderedPageBreak/>
        <w:t xml:space="preserve">minor items. On 2 April 1976 a new Constitution was approved which made </w:t>
      </w:r>
      <w:r w:rsidR="00A20F8A" w:rsidRPr="00137589">
        <w:rPr>
          <w:noProof w:val="0"/>
        </w:rPr>
        <w:t>nationalis</w:t>
      </w:r>
      <w:r w:rsidR="007422F6" w:rsidRPr="00137589">
        <w:rPr>
          <w:noProof w:val="0"/>
        </w:rPr>
        <w:t>ations irreversible (“irreversible conquests of the working classes”, in its exact wording)</w:t>
      </w:r>
      <w:r w:rsidR="00E957CF" w:rsidRPr="00137589">
        <w:rPr>
          <w:noProof w:val="0"/>
        </w:rPr>
        <w:t xml:space="preserve"> (Table I)</w:t>
      </w:r>
      <w:r w:rsidR="007422F6" w:rsidRPr="00137589">
        <w:rPr>
          <w:noProof w:val="0"/>
        </w:rPr>
        <w:t>.</w:t>
      </w:r>
    </w:p>
    <w:p w:rsidR="007422F6" w:rsidRPr="00137589" w:rsidRDefault="00E957CF" w:rsidP="000838BC">
      <w:pPr>
        <w:spacing w:after="0" w:line="480" w:lineRule="auto"/>
        <w:ind w:firstLine="567"/>
        <w:jc w:val="both"/>
        <w:rPr>
          <w:noProof w:val="0"/>
        </w:rPr>
      </w:pPr>
      <w:r w:rsidRPr="00137589">
        <w:rPr>
          <w:noProof w:val="0"/>
        </w:rPr>
        <w:t xml:space="preserve">Despite </w:t>
      </w:r>
      <w:r w:rsidR="00A80335" w:rsidRPr="00137589">
        <w:rPr>
          <w:noProof w:val="0"/>
        </w:rPr>
        <w:t>a</w:t>
      </w:r>
      <w:r w:rsidRPr="00137589">
        <w:rPr>
          <w:noProof w:val="0"/>
        </w:rPr>
        <w:t xml:space="preserve"> government control </w:t>
      </w:r>
      <w:r w:rsidR="00A80335" w:rsidRPr="00137589">
        <w:rPr>
          <w:noProof w:val="0"/>
        </w:rPr>
        <w:t xml:space="preserve">that was stronger </w:t>
      </w:r>
      <w:r w:rsidRPr="00137589">
        <w:rPr>
          <w:noProof w:val="0"/>
        </w:rPr>
        <w:t>than in the 1960-1975 period, t</w:t>
      </w:r>
      <w:r w:rsidR="007422F6" w:rsidRPr="00137589">
        <w:rPr>
          <w:noProof w:val="0"/>
        </w:rPr>
        <w:t>he number of operations open to banks was enlarge</w:t>
      </w:r>
      <w:r w:rsidR="0064049C" w:rsidRPr="00137589">
        <w:rPr>
          <w:noProof w:val="0"/>
        </w:rPr>
        <w:t>d</w:t>
      </w:r>
      <w:r w:rsidR="00C8155D" w:rsidRPr="00137589">
        <w:rPr>
          <w:noProof w:val="0"/>
        </w:rPr>
        <w:t>:</w:t>
      </w:r>
      <w:r w:rsidR="00A20F8A" w:rsidRPr="00137589">
        <w:rPr>
          <w:noProof w:val="0"/>
        </w:rPr>
        <w:t xml:space="preserve"> they were authoris</w:t>
      </w:r>
      <w:r w:rsidR="007422F6" w:rsidRPr="00137589">
        <w:rPr>
          <w:noProof w:val="0"/>
        </w:rPr>
        <w:t xml:space="preserve">ed to </w:t>
      </w:r>
      <w:r w:rsidR="0064049C" w:rsidRPr="00137589">
        <w:rPr>
          <w:noProof w:val="0"/>
        </w:rPr>
        <w:t xml:space="preserve">open foreign currency accounts, as long as they </w:t>
      </w:r>
      <w:r w:rsidR="001740B5" w:rsidRPr="00137589">
        <w:rPr>
          <w:noProof w:val="0"/>
        </w:rPr>
        <w:t>belonged to</w:t>
      </w:r>
      <w:r w:rsidRPr="00137589">
        <w:rPr>
          <w:noProof w:val="0"/>
        </w:rPr>
        <w:t xml:space="preserve"> Portuguese emigrants (</w:t>
      </w:r>
      <w:r w:rsidR="00C8155D" w:rsidRPr="00137589">
        <w:rPr>
          <w:noProof w:val="0"/>
        </w:rPr>
        <w:t xml:space="preserve">in </w:t>
      </w:r>
      <w:r w:rsidRPr="00137589">
        <w:rPr>
          <w:noProof w:val="0"/>
        </w:rPr>
        <w:t xml:space="preserve">1975), </w:t>
      </w:r>
      <w:r w:rsidR="0064049C" w:rsidRPr="00137589">
        <w:rPr>
          <w:noProof w:val="0"/>
        </w:rPr>
        <w:t xml:space="preserve">to open accounts of non-residents, </w:t>
      </w:r>
      <w:r w:rsidRPr="00137589">
        <w:rPr>
          <w:noProof w:val="0"/>
        </w:rPr>
        <w:t xml:space="preserve">although </w:t>
      </w:r>
      <w:r w:rsidR="0064049C" w:rsidRPr="00137589">
        <w:rPr>
          <w:noProof w:val="0"/>
        </w:rPr>
        <w:t>only for time deposits</w:t>
      </w:r>
      <w:r w:rsidRPr="00137589">
        <w:rPr>
          <w:noProof w:val="0"/>
        </w:rPr>
        <w:t xml:space="preserve"> (</w:t>
      </w:r>
      <w:r w:rsidR="00C8155D" w:rsidRPr="00137589">
        <w:rPr>
          <w:noProof w:val="0"/>
        </w:rPr>
        <w:t xml:space="preserve">in </w:t>
      </w:r>
      <w:r w:rsidRPr="00137589">
        <w:rPr>
          <w:noProof w:val="0"/>
        </w:rPr>
        <w:t xml:space="preserve">1977), and </w:t>
      </w:r>
      <w:r w:rsidR="0064049C" w:rsidRPr="00137589">
        <w:rPr>
          <w:noProof w:val="0"/>
        </w:rPr>
        <w:t>to give medium- to long-run credit</w:t>
      </w:r>
      <w:r w:rsidRPr="00137589">
        <w:rPr>
          <w:noProof w:val="0"/>
        </w:rPr>
        <w:t xml:space="preserve"> (</w:t>
      </w:r>
      <w:r w:rsidR="00C8155D" w:rsidRPr="00137589">
        <w:rPr>
          <w:noProof w:val="0"/>
        </w:rPr>
        <w:t xml:space="preserve">in </w:t>
      </w:r>
      <w:r w:rsidRPr="00137589">
        <w:rPr>
          <w:noProof w:val="0"/>
        </w:rPr>
        <w:t>1977)</w:t>
      </w:r>
      <w:r w:rsidR="00122D9E" w:rsidRPr="00137589">
        <w:rPr>
          <w:noProof w:val="0"/>
        </w:rPr>
        <w:t xml:space="preserve"> (Table I)</w:t>
      </w:r>
      <w:r w:rsidR="0064049C" w:rsidRPr="00137589">
        <w:rPr>
          <w:noProof w:val="0"/>
        </w:rPr>
        <w:t>. All interest rates used by banks</w:t>
      </w:r>
      <w:r w:rsidRPr="00137589">
        <w:rPr>
          <w:noProof w:val="0"/>
        </w:rPr>
        <w:t>, rather than established by decree as in 1960-1975,</w:t>
      </w:r>
      <w:r w:rsidR="0064049C" w:rsidRPr="00137589">
        <w:rPr>
          <w:noProof w:val="0"/>
        </w:rPr>
        <w:t xml:space="preserve"> were set by the Bank of Portugal</w:t>
      </w:r>
      <w:r w:rsidR="00CA25A2" w:rsidRPr="00137589">
        <w:rPr>
          <w:noProof w:val="0"/>
        </w:rPr>
        <w:t xml:space="preserve"> (BoP)</w:t>
      </w:r>
      <w:r w:rsidR="001B596F" w:rsidRPr="00137589">
        <w:rPr>
          <w:noProof w:val="0"/>
        </w:rPr>
        <w:t xml:space="preserve"> (Decree 644/75 of 15 November 1975)</w:t>
      </w:r>
      <w:r w:rsidR="00CA25A2" w:rsidRPr="00137589">
        <w:rPr>
          <w:noProof w:val="0"/>
        </w:rPr>
        <w:t xml:space="preserve">, </w:t>
      </w:r>
      <w:r w:rsidR="001B596F" w:rsidRPr="00137589">
        <w:rPr>
          <w:noProof w:val="0"/>
        </w:rPr>
        <w:t xml:space="preserve">which meanwhile had also been nationalised in </w:t>
      </w:r>
      <w:r w:rsidR="000B7F8E" w:rsidRPr="00137589">
        <w:rPr>
          <w:noProof w:val="0"/>
        </w:rPr>
        <w:t>1974</w:t>
      </w:r>
      <w:r w:rsidR="001B596F" w:rsidRPr="00137589">
        <w:rPr>
          <w:noProof w:val="0"/>
        </w:rPr>
        <w:t xml:space="preserve"> (</w:t>
      </w:r>
      <w:r w:rsidR="000B7F8E" w:rsidRPr="00137589">
        <w:rPr>
          <w:noProof w:val="0"/>
        </w:rPr>
        <w:t>Decree-Law 452/74, of 13 September</w:t>
      </w:r>
      <w:r w:rsidR="001B596F" w:rsidRPr="00137589">
        <w:rPr>
          <w:noProof w:val="0"/>
        </w:rPr>
        <w:t>). T</w:t>
      </w:r>
      <w:r w:rsidR="00CA25A2" w:rsidRPr="00137589">
        <w:rPr>
          <w:noProof w:val="0"/>
        </w:rPr>
        <w:t xml:space="preserve">he BoP </w:t>
      </w:r>
      <w:r w:rsidR="001B596F" w:rsidRPr="00137589">
        <w:rPr>
          <w:noProof w:val="0"/>
        </w:rPr>
        <w:t xml:space="preserve">was also given </w:t>
      </w:r>
      <w:r w:rsidR="00CA25A2" w:rsidRPr="00137589">
        <w:rPr>
          <w:noProof w:val="0"/>
        </w:rPr>
        <w:t xml:space="preserve">the power to set </w:t>
      </w:r>
      <w:r w:rsidR="00605C92" w:rsidRPr="00137589">
        <w:rPr>
          <w:noProof w:val="0"/>
        </w:rPr>
        <w:t xml:space="preserve">the ratio of </w:t>
      </w:r>
      <w:r w:rsidR="00CA25A2" w:rsidRPr="00137589">
        <w:rPr>
          <w:noProof w:val="0"/>
        </w:rPr>
        <w:t>commercial banks’ currency reserves</w:t>
      </w:r>
      <w:r w:rsidR="001B596F" w:rsidRPr="00137589">
        <w:rPr>
          <w:noProof w:val="0"/>
        </w:rPr>
        <w:t xml:space="preserve"> (thanks to the same decree)</w:t>
      </w:r>
      <w:r w:rsidR="00CA25A2" w:rsidRPr="00137589">
        <w:rPr>
          <w:noProof w:val="0"/>
        </w:rPr>
        <w:t>.</w:t>
      </w:r>
    </w:p>
    <w:p w:rsidR="00CA234E" w:rsidRPr="00137589" w:rsidRDefault="000D29A1" w:rsidP="00CA234E">
      <w:pPr>
        <w:spacing w:after="0" w:line="480" w:lineRule="auto"/>
        <w:ind w:firstLine="567"/>
        <w:jc w:val="both"/>
        <w:rPr>
          <w:noProof w:val="0"/>
        </w:rPr>
      </w:pPr>
      <w:r w:rsidRPr="00137589">
        <w:rPr>
          <w:noProof w:val="0"/>
        </w:rPr>
        <w:t xml:space="preserve">From 1976 onward the </w:t>
      </w:r>
      <w:r w:rsidR="00A5276B" w:rsidRPr="00137589">
        <w:rPr>
          <w:noProof w:val="0"/>
        </w:rPr>
        <w:t xml:space="preserve">political </w:t>
      </w:r>
      <w:r w:rsidRPr="00137589">
        <w:rPr>
          <w:noProof w:val="0"/>
        </w:rPr>
        <w:t xml:space="preserve">regime started moving from its initial communist leanings into </w:t>
      </w:r>
      <w:r w:rsidR="006F12AA" w:rsidRPr="00137589">
        <w:rPr>
          <w:noProof w:val="0"/>
        </w:rPr>
        <w:t>a more moderate direction: the mixed economies of Western Europe were now the reference for reform</w:t>
      </w:r>
      <w:r w:rsidR="00A5276B" w:rsidRPr="00137589">
        <w:rPr>
          <w:noProof w:val="0"/>
        </w:rPr>
        <w:t xml:space="preserve"> (Baklanoff, 1996)</w:t>
      </w:r>
      <w:r w:rsidR="00842605" w:rsidRPr="00137589">
        <w:rPr>
          <w:noProof w:val="0"/>
        </w:rPr>
        <w:t xml:space="preserve"> – these </w:t>
      </w:r>
      <w:r w:rsidR="006F12AA" w:rsidRPr="00137589">
        <w:rPr>
          <w:noProof w:val="0"/>
        </w:rPr>
        <w:t>were e</w:t>
      </w:r>
      <w:r w:rsidR="006B024B" w:rsidRPr="00137589">
        <w:rPr>
          <w:noProof w:val="0"/>
        </w:rPr>
        <w:t>conomies essentially based on market forces but with a strong presence of the State in many aspects of their functioning</w:t>
      </w:r>
      <w:r w:rsidRPr="00137589">
        <w:rPr>
          <w:noProof w:val="0"/>
        </w:rPr>
        <w:t xml:space="preserve">. This was seen in a series of </w:t>
      </w:r>
      <w:r w:rsidR="00A80335" w:rsidRPr="00137589">
        <w:rPr>
          <w:noProof w:val="0"/>
        </w:rPr>
        <w:t>legislative changes, a</w:t>
      </w:r>
      <w:r w:rsidR="00E957CF" w:rsidRPr="00137589">
        <w:rPr>
          <w:noProof w:val="0"/>
        </w:rPr>
        <w:t>ll of them</w:t>
      </w:r>
      <w:r w:rsidRPr="00137589">
        <w:rPr>
          <w:noProof w:val="0"/>
        </w:rPr>
        <w:t xml:space="preserve"> </w:t>
      </w:r>
      <w:r w:rsidR="00A80335" w:rsidRPr="00137589">
        <w:rPr>
          <w:noProof w:val="0"/>
        </w:rPr>
        <w:t>with</w:t>
      </w:r>
      <w:r w:rsidRPr="00137589">
        <w:rPr>
          <w:noProof w:val="0"/>
        </w:rPr>
        <w:t xml:space="preserve"> consequences for commercial banking.</w:t>
      </w:r>
      <w:r w:rsidR="00BA3CAF" w:rsidRPr="00137589">
        <w:rPr>
          <w:noProof w:val="0"/>
        </w:rPr>
        <w:t xml:space="preserve"> One such </w:t>
      </w:r>
      <w:r w:rsidR="00E957CF" w:rsidRPr="00137589">
        <w:rPr>
          <w:noProof w:val="0"/>
        </w:rPr>
        <w:t>change</w:t>
      </w:r>
      <w:r w:rsidR="00BA3CAF" w:rsidRPr="00137589">
        <w:rPr>
          <w:noProof w:val="0"/>
        </w:rPr>
        <w:t xml:space="preserve"> was the approval by the parliament of Law 46/77 of 8 July 1977</w:t>
      </w:r>
      <w:r w:rsidR="00E957CF" w:rsidRPr="00137589">
        <w:rPr>
          <w:noProof w:val="0"/>
        </w:rPr>
        <w:t>,</w:t>
      </w:r>
      <w:r w:rsidR="00BA3CAF" w:rsidRPr="00137589">
        <w:rPr>
          <w:noProof w:val="0"/>
        </w:rPr>
        <w:t xml:space="preserve"> </w:t>
      </w:r>
      <w:r w:rsidR="00E957CF" w:rsidRPr="00137589">
        <w:rPr>
          <w:noProof w:val="0"/>
        </w:rPr>
        <w:t>draw</w:t>
      </w:r>
      <w:r w:rsidR="001B596F" w:rsidRPr="00137589">
        <w:rPr>
          <w:noProof w:val="0"/>
        </w:rPr>
        <w:t>ing</w:t>
      </w:r>
      <w:r w:rsidR="00E957CF" w:rsidRPr="00137589">
        <w:rPr>
          <w:noProof w:val="0"/>
        </w:rPr>
        <w:t xml:space="preserve"> a</w:t>
      </w:r>
      <w:r w:rsidR="00BA3CAF" w:rsidRPr="00137589">
        <w:rPr>
          <w:noProof w:val="0"/>
        </w:rPr>
        <w:t xml:space="preserve"> limit between the </w:t>
      </w:r>
      <w:r w:rsidR="001B596F" w:rsidRPr="00137589">
        <w:rPr>
          <w:noProof w:val="0"/>
        </w:rPr>
        <w:t>“</w:t>
      </w:r>
      <w:r w:rsidR="00BA3CAF" w:rsidRPr="00137589">
        <w:rPr>
          <w:noProof w:val="0"/>
        </w:rPr>
        <w:t>private</w:t>
      </w:r>
      <w:r w:rsidR="001B596F" w:rsidRPr="00137589">
        <w:rPr>
          <w:noProof w:val="0"/>
        </w:rPr>
        <w:t>”</w:t>
      </w:r>
      <w:r w:rsidR="00BA3CAF" w:rsidRPr="00137589">
        <w:rPr>
          <w:noProof w:val="0"/>
        </w:rPr>
        <w:t xml:space="preserve"> and the </w:t>
      </w:r>
      <w:r w:rsidR="001B596F" w:rsidRPr="00137589">
        <w:rPr>
          <w:noProof w:val="0"/>
        </w:rPr>
        <w:t>“</w:t>
      </w:r>
      <w:r w:rsidR="00BA3CAF" w:rsidRPr="00137589">
        <w:rPr>
          <w:noProof w:val="0"/>
        </w:rPr>
        <w:t>public</w:t>
      </w:r>
      <w:r w:rsidR="001B596F" w:rsidRPr="00137589">
        <w:rPr>
          <w:noProof w:val="0"/>
        </w:rPr>
        <w:t>”</w:t>
      </w:r>
      <w:r w:rsidR="00BA3CAF" w:rsidRPr="00137589">
        <w:rPr>
          <w:noProof w:val="0"/>
        </w:rPr>
        <w:t xml:space="preserve"> sectors</w:t>
      </w:r>
      <w:r w:rsidR="00E957CF" w:rsidRPr="00137589">
        <w:rPr>
          <w:noProof w:val="0"/>
        </w:rPr>
        <w:t xml:space="preserve"> of the economy</w:t>
      </w:r>
      <w:r w:rsidR="00BA3CAF" w:rsidRPr="00137589">
        <w:rPr>
          <w:noProof w:val="0"/>
        </w:rPr>
        <w:t xml:space="preserve">. Although the law basically ratified the limits imposed by the Constitution, it was actually an instrument against further expansion of the </w:t>
      </w:r>
      <w:r w:rsidR="00A20F8A" w:rsidRPr="00137589">
        <w:rPr>
          <w:noProof w:val="0"/>
        </w:rPr>
        <w:t>“</w:t>
      </w:r>
      <w:r w:rsidR="00BA3CAF" w:rsidRPr="00137589">
        <w:rPr>
          <w:noProof w:val="0"/>
        </w:rPr>
        <w:t>public</w:t>
      </w:r>
      <w:r w:rsidR="00A20F8A" w:rsidRPr="00137589">
        <w:rPr>
          <w:noProof w:val="0"/>
        </w:rPr>
        <w:t>”</w:t>
      </w:r>
      <w:r w:rsidR="00BA3CAF" w:rsidRPr="00137589">
        <w:rPr>
          <w:noProof w:val="0"/>
        </w:rPr>
        <w:t xml:space="preserve"> sector. Banking was included in the </w:t>
      </w:r>
      <w:r w:rsidR="00795CD4" w:rsidRPr="00137589">
        <w:rPr>
          <w:noProof w:val="0"/>
        </w:rPr>
        <w:t>“</w:t>
      </w:r>
      <w:r w:rsidR="00BA3CAF" w:rsidRPr="00137589">
        <w:rPr>
          <w:noProof w:val="0"/>
        </w:rPr>
        <w:t>public</w:t>
      </w:r>
      <w:r w:rsidR="00795CD4" w:rsidRPr="00137589">
        <w:rPr>
          <w:noProof w:val="0"/>
        </w:rPr>
        <w:t>”</w:t>
      </w:r>
      <w:r w:rsidR="00BA3CAF" w:rsidRPr="00137589">
        <w:rPr>
          <w:noProof w:val="0"/>
        </w:rPr>
        <w:t xml:space="preserve"> sector, meaning that the irreversibility rule still applied</w:t>
      </w:r>
      <w:r w:rsidR="001740B5" w:rsidRPr="00137589">
        <w:rPr>
          <w:noProof w:val="0"/>
        </w:rPr>
        <w:t xml:space="preserve"> to it</w:t>
      </w:r>
      <w:r w:rsidR="00BA3CAF" w:rsidRPr="00137589">
        <w:rPr>
          <w:noProof w:val="0"/>
        </w:rPr>
        <w:t xml:space="preserve">. </w:t>
      </w:r>
      <w:r w:rsidR="00CA234E" w:rsidRPr="00137589">
        <w:rPr>
          <w:noProof w:val="0"/>
        </w:rPr>
        <w:t xml:space="preserve">But </w:t>
      </w:r>
      <w:r w:rsidR="001740B5" w:rsidRPr="00137589">
        <w:rPr>
          <w:noProof w:val="0"/>
        </w:rPr>
        <w:t>the law</w:t>
      </w:r>
      <w:r w:rsidR="00CA234E" w:rsidRPr="00137589">
        <w:rPr>
          <w:noProof w:val="0"/>
        </w:rPr>
        <w:t xml:space="preserve"> opened the door </w:t>
      </w:r>
      <w:r w:rsidR="001740B5" w:rsidRPr="00137589">
        <w:rPr>
          <w:noProof w:val="0"/>
        </w:rPr>
        <w:t>to</w:t>
      </w:r>
      <w:r w:rsidR="00CA234E" w:rsidRPr="00137589">
        <w:rPr>
          <w:noProof w:val="0"/>
        </w:rPr>
        <w:t xml:space="preserve"> the creation of private financial institutions, as long as they </w:t>
      </w:r>
      <w:r w:rsidR="00C8155D" w:rsidRPr="00137589">
        <w:rPr>
          <w:noProof w:val="0"/>
        </w:rPr>
        <w:t>did</w:t>
      </w:r>
      <w:r w:rsidR="00CA234E" w:rsidRPr="00137589">
        <w:rPr>
          <w:noProof w:val="0"/>
        </w:rPr>
        <w:t xml:space="preserve"> not </w:t>
      </w:r>
      <w:r w:rsidR="00C8155D" w:rsidRPr="00137589">
        <w:rPr>
          <w:noProof w:val="0"/>
        </w:rPr>
        <w:t xml:space="preserve">adopt the form of </w:t>
      </w:r>
      <w:r w:rsidR="00CA234E" w:rsidRPr="00137589">
        <w:rPr>
          <w:noProof w:val="0"/>
        </w:rPr>
        <w:t xml:space="preserve">commercial banks. </w:t>
      </w:r>
      <w:r w:rsidR="00C8155D" w:rsidRPr="00137589">
        <w:rPr>
          <w:noProof w:val="0"/>
        </w:rPr>
        <w:t>I</w:t>
      </w:r>
      <w:r w:rsidR="00BA3CAF" w:rsidRPr="00137589">
        <w:rPr>
          <w:noProof w:val="0"/>
        </w:rPr>
        <w:t xml:space="preserve">n 1977 the Portuguese Government asked to join the European Economic Community (EEC), something that did not have immediate practical consequences but </w:t>
      </w:r>
      <w:r w:rsidR="00C8155D" w:rsidRPr="00137589">
        <w:rPr>
          <w:noProof w:val="0"/>
        </w:rPr>
        <w:t xml:space="preserve">would have </w:t>
      </w:r>
      <w:r w:rsidR="009D7907" w:rsidRPr="00137589">
        <w:rPr>
          <w:noProof w:val="0"/>
        </w:rPr>
        <w:t>in the future</w:t>
      </w:r>
      <w:r w:rsidR="00C8155D" w:rsidRPr="00137589">
        <w:rPr>
          <w:noProof w:val="0"/>
        </w:rPr>
        <w:t>. At the time it mostly showed that</w:t>
      </w:r>
      <w:r w:rsidR="00BA3CAF" w:rsidRPr="00137589">
        <w:rPr>
          <w:noProof w:val="0"/>
        </w:rPr>
        <w:t xml:space="preserve"> the </w:t>
      </w:r>
      <w:r w:rsidR="00C8155D" w:rsidRPr="00137589">
        <w:rPr>
          <w:noProof w:val="0"/>
        </w:rPr>
        <w:t xml:space="preserve">new </w:t>
      </w:r>
      <w:r w:rsidR="00BA3CAF" w:rsidRPr="00137589">
        <w:rPr>
          <w:noProof w:val="0"/>
        </w:rPr>
        <w:t xml:space="preserve">regime </w:t>
      </w:r>
      <w:r w:rsidR="00C8155D" w:rsidRPr="00137589">
        <w:rPr>
          <w:noProof w:val="0"/>
        </w:rPr>
        <w:t xml:space="preserve">was </w:t>
      </w:r>
      <w:r w:rsidR="00AA2ADA" w:rsidRPr="00137589">
        <w:rPr>
          <w:noProof w:val="0"/>
        </w:rPr>
        <w:t>determined</w:t>
      </w:r>
      <w:r w:rsidR="00C8155D" w:rsidRPr="00137589">
        <w:rPr>
          <w:noProof w:val="0"/>
        </w:rPr>
        <w:t xml:space="preserve"> to put </w:t>
      </w:r>
      <w:r w:rsidR="00AA2ADA" w:rsidRPr="00137589">
        <w:rPr>
          <w:noProof w:val="0"/>
        </w:rPr>
        <w:t>the</w:t>
      </w:r>
      <w:r w:rsidR="00FD65C0" w:rsidRPr="00137589">
        <w:rPr>
          <w:noProof w:val="0"/>
        </w:rPr>
        <w:t xml:space="preserve"> communist tendencies behind its back</w:t>
      </w:r>
      <w:r w:rsidR="00BA3CAF" w:rsidRPr="00137589">
        <w:rPr>
          <w:noProof w:val="0"/>
        </w:rPr>
        <w:t>.</w:t>
      </w:r>
    </w:p>
    <w:p w:rsidR="006A5473" w:rsidRPr="00137589" w:rsidRDefault="00E957CF" w:rsidP="00CA234E">
      <w:pPr>
        <w:spacing w:after="0" w:line="480" w:lineRule="auto"/>
        <w:ind w:firstLine="567"/>
        <w:jc w:val="both"/>
        <w:rPr>
          <w:noProof w:val="0"/>
        </w:rPr>
      </w:pPr>
      <w:r w:rsidRPr="00137589">
        <w:rPr>
          <w:noProof w:val="0"/>
        </w:rPr>
        <w:t>Between 1979</w:t>
      </w:r>
      <w:r w:rsidR="00A5276B" w:rsidRPr="00137589">
        <w:rPr>
          <w:noProof w:val="0"/>
        </w:rPr>
        <w:t xml:space="preserve"> </w:t>
      </w:r>
      <w:r w:rsidRPr="00137589">
        <w:rPr>
          <w:noProof w:val="0"/>
        </w:rPr>
        <w:t>and 1980 a series of non-banking financial institutions appeared, in order to profit from the openings of Law 46/77: leasing companies, which could issue bonds and ask for loans in both Portuguese and foreign financial institutions (</w:t>
      </w:r>
      <w:r w:rsidR="00CE52B6" w:rsidRPr="00137589">
        <w:rPr>
          <w:noProof w:val="0"/>
        </w:rPr>
        <w:t xml:space="preserve">in </w:t>
      </w:r>
      <w:r w:rsidRPr="00137589">
        <w:rPr>
          <w:noProof w:val="0"/>
        </w:rPr>
        <w:t xml:space="preserve">1979); investment companies, which could </w:t>
      </w:r>
      <w:r w:rsidRPr="00137589">
        <w:rPr>
          <w:noProof w:val="0"/>
        </w:rPr>
        <w:lastRenderedPageBreak/>
        <w:t>grant long-run credit having as resources their own capital, bonds, banking credit and foreign currency deposits (</w:t>
      </w:r>
      <w:r w:rsidR="00CE52B6" w:rsidRPr="00137589">
        <w:rPr>
          <w:noProof w:val="0"/>
        </w:rPr>
        <w:t xml:space="preserve">in </w:t>
      </w:r>
      <w:r w:rsidRPr="00137589">
        <w:rPr>
          <w:noProof w:val="0"/>
        </w:rPr>
        <w:t xml:space="preserve">1979); and Regional Development Societies, whose object was the funding of investment projects at the regional level and </w:t>
      </w:r>
      <w:r w:rsidR="007F3D6E" w:rsidRPr="00137589">
        <w:rPr>
          <w:noProof w:val="0"/>
        </w:rPr>
        <w:t>whose</w:t>
      </w:r>
      <w:r w:rsidRPr="00137589">
        <w:rPr>
          <w:noProof w:val="0"/>
        </w:rPr>
        <w:t xml:space="preserve"> resources were bonds, loans and deposits from emigrants and regional authorities</w:t>
      </w:r>
      <w:r w:rsidR="007F3D6E" w:rsidRPr="00137589">
        <w:rPr>
          <w:noProof w:val="0"/>
        </w:rPr>
        <w:t xml:space="preserve"> (</w:t>
      </w:r>
      <w:r w:rsidR="00CE52B6" w:rsidRPr="00137589">
        <w:rPr>
          <w:noProof w:val="0"/>
        </w:rPr>
        <w:t xml:space="preserve">in </w:t>
      </w:r>
      <w:r w:rsidR="007F3D6E" w:rsidRPr="00137589">
        <w:rPr>
          <w:noProof w:val="0"/>
        </w:rPr>
        <w:t>1980)</w:t>
      </w:r>
      <w:r w:rsidR="00122D9E" w:rsidRPr="00137589">
        <w:rPr>
          <w:noProof w:val="0"/>
        </w:rPr>
        <w:t xml:space="preserve"> (Table I)</w:t>
      </w:r>
      <w:r w:rsidRPr="00137589">
        <w:rPr>
          <w:noProof w:val="0"/>
        </w:rPr>
        <w:t xml:space="preserve">. </w:t>
      </w:r>
      <w:r w:rsidR="007F3D6E" w:rsidRPr="00137589">
        <w:rPr>
          <w:noProof w:val="0"/>
        </w:rPr>
        <w:t>Since commercial banking was closed to private ownership it was in these institutions that most private capital concentrated.</w:t>
      </w:r>
      <w:r w:rsidR="00F350EA" w:rsidRPr="00137589">
        <w:rPr>
          <w:noProof w:val="0"/>
        </w:rPr>
        <w:t xml:space="preserve"> </w:t>
      </w:r>
    </w:p>
    <w:p w:rsidR="007260C9" w:rsidRPr="00137589" w:rsidRDefault="0082466A" w:rsidP="00CA234E">
      <w:pPr>
        <w:spacing w:after="0" w:line="480" w:lineRule="auto"/>
        <w:ind w:firstLine="567"/>
        <w:jc w:val="both"/>
        <w:rPr>
          <w:noProof w:val="0"/>
        </w:rPr>
      </w:pPr>
      <w:r w:rsidRPr="00137589">
        <w:rPr>
          <w:noProof w:val="0"/>
        </w:rPr>
        <w:t xml:space="preserve">On 16 August 1983, Law 11/83 authorized the Government to revise the limits between the public and the private sectors as established in 1977, and on 19 November of the same year Decree-Law 406/83 opened commercial banking to </w:t>
      </w:r>
      <w:r w:rsidR="009B15ED" w:rsidRPr="00137589">
        <w:rPr>
          <w:noProof w:val="0"/>
        </w:rPr>
        <w:t xml:space="preserve">private </w:t>
      </w:r>
      <w:r w:rsidR="001740B5" w:rsidRPr="00137589">
        <w:rPr>
          <w:noProof w:val="0"/>
        </w:rPr>
        <w:t>property</w:t>
      </w:r>
      <w:r w:rsidR="00392510" w:rsidRPr="00137589">
        <w:rPr>
          <w:noProof w:val="0"/>
        </w:rPr>
        <w:t xml:space="preserve"> (including foreign banks)</w:t>
      </w:r>
      <w:r w:rsidR="009B15ED" w:rsidRPr="00137589">
        <w:rPr>
          <w:noProof w:val="0"/>
        </w:rPr>
        <w:t>. This did not mean that th</w:t>
      </w:r>
      <w:r w:rsidR="00F00D77" w:rsidRPr="00137589">
        <w:rPr>
          <w:noProof w:val="0"/>
        </w:rPr>
        <w:t>e banks that had been nationalised could now be privatis</w:t>
      </w:r>
      <w:r w:rsidR="009B15ED" w:rsidRPr="00137589">
        <w:rPr>
          <w:noProof w:val="0"/>
        </w:rPr>
        <w:t xml:space="preserve">ed – these were still under the irreversibility constitutional norm. But it meant that new private banks could </w:t>
      </w:r>
      <w:r w:rsidR="00CE52B6" w:rsidRPr="00137589">
        <w:rPr>
          <w:noProof w:val="0"/>
        </w:rPr>
        <w:t>open</w:t>
      </w:r>
      <w:r w:rsidR="009B15ED" w:rsidRPr="00137589">
        <w:rPr>
          <w:noProof w:val="0"/>
        </w:rPr>
        <w:t>. Decree-Law 51/84 of 11 February 1984 regulated the new institutions.</w:t>
      </w:r>
      <w:r w:rsidR="005839C7" w:rsidRPr="00137589">
        <w:rPr>
          <w:noProof w:val="0"/>
        </w:rPr>
        <w:t xml:space="preserve"> New private banks had to </w:t>
      </w:r>
      <w:r w:rsidR="00A5276B" w:rsidRPr="00137589">
        <w:rPr>
          <w:noProof w:val="0"/>
        </w:rPr>
        <w:t>be incorporated</w:t>
      </w:r>
      <w:r w:rsidR="00FC2876" w:rsidRPr="00137589">
        <w:rPr>
          <w:noProof w:val="0"/>
        </w:rPr>
        <w:t xml:space="preserve"> and </w:t>
      </w:r>
      <w:r w:rsidR="00A5276B" w:rsidRPr="00137589">
        <w:rPr>
          <w:noProof w:val="0"/>
        </w:rPr>
        <w:t xml:space="preserve">have </w:t>
      </w:r>
      <w:r w:rsidR="005839C7" w:rsidRPr="00137589">
        <w:rPr>
          <w:noProof w:val="0"/>
        </w:rPr>
        <w:t xml:space="preserve">a minimum capital of 1,5 billion escudos and its opening </w:t>
      </w:r>
      <w:r w:rsidR="00A5276B" w:rsidRPr="00137589">
        <w:rPr>
          <w:noProof w:val="0"/>
        </w:rPr>
        <w:t>was dependent on authorisation</w:t>
      </w:r>
      <w:r w:rsidR="005839C7" w:rsidRPr="00137589">
        <w:rPr>
          <w:noProof w:val="0"/>
        </w:rPr>
        <w:t xml:space="preserve"> by the Governmen</w:t>
      </w:r>
      <w:r w:rsidR="0076249C" w:rsidRPr="00137589">
        <w:rPr>
          <w:noProof w:val="0"/>
        </w:rPr>
        <w:t>t</w:t>
      </w:r>
      <w:r w:rsidR="005839C7" w:rsidRPr="00137589">
        <w:rPr>
          <w:noProof w:val="0"/>
        </w:rPr>
        <w:t xml:space="preserve"> – the same happened with mergers and acquisitions and the opening of branches</w:t>
      </w:r>
      <w:r w:rsidR="00122D9E" w:rsidRPr="00137589">
        <w:rPr>
          <w:noProof w:val="0"/>
        </w:rPr>
        <w:t xml:space="preserve"> (Table I)</w:t>
      </w:r>
      <w:r w:rsidR="00392510" w:rsidRPr="00137589">
        <w:rPr>
          <w:noProof w:val="0"/>
        </w:rPr>
        <w:t>.</w:t>
      </w:r>
      <w:r w:rsidR="001740B5" w:rsidRPr="00137589">
        <w:rPr>
          <w:noProof w:val="0"/>
        </w:rPr>
        <w:t xml:space="preserve"> </w:t>
      </w:r>
      <w:r w:rsidR="007F3D6E" w:rsidRPr="00137589">
        <w:rPr>
          <w:noProof w:val="0"/>
        </w:rPr>
        <w:t>N</w:t>
      </w:r>
      <w:r w:rsidR="007260C9" w:rsidRPr="00137589">
        <w:rPr>
          <w:noProof w:val="0"/>
        </w:rPr>
        <w:t xml:space="preserve">ew kinds of financial institutions were </w:t>
      </w:r>
      <w:r w:rsidR="007F3D6E" w:rsidRPr="00137589">
        <w:rPr>
          <w:noProof w:val="0"/>
        </w:rPr>
        <w:t xml:space="preserve">also </w:t>
      </w:r>
      <w:r w:rsidR="00F00D77" w:rsidRPr="00137589">
        <w:rPr>
          <w:noProof w:val="0"/>
        </w:rPr>
        <w:t>authoris</w:t>
      </w:r>
      <w:r w:rsidR="007260C9" w:rsidRPr="00137589">
        <w:rPr>
          <w:noProof w:val="0"/>
        </w:rPr>
        <w:t xml:space="preserve">ed: </w:t>
      </w:r>
      <w:r w:rsidR="00D919EB" w:rsidRPr="00137589">
        <w:rPr>
          <w:noProof w:val="0"/>
        </w:rPr>
        <w:t>investment funds (for stock and bond</w:t>
      </w:r>
      <w:r w:rsidR="00122D9E" w:rsidRPr="00137589">
        <w:rPr>
          <w:noProof w:val="0"/>
        </w:rPr>
        <w:t>s and</w:t>
      </w:r>
      <w:r w:rsidR="00D919EB" w:rsidRPr="00137589">
        <w:rPr>
          <w:noProof w:val="0"/>
        </w:rPr>
        <w:t xml:space="preserve"> for real estate</w:t>
      </w:r>
      <w:r w:rsidR="00122D9E" w:rsidRPr="00137589">
        <w:rPr>
          <w:noProof w:val="0"/>
        </w:rPr>
        <w:t>) (</w:t>
      </w:r>
      <w:r w:rsidR="00CE52B6" w:rsidRPr="00137589">
        <w:rPr>
          <w:noProof w:val="0"/>
        </w:rPr>
        <w:t xml:space="preserve">in </w:t>
      </w:r>
      <w:r w:rsidR="00122D9E" w:rsidRPr="00137589">
        <w:rPr>
          <w:noProof w:val="0"/>
        </w:rPr>
        <w:t>1985),</w:t>
      </w:r>
      <w:r w:rsidR="00D919EB" w:rsidRPr="00137589">
        <w:rPr>
          <w:noProof w:val="0"/>
        </w:rPr>
        <w:t xml:space="preserve"> </w:t>
      </w:r>
      <w:r w:rsidR="00F935C4" w:rsidRPr="00137589">
        <w:rPr>
          <w:noProof w:val="0"/>
        </w:rPr>
        <w:t>factoring companies</w:t>
      </w:r>
      <w:r w:rsidR="00122D9E" w:rsidRPr="00137589">
        <w:rPr>
          <w:noProof w:val="0"/>
        </w:rPr>
        <w:t xml:space="preserve"> (</w:t>
      </w:r>
      <w:r w:rsidR="00CE52B6" w:rsidRPr="00137589">
        <w:rPr>
          <w:noProof w:val="0"/>
        </w:rPr>
        <w:t xml:space="preserve">in </w:t>
      </w:r>
      <w:r w:rsidR="00122D9E" w:rsidRPr="00137589">
        <w:rPr>
          <w:noProof w:val="0"/>
        </w:rPr>
        <w:t>1986),</w:t>
      </w:r>
      <w:r w:rsidR="00F935C4" w:rsidRPr="00137589">
        <w:rPr>
          <w:noProof w:val="0"/>
        </w:rPr>
        <w:t xml:space="preserve"> </w:t>
      </w:r>
      <w:r w:rsidR="00D919EB" w:rsidRPr="00137589">
        <w:rPr>
          <w:noProof w:val="0"/>
        </w:rPr>
        <w:t xml:space="preserve">venture capital companies </w:t>
      </w:r>
      <w:r w:rsidR="00122D9E" w:rsidRPr="00137589">
        <w:rPr>
          <w:noProof w:val="0"/>
        </w:rPr>
        <w:t>(</w:t>
      </w:r>
      <w:r w:rsidR="00CE52B6" w:rsidRPr="00137589">
        <w:rPr>
          <w:noProof w:val="0"/>
        </w:rPr>
        <w:t xml:space="preserve">in </w:t>
      </w:r>
      <w:r w:rsidR="00122D9E" w:rsidRPr="00137589">
        <w:rPr>
          <w:noProof w:val="0"/>
        </w:rPr>
        <w:t>1986) and</w:t>
      </w:r>
      <w:r w:rsidR="00D919EB" w:rsidRPr="00137589">
        <w:rPr>
          <w:noProof w:val="0"/>
        </w:rPr>
        <w:t xml:space="preserve"> </w:t>
      </w:r>
      <w:r w:rsidR="00F935C4" w:rsidRPr="00137589">
        <w:rPr>
          <w:noProof w:val="0"/>
        </w:rPr>
        <w:t>credit companies (i.e. companies for consumption credit</w:t>
      </w:r>
      <w:r w:rsidR="00122D9E" w:rsidRPr="00137589">
        <w:rPr>
          <w:noProof w:val="0"/>
        </w:rPr>
        <w:t>) (</w:t>
      </w:r>
      <w:r w:rsidR="00CE52B6" w:rsidRPr="00137589">
        <w:rPr>
          <w:noProof w:val="0"/>
        </w:rPr>
        <w:t xml:space="preserve">in </w:t>
      </w:r>
      <w:r w:rsidR="00122D9E" w:rsidRPr="00137589">
        <w:rPr>
          <w:noProof w:val="0"/>
        </w:rPr>
        <w:t>1989) (Table I)</w:t>
      </w:r>
      <w:r w:rsidR="00F935C4" w:rsidRPr="00137589">
        <w:rPr>
          <w:noProof w:val="0"/>
        </w:rPr>
        <w:t>.</w:t>
      </w:r>
    </w:p>
    <w:p w:rsidR="00392510" w:rsidRPr="00137589" w:rsidRDefault="00FC498F" w:rsidP="00CA234E">
      <w:pPr>
        <w:spacing w:after="0" w:line="480" w:lineRule="auto"/>
        <w:ind w:firstLine="567"/>
        <w:jc w:val="both"/>
        <w:rPr>
          <w:noProof w:val="0"/>
        </w:rPr>
      </w:pPr>
      <w:r w:rsidRPr="00137589">
        <w:rPr>
          <w:noProof w:val="0"/>
        </w:rPr>
        <w:t xml:space="preserve">In what concerns the variables relevant for competition, we can say that between 1975 and 1984 entries in the </w:t>
      </w:r>
      <w:r w:rsidR="00CE52B6" w:rsidRPr="00137589">
        <w:rPr>
          <w:noProof w:val="0"/>
        </w:rPr>
        <w:t xml:space="preserve">commercial banking </w:t>
      </w:r>
      <w:r w:rsidRPr="00137589">
        <w:rPr>
          <w:noProof w:val="0"/>
        </w:rPr>
        <w:t>sector were forbidden (they could only happen if the Government decided to create a new bank</w:t>
      </w:r>
      <w:r w:rsidR="00700069" w:rsidRPr="00137589">
        <w:rPr>
          <w:noProof w:val="0"/>
        </w:rPr>
        <w:t>, but there were no market pressures to enter or exit</w:t>
      </w:r>
      <w:r w:rsidRPr="00137589">
        <w:rPr>
          <w:noProof w:val="0"/>
        </w:rPr>
        <w:t>). Contestability, hence, did not exist.</w:t>
      </w:r>
      <w:r w:rsidR="00392510" w:rsidRPr="00137589">
        <w:rPr>
          <w:noProof w:val="0"/>
        </w:rPr>
        <w:t xml:space="preserve"> </w:t>
      </w:r>
      <w:r w:rsidRPr="00137589">
        <w:rPr>
          <w:noProof w:val="0"/>
        </w:rPr>
        <w:t xml:space="preserve">This was tempered </w:t>
      </w:r>
      <w:r w:rsidR="002D6DE4" w:rsidRPr="00137589">
        <w:rPr>
          <w:noProof w:val="0"/>
        </w:rPr>
        <w:t xml:space="preserve">by </w:t>
      </w:r>
      <w:r w:rsidR="007F3D6E" w:rsidRPr="00137589">
        <w:rPr>
          <w:noProof w:val="0"/>
        </w:rPr>
        <w:t>basically two facts. First,</w:t>
      </w:r>
      <w:r w:rsidR="002D6DE4" w:rsidRPr="00137589">
        <w:rPr>
          <w:noProof w:val="0"/>
        </w:rPr>
        <w:t xml:space="preserve"> commercial banks had some management autonomy</w:t>
      </w:r>
      <w:r w:rsidR="007F3D6E" w:rsidRPr="00137589">
        <w:rPr>
          <w:noProof w:val="0"/>
        </w:rPr>
        <w:t xml:space="preserve">, </w:t>
      </w:r>
      <w:r w:rsidR="001B596F" w:rsidRPr="00137589">
        <w:rPr>
          <w:noProof w:val="0"/>
        </w:rPr>
        <w:t xml:space="preserve">according to the State-owned enterprises statute, </w:t>
      </w:r>
      <w:r w:rsidR="009D68A1" w:rsidRPr="00137589">
        <w:rPr>
          <w:noProof w:val="0"/>
        </w:rPr>
        <w:t>as we have seen above</w:t>
      </w:r>
      <w:r w:rsidR="00842605" w:rsidRPr="00137589">
        <w:rPr>
          <w:noProof w:val="0"/>
        </w:rPr>
        <w:t>,</w:t>
      </w:r>
      <w:r w:rsidR="006F12AA" w:rsidRPr="00137589">
        <w:rPr>
          <w:noProof w:val="0"/>
        </w:rPr>
        <w:t xml:space="preserve"> </w:t>
      </w:r>
      <w:r w:rsidR="007F3D6E" w:rsidRPr="00137589">
        <w:rPr>
          <w:noProof w:val="0"/>
        </w:rPr>
        <w:t>meaning that they were not the mere executioners of the Government’s will. Also, they were given the right to develop more operations</w:t>
      </w:r>
      <w:r w:rsidR="00392510" w:rsidRPr="00137589">
        <w:rPr>
          <w:noProof w:val="0"/>
        </w:rPr>
        <w:t xml:space="preserve"> than during the previous </w:t>
      </w:r>
      <w:r w:rsidR="001B596F" w:rsidRPr="00137589">
        <w:rPr>
          <w:noProof w:val="0"/>
        </w:rPr>
        <w:t>period</w:t>
      </w:r>
      <w:r w:rsidR="007F3D6E" w:rsidRPr="00137589">
        <w:rPr>
          <w:noProof w:val="0"/>
        </w:rPr>
        <w:t xml:space="preserve">, </w:t>
      </w:r>
      <w:r w:rsidR="00392510" w:rsidRPr="00137589">
        <w:rPr>
          <w:noProof w:val="0"/>
        </w:rPr>
        <w:t>some of them with possible consequences for</w:t>
      </w:r>
      <w:r w:rsidR="007F3D6E" w:rsidRPr="00137589">
        <w:rPr>
          <w:noProof w:val="0"/>
        </w:rPr>
        <w:t xml:space="preserve"> competition: attracting emigrants’ remittances or time-deposits of foreign currency, or finding medium- to long-run projects to finance. </w:t>
      </w:r>
      <w:r w:rsidR="00CE52B6" w:rsidRPr="00137589">
        <w:rPr>
          <w:noProof w:val="0"/>
        </w:rPr>
        <w:t>Finally</w:t>
      </w:r>
      <w:r w:rsidR="007F3D6E" w:rsidRPr="00137589">
        <w:rPr>
          <w:noProof w:val="0"/>
        </w:rPr>
        <w:t>, the non-banking financial institutions</w:t>
      </w:r>
      <w:r w:rsidR="005742D5" w:rsidRPr="00137589">
        <w:rPr>
          <w:noProof w:val="0"/>
        </w:rPr>
        <w:t xml:space="preserve"> compete</w:t>
      </w:r>
      <w:r w:rsidR="007F3D6E" w:rsidRPr="00137589">
        <w:rPr>
          <w:noProof w:val="0"/>
        </w:rPr>
        <w:t>d to a certain extent</w:t>
      </w:r>
      <w:r w:rsidR="005742D5" w:rsidRPr="00137589">
        <w:rPr>
          <w:noProof w:val="0"/>
        </w:rPr>
        <w:t xml:space="preserve"> with banks</w:t>
      </w:r>
      <w:r w:rsidR="00392510" w:rsidRPr="00137589">
        <w:rPr>
          <w:noProof w:val="0"/>
        </w:rPr>
        <w:t>. T</w:t>
      </w:r>
      <w:r w:rsidR="007F3D6E" w:rsidRPr="00137589">
        <w:rPr>
          <w:noProof w:val="0"/>
        </w:rPr>
        <w:t>he competition</w:t>
      </w:r>
      <w:r w:rsidR="00392510" w:rsidRPr="00137589">
        <w:rPr>
          <w:noProof w:val="0"/>
        </w:rPr>
        <w:t xml:space="preserve"> </w:t>
      </w:r>
      <w:r w:rsidR="00CE52B6" w:rsidRPr="00137589">
        <w:rPr>
          <w:noProof w:val="0"/>
        </w:rPr>
        <w:t xml:space="preserve">between these institutions </w:t>
      </w:r>
      <w:r w:rsidR="00CE52B6" w:rsidRPr="00137589">
        <w:rPr>
          <w:noProof w:val="0"/>
        </w:rPr>
        <w:lastRenderedPageBreak/>
        <w:t xml:space="preserve">and commercial banks </w:t>
      </w:r>
      <w:r w:rsidR="00392510" w:rsidRPr="00137589">
        <w:rPr>
          <w:noProof w:val="0"/>
        </w:rPr>
        <w:t>was</w:t>
      </w:r>
      <w:r w:rsidR="007F3D6E" w:rsidRPr="00137589">
        <w:rPr>
          <w:noProof w:val="0"/>
        </w:rPr>
        <w:t xml:space="preserve">, </w:t>
      </w:r>
      <w:r w:rsidR="00392510" w:rsidRPr="00137589">
        <w:rPr>
          <w:noProof w:val="0"/>
        </w:rPr>
        <w:t>of course, limited, as the</w:t>
      </w:r>
      <w:r w:rsidR="005742D5" w:rsidRPr="00137589">
        <w:rPr>
          <w:noProof w:val="0"/>
        </w:rPr>
        <w:t xml:space="preserve"> objects and resources </w:t>
      </w:r>
      <w:r w:rsidR="00392510" w:rsidRPr="00137589">
        <w:rPr>
          <w:noProof w:val="0"/>
        </w:rPr>
        <w:t xml:space="preserve">of the two types of institutions </w:t>
      </w:r>
      <w:r w:rsidR="005742D5" w:rsidRPr="00137589">
        <w:rPr>
          <w:noProof w:val="0"/>
        </w:rPr>
        <w:t>co</w:t>
      </w:r>
      <w:r w:rsidR="00392510" w:rsidRPr="00137589">
        <w:rPr>
          <w:noProof w:val="0"/>
        </w:rPr>
        <w:t xml:space="preserve">incided only in </w:t>
      </w:r>
      <w:r w:rsidR="0076249C" w:rsidRPr="00137589">
        <w:rPr>
          <w:noProof w:val="0"/>
        </w:rPr>
        <w:t>some</w:t>
      </w:r>
      <w:r w:rsidR="00CE52B6" w:rsidRPr="00137589">
        <w:rPr>
          <w:noProof w:val="0"/>
        </w:rPr>
        <w:t xml:space="preserve"> dimensions.</w:t>
      </w:r>
    </w:p>
    <w:p w:rsidR="00FC2876" w:rsidRPr="00137589" w:rsidRDefault="00FC498F" w:rsidP="00CA234E">
      <w:pPr>
        <w:spacing w:after="0" w:line="480" w:lineRule="auto"/>
        <w:ind w:firstLine="567"/>
        <w:jc w:val="both"/>
        <w:rPr>
          <w:noProof w:val="0"/>
        </w:rPr>
      </w:pPr>
      <w:r w:rsidRPr="00137589">
        <w:rPr>
          <w:noProof w:val="0"/>
        </w:rPr>
        <w:t>B</w:t>
      </w:r>
      <w:r w:rsidR="001740B5" w:rsidRPr="00137589">
        <w:rPr>
          <w:noProof w:val="0"/>
        </w:rPr>
        <w:t>ut b</w:t>
      </w:r>
      <w:r w:rsidRPr="00137589">
        <w:rPr>
          <w:noProof w:val="0"/>
        </w:rPr>
        <w:t xml:space="preserve">etween 1984 and 1989 the situation </w:t>
      </w:r>
      <w:r w:rsidR="00392510" w:rsidRPr="00137589">
        <w:rPr>
          <w:noProof w:val="0"/>
        </w:rPr>
        <w:t xml:space="preserve">of the market </w:t>
      </w:r>
      <w:r w:rsidRPr="00137589">
        <w:rPr>
          <w:noProof w:val="0"/>
        </w:rPr>
        <w:t xml:space="preserve">changed, with the opening of the sector to private activity. </w:t>
      </w:r>
      <w:r w:rsidR="005742D5" w:rsidRPr="00137589">
        <w:rPr>
          <w:noProof w:val="0"/>
        </w:rPr>
        <w:t>N</w:t>
      </w:r>
      <w:r w:rsidR="00392510" w:rsidRPr="00137589">
        <w:rPr>
          <w:noProof w:val="0"/>
        </w:rPr>
        <w:t>e</w:t>
      </w:r>
      <w:r w:rsidR="005742D5" w:rsidRPr="00137589">
        <w:rPr>
          <w:noProof w:val="0"/>
        </w:rPr>
        <w:t xml:space="preserve">w banks could </w:t>
      </w:r>
      <w:r w:rsidR="00392510" w:rsidRPr="00137589">
        <w:rPr>
          <w:noProof w:val="0"/>
        </w:rPr>
        <w:t>now enter the market</w:t>
      </w:r>
      <w:r w:rsidR="005742D5" w:rsidRPr="00137589">
        <w:rPr>
          <w:noProof w:val="0"/>
        </w:rPr>
        <w:t xml:space="preserve">, although subject to the rules </w:t>
      </w:r>
      <w:r w:rsidR="00392510" w:rsidRPr="00137589">
        <w:rPr>
          <w:noProof w:val="0"/>
        </w:rPr>
        <w:t xml:space="preserve">mentioned </w:t>
      </w:r>
      <w:r w:rsidR="005742D5" w:rsidRPr="00137589">
        <w:rPr>
          <w:noProof w:val="0"/>
        </w:rPr>
        <w:t xml:space="preserve">above (high capital requirements and authorisation by the </w:t>
      </w:r>
      <w:r w:rsidR="007F3D6E" w:rsidRPr="00137589">
        <w:rPr>
          <w:noProof w:val="0"/>
        </w:rPr>
        <w:t>Government</w:t>
      </w:r>
      <w:r w:rsidR="005742D5" w:rsidRPr="00137589">
        <w:rPr>
          <w:noProof w:val="0"/>
        </w:rPr>
        <w:t xml:space="preserve">). </w:t>
      </w:r>
      <w:r w:rsidRPr="00137589">
        <w:rPr>
          <w:noProof w:val="0"/>
        </w:rPr>
        <w:t xml:space="preserve">From 1975 to 1984 mergers and acquisitions had </w:t>
      </w:r>
      <w:r w:rsidR="00392510" w:rsidRPr="00137589">
        <w:rPr>
          <w:noProof w:val="0"/>
        </w:rPr>
        <w:t xml:space="preserve">had </w:t>
      </w:r>
      <w:r w:rsidRPr="00137589">
        <w:rPr>
          <w:noProof w:val="0"/>
        </w:rPr>
        <w:t xml:space="preserve">a strictly administrative existence, as only the Government could decide on them. From 1984 to 1989, </w:t>
      </w:r>
      <w:r w:rsidR="00392510" w:rsidRPr="00137589">
        <w:rPr>
          <w:noProof w:val="0"/>
        </w:rPr>
        <w:t>they</w:t>
      </w:r>
      <w:r w:rsidRPr="00137589">
        <w:rPr>
          <w:noProof w:val="0"/>
        </w:rPr>
        <w:t xml:space="preserve"> could happen in the private part of the market</w:t>
      </w:r>
      <w:r w:rsidR="00392510" w:rsidRPr="00137589">
        <w:rPr>
          <w:noProof w:val="0"/>
        </w:rPr>
        <w:t xml:space="preserve"> thanks partly to market forces</w:t>
      </w:r>
      <w:r w:rsidRPr="00137589">
        <w:rPr>
          <w:noProof w:val="0"/>
        </w:rPr>
        <w:t xml:space="preserve">, </w:t>
      </w:r>
      <w:r w:rsidR="005742D5" w:rsidRPr="00137589">
        <w:rPr>
          <w:noProof w:val="0"/>
        </w:rPr>
        <w:t xml:space="preserve">although </w:t>
      </w:r>
      <w:r w:rsidR="00CE52B6" w:rsidRPr="00137589">
        <w:rPr>
          <w:noProof w:val="0"/>
        </w:rPr>
        <w:t>still</w:t>
      </w:r>
      <w:r w:rsidR="005742D5" w:rsidRPr="00137589">
        <w:rPr>
          <w:noProof w:val="0"/>
        </w:rPr>
        <w:t xml:space="preserve"> </w:t>
      </w:r>
      <w:r w:rsidRPr="00137589">
        <w:rPr>
          <w:noProof w:val="0"/>
        </w:rPr>
        <w:t>dep</w:t>
      </w:r>
      <w:r w:rsidR="0076249C" w:rsidRPr="00137589">
        <w:rPr>
          <w:noProof w:val="0"/>
        </w:rPr>
        <w:t>endent on Government authoris</w:t>
      </w:r>
      <w:r w:rsidRPr="00137589">
        <w:rPr>
          <w:noProof w:val="0"/>
        </w:rPr>
        <w:t>ation</w:t>
      </w:r>
      <w:r w:rsidR="001740B5" w:rsidRPr="00137589">
        <w:rPr>
          <w:noProof w:val="0"/>
        </w:rPr>
        <w:t xml:space="preserve"> – the </w:t>
      </w:r>
      <w:r w:rsidRPr="00137589">
        <w:rPr>
          <w:noProof w:val="0"/>
        </w:rPr>
        <w:t xml:space="preserve">same was true </w:t>
      </w:r>
      <w:r w:rsidR="008C218E" w:rsidRPr="00137589">
        <w:rPr>
          <w:noProof w:val="0"/>
        </w:rPr>
        <w:t>of</w:t>
      </w:r>
      <w:r w:rsidRPr="00137589">
        <w:rPr>
          <w:noProof w:val="0"/>
        </w:rPr>
        <w:t xml:space="preserve"> the opening of branches</w:t>
      </w:r>
      <w:r w:rsidR="001740B5" w:rsidRPr="00137589">
        <w:rPr>
          <w:noProof w:val="0"/>
        </w:rPr>
        <w:t>. A</w:t>
      </w:r>
      <w:r w:rsidR="007F3D6E" w:rsidRPr="00137589">
        <w:rPr>
          <w:noProof w:val="0"/>
        </w:rPr>
        <w:t xml:space="preserve">s </w:t>
      </w:r>
      <w:r w:rsidRPr="00137589">
        <w:rPr>
          <w:noProof w:val="0"/>
        </w:rPr>
        <w:t>for interest rates and liquidity ratios</w:t>
      </w:r>
      <w:r w:rsidR="001740B5" w:rsidRPr="00137589">
        <w:rPr>
          <w:noProof w:val="0"/>
        </w:rPr>
        <w:t>,</w:t>
      </w:r>
      <w:r w:rsidRPr="00137589">
        <w:rPr>
          <w:noProof w:val="0"/>
        </w:rPr>
        <w:t xml:space="preserve"> they were dependent of BoP decisions.</w:t>
      </w:r>
      <w:r w:rsidR="007F3D6E" w:rsidRPr="00137589">
        <w:rPr>
          <w:noProof w:val="0"/>
        </w:rPr>
        <w:t xml:space="preserve"> </w:t>
      </w:r>
      <w:r w:rsidR="008C218E" w:rsidRPr="00137589">
        <w:rPr>
          <w:noProof w:val="0"/>
        </w:rPr>
        <w:t>T</w:t>
      </w:r>
      <w:r w:rsidR="007F3D6E" w:rsidRPr="00137589">
        <w:rPr>
          <w:noProof w:val="0"/>
        </w:rPr>
        <w:t>he competitive environment of the market</w:t>
      </w:r>
      <w:r w:rsidR="008C218E" w:rsidRPr="00137589">
        <w:rPr>
          <w:noProof w:val="0"/>
        </w:rPr>
        <w:t xml:space="preserve"> </w:t>
      </w:r>
      <w:r w:rsidR="001740B5" w:rsidRPr="00137589">
        <w:rPr>
          <w:noProof w:val="0"/>
        </w:rPr>
        <w:t>was</w:t>
      </w:r>
      <w:r w:rsidR="008C218E" w:rsidRPr="00137589">
        <w:rPr>
          <w:noProof w:val="0"/>
        </w:rPr>
        <w:t xml:space="preserve">, thus, </w:t>
      </w:r>
      <w:r w:rsidR="001740B5" w:rsidRPr="00137589">
        <w:rPr>
          <w:noProof w:val="0"/>
        </w:rPr>
        <w:t>significantly</w:t>
      </w:r>
      <w:r w:rsidR="0076249C" w:rsidRPr="00137589">
        <w:rPr>
          <w:noProof w:val="0"/>
        </w:rPr>
        <w:t xml:space="preserve"> altered</w:t>
      </w:r>
      <w:r w:rsidR="008C218E" w:rsidRPr="00137589">
        <w:rPr>
          <w:noProof w:val="0"/>
        </w:rPr>
        <w:t xml:space="preserve"> after 1984.</w:t>
      </w:r>
    </w:p>
    <w:p w:rsidR="00FC498F" w:rsidRPr="00137589" w:rsidRDefault="00FC498F" w:rsidP="00CA234E">
      <w:pPr>
        <w:spacing w:after="0" w:line="480" w:lineRule="auto"/>
        <w:ind w:firstLine="567"/>
        <w:jc w:val="both"/>
        <w:rPr>
          <w:noProof w:val="0"/>
        </w:rPr>
      </w:pPr>
      <w:r w:rsidRPr="00137589">
        <w:rPr>
          <w:noProof w:val="0"/>
        </w:rPr>
        <w:t>The population of commercial banks</w:t>
      </w:r>
      <w:r w:rsidR="001740B5" w:rsidRPr="00137589">
        <w:rPr>
          <w:noProof w:val="0"/>
        </w:rPr>
        <w:t xml:space="preserve"> had important</w:t>
      </w:r>
      <w:r w:rsidRPr="00137589">
        <w:rPr>
          <w:noProof w:val="0"/>
        </w:rPr>
        <w:t xml:space="preserve"> change</w:t>
      </w:r>
      <w:r w:rsidR="00CE52B6" w:rsidRPr="00137589">
        <w:rPr>
          <w:noProof w:val="0"/>
        </w:rPr>
        <w:t>s</w:t>
      </w:r>
      <w:r w:rsidRPr="00137589">
        <w:rPr>
          <w:noProof w:val="0"/>
        </w:rPr>
        <w:t xml:space="preserve"> during this period. In 197</w:t>
      </w:r>
      <w:r w:rsidR="001740B5" w:rsidRPr="00137589">
        <w:rPr>
          <w:noProof w:val="0"/>
        </w:rPr>
        <w:t>4</w:t>
      </w:r>
      <w:r w:rsidR="002D6DE4" w:rsidRPr="00137589">
        <w:rPr>
          <w:noProof w:val="0"/>
        </w:rPr>
        <w:t xml:space="preserve"> the market was constitut</w:t>
      </w:r>
      <w:r w:rsidR="007F3D6E" w:rsidRPr="00137589">
        <w:rPr>
          <w:noProof w:val="0"/>
        </w:rPr>
        <w:t>ed by 1</w:t>
      </w:r>
      <w:r w:rsidR="008C218E" w:rsidRPr="00137589">
        <w:rPr>
          <w:noProof w:val="0"/>
        </w:rPr>
        <w:t>6</w:t>
      </w:r>
      <w:r w:rsidR="007F3D6E" w:rsidRPr="00137589">
        <w:rPr>
          <w:noProof w:val="0"/>
        </w:rPr>
        <w:t xml:space="preserve"> commercial banks</w:t>
      </w:r>
      <w:r w:rsidR="008C218E" w:rsidRPr="00137589">
        <w:rPr>
          <w:noProof w:val="0"/>
        </w:rPr>
        <w:t xml:space="preserve">, which appropriated </w:t>
      </w:r>
      <w:r w:rsidR="001740B5" w:rsidRPr="00137589">
        <w:rPr>
          <w:noProof w:val="0"/>
        </w:rPr>
        <w:t>80</w:t>
      </w:r>
      <w:r w:rsidR="008C218E" w:rsidRPr="00137589">
        <w:rPr>
          <w:noProof w:val="0"/>
        </w:rPr>
        <w:t>% of deposits</w:t>
      </w:r>
      <w:r w:rsidR="002D6DE4" w:rsidRPr="00137589">
        <w:rPr>
          <w:noProof w:val="0"/>
        </w:rPr>
        <w:t>.</w:t>
      </w:r>
      <w:r w:rsidR="00D53F55" w:rsidRPr="00137589">
        <w:rPr>
          <w:noProof w:val="0"/>
        </w:rPr>
        <w:t xml:space="preserve"> </w:t>
      </w:r>
      <w:r w:rsidR="008C218E" w:rsidRPr="00137589">
        <w:rPr>
          <w:noProof w:val="0"/>
        </w:rPr>
        <w:t xml:space="preserve">Virtually all the rest was appropriated by CGD, with a share of </w:t>
      </w:r>
      <w:r w:rsidR="001740B5" w:rsidRPr="00137589">
        <w:rPr>
          <w:noProof w:val="0"/>
        </w:rPr>
        <w:t>18</w:t>
      </w:r>
      <w:r w:rsidR="008C218E" w:rsidRPr="00137589">
        <w:rPr>
          <w:noProof w:val="0"/>
        </w:rPr>
        <w:t xml:space="preserve">%. </w:t>
      </w:r>
      <w:r w:rsidR="005149A2" w:rsidRPr="00137589">
        <w:rPr>
          <w:noProof w:val="0"/>
        </w:rPr>
        <w:t>Between 1975 and 1976 all non-incorporated</w:t>
      </w:r>
      <w:r w:rsidR="00A80335" w:rsidRPr="00137589">
        <w:rPr>
          <w:noProof w:val="0"/>
        </w:rPr>
        <w:t xml:space="preserve"> banks disappeared. Between 1976</w:t>
      </w:r>
      <w:r w:rsidR="005149A2" w:rsidRPr="00137589">
        <w:rPr>
          <w:noProof w:val="0"/>
        </w:rPr>
        <w:t xml:space="preserve"> and</w:t>
      </w:r>
      <w:r w:rsidR="001740B5" w:rsidRPr="00137589">
        <w:rPr>
          <w:noProof w:val="0"/>
        </w:rPr>
        <w:t xml:space="preserve"> </w:t>
      </w:r>
      <w:r w:rsidR="005149A2" w:rsidRPr="00137589">
        <w:rPr>
          <w:noProof w:val="0"/>
        </w:rPr>
        <w:t>1978</w:t>
      </w:r>
      <w:r w:rsidR="00D53F55" w:rsidRPr="00137589">
        <w:rPr>
          <w:noProof w:val="0"/>
        </w:rPr>
        <w:t xml:space="preserve"> the government (now the </w:t>
      </w:r>
      <w:r w:rsidR="00CE52B6" w:rsidRPr="00137589">
        <w:rPr>
          <w:noProof w:val="0"/>
        </w:rPr>
        <w:t>sole</w:t>
      </w:r>
      <w:r w:rsidR="00D53F55" w:rsidRPr="00137589">
        <w:rPr>
          <w:noProof w:val="0"/>
        </w:rPr>
        <w:t xml:space="preserve"> owner of commercial bank</w:t>
      </w:r>
      <w:r w:rsidR="00CE52B6" w:rsidRPr="00137589">
        <w:rPr>
          <w:noProof w:val="0"/>
        </w:rPr>
        <w:t>s</w:t>
      </w:r>
      <w:r w:rsidR="00D53F55" w:rsidRPr="00137589">
        <w:rPr>
          <w:noProof w:val="0"/>
        </w:rPr>
        <w:t xml:space="preserve">) promoted the merging of various banks </w:t>
      </w:r>
      <w:r w:rsidR="008C218E" w:rsidRPr="00137589">
        <w:rPr>
          <w:noProof w:val="0"/>
        </w:rPr>
        <w:t xml:space="preserve">thus reducing their </w:t>
      </w:r>
      <w:r w:rsidR="005149A2" w:rsidRPr="00137589">
        <w:rPr>
          <w:noProof w:val="0"/>
        </w:rPr>
        <w:t>number to</w:t>
      </w:r>
      <w:r w:rsidR="001740B5" w:rsidRPr="00137589">
        <w:rPr>
          <w:noProof w:val="0"/>
        </w:rPr>
        <w:t xml:space="preserve"> </w:t>
      </w:r>
      <w:r w:rsidR="005149A2" w:rsidRPr="00137589">
        <w:rPr>
          <w:noProof w:val="0"/>
        </w:rPr>
        <w:t>nine</w:t>
      </w:r>
      <w:r w:rsidR="00D53F55" w:rsidRPr="00137589">
        <w:rPr>
          <w:noProof w:val="0"/>
        </w:rPr>
        <w:t xml:space="preserve"> (Martins and Rosa, 1977, and Valério, org., 2010). This was the</w:t>
      </w:r>
      <w:r w:rsidR="00940E03" w:rsidRPr="00137589">
        <w:rPr>
          <w:noProof w:val="0"/>
        </w:rPr>
        <w:t xml:space="preserve"> situation prevailing until 1984</w:t>
      </w:r>
      <w:r w:rsidR="00D53F55" w:rsidRPr="00137589">
        <w:rPr>
          <w:noProof w:val="0"/>
        </w:rPr>
        <w:t xml:space="preserve">, </w:t>
      </w:r>
      <w:r w:rsidR="00940E03" w:rsidRPr="00137589">
        <w:rPr>
          <w:noProof w:val="0"/>
        </w:rPr>
        <w:t>at the time of</w:t>
      </w:r>
      <w:r w:rsidR="00D53F55" w:rsidRPr="00137589">
        <w:rPr>
          <w:noProof w:val="0"/>
        </w:rPr>
        <w:t xml:space="preserve"> the opening of the sector </w:t>
      </w:r>
      <w:r w:rsidR="005742D5" w:rsidRPr="00137589">
        <w:rPr>
          <w:noProof w:val="0"/>
        </w:rPr>
        <w:t xml:space="preserve">to </w:t>
      </w:r>
      <w:r w:rsidR="00D53F55" w:rsidRPr="00137589">
        <w:rPr>
          <w:noProof w:val="0"/>
        </w:rPr>
        <w:t>private activity. Then, new banks appear</w:t>
      </w:r>
      <w:r w:rsidR="00326D81" w:rsidRPr="00137589">
        <w:rPr>
          <w:noProof w:val="0"/>
        </w:rPr>
        <w:t>ed</w:t>
      </w:r>
      <w:r w:rsidR="00D53F55" w:rsidRPr="00137589">
        <w:rPr>
          <w:noProof w:val="0"/>
        </w:rPr>
        <w:t xml:space="preserve">: </w:t>
      </w:r>
      <w:r w:rsidR="00CB53DA" w:rsidRPr="00137589">
        <w:rPr>
          <w:noProof w:val="0"/>
        </w:rPr>
        <w:t>five</w:t>
      </w:r>
      <w:r w:rsidR="00D53F55" w:rsidRPr="00137589">
        <w:rPr>
          <w:noProof w:val="0"/>
        </w:rPr>
        <w:t xml:space="preserve"> </w:t>
      </w:r>
      <w:r w:rsidR="007F3D6E" w:rsidRPr="00137589">
        <w:rPr>
          <w:noProof w:val="0"/>
        </w:rPr>
        <w:t>national ones and</w:t>
      </w:r>
      <w:r w:rsidR="000860C2" w:rsidRPr="00137589">
        <w:rPr>
          <w:noProof w:val="0"/>
        </w:rPr>
        <w:t xml:space="preserve"> </w:t>
      </w:r>
      <w:r w:rsidR="00CB53DA" w:rsidRPr="00137589">
        <w:rPr>
          <w:noProof w:val="0"/>
        </w:rPr>
        <w:t>six</w:t>
      </w:r>
      <w:r w:rsidR="000860C2" w:rsidRPr="00137589">
        <w:rPr>
          <w:noProof w:val="0"/>
        </w:rPr>
        <w:t xml:space="preserve"> </w:t>
      </w:r>
      <w:r w:rsidR="00F865DB" w:rsidRPr="00137589">
        <w:rPr>
          <w:noProof w:val="0"/>
        </w:rPr>
        <w:t>foreign</w:t>
      </w:r>
      <w:r w:rsidR="00FC130F">
        <w:rPr>
          <w:noProof w:val="0"/>
        </w:rPr>
        <w:t xml:space="preserve"> ones between 1984 and 1988</w:t>
      </w:r>
      <w:r w:rsidR="000860C2" w:rsidRPr="00137589">
        <w:rPr>
          <w:noProof w:val="0"/>
        </w:rPr>
        <w:t>.</w:t>
      </w:r>
      <w:r w:rsidR="00F935C4" w:rsidRPr="00137589">
        <w:rPr>
          <w:noProof w:val="0"/>
        </w:rPr>
        <w:t xml:space="preserve"> Between 1981 and 1984, six investment societies and seven leasing companies were also created (Valério, org., 2010).</w:t>
      </w:r>
    </w:p>
    <w:p w:rsidR="00D53F55" w:rsidRPr="00137589" w:rsidRDefault="000860C2" w:rsidP="00CA234E">
      <w:pPr>
        <w:spacing w:after="0" w:line="480" w:lineRule="auto"/>
        <w:ind w:firstLine="567"/>
        <w:jc w:val="both"/>
        <w:rPr>
          <w:noProof w:val="0"/>
        </w:rPr>
      </w:pPr>
      <w:r w:rsidRPr="00137589">
        <w:rPr>
          <w:noProof w:val="0"/>
        </w:rPr>
        <w:t>B</w:t>
      </w:r>
      <w:r w:rsidR="00D53F55" w:rsidRPr="00137589">
        <w:rPr>
          <w:noProof w:val="0"/>
        </w:rPr>
        <w:t>y 1989, the</w:t>
      </w:r>
      <w:r w:rsidR="00940E03" w:rsidRPr="00137589">
        <w:rPr>
          <w:noProof w:val="0"/>
        </w:rPr>
        <w:t xml:space="preserve"> number of</w:t>
      </w:r>
      <w:r w:rsidR="00D53F55" w:rsidRPr="00137589">
        <w:rPr>
          <w:noProof w:val="0"/>
        </w:rPr>
        <w:t xml:space="preserve"> </w:t>
      </w:r>
      <w:r w:rsidRPr="00137589">
        <w:rPr>
          <w:noProof w:val="0"/>
        </w:rPr>
        <w:t xml:space="preserve">Portuguese </w:t>
      </w:r>
      <w:r w:rsidR="00D53F55" w:rsidRPr="00137589">
        <w:rPr>
          <w:noProof w:val="0"/>
        </w:rPr>
        <w:t>banks</w:t>
      </w:r>
      <w:r w:rsidR="00940E03" w:rsidRPr="00137589">
        <w:rPr>
          <w:noProof w:val="0"/>
        </w:rPr>
        <w:t xml:space="preserve"> </w:t>
      </w:r>
      <w:r w:rsidR="001B596F" w:rsidRPr="00137589">
        <w:rPr>
          <w:noProof w:val="0"/>
        </w:rPr>
        <w:t xml:space="preserve">had </w:t>
      </w:r>
      <w:r w:rsidR="00CB53DA" w:rsidRPr="00137589">
        <w:rPr>
          <w:noProof w:val="0"/>
        </w:rPr>
        <w:t>jumped back to 14</w:t>
      </w:r>
      <w:r w:rsidRPr="00137589">
        <w:rPr>
          <w:noProof w:val="0"/>
        </w:rPr>
        <w:t>,</w:t>
      </w:r>
      <w:r w:rsidR="00D53F55" w:rsidRPr="00137589">
        <w:rPr>
          <w:noProof w:val="0"/>
        </w:rPr>
        <w:t xml:space="preserve"> </w:t>
      </w:r>
      <w:r w:rsidR="005149A2" w:rsidRPr="00137589">
        <w:rPr>
          <w:noProof w:val="0"/>
        </w:rPr>
        <w:t>more or less the same as</w:t>
      </w:r>
      <w:r w:rsidRPr="00137589">
        <w:rPr>
          <w:noProof w:val="0"/>
        </w:rPr>
        <w:t xml:space="preserve"> in 197</w:t>
      </w:r>
      <w:r w:rsidR="005149A2" w:rsidRPr="00137589">
        <w:rPr>
          <w:noProof w:val="0"/>
        </w:rPr>
        <w:t>4</w:t>
      </w:r>
      <w:r w:rsidRPr="00137589">
        <w:rPr>
          <w:noProof w:val="0"/>
        </w:rPr>
        <w:t xml:space="preserve">. Adding the foreign ones, </w:t>
      </w:r>
      <w:r w:rsidR="005149A2" w:rsidRPr="00137589">
        <w:rPr>
          <w:noProof w:val="0"/>
        </w:rPr>
        <w:t xml:space="preserve">however, the number </w:t>
      </w:r>
      <w:r w:rsidR="00940E03" w:rsidRPr="00137589">
        <w:rPr>
          <w:noProof w:val="0"/>
        </w:rPr>
        <w:t>passed</w:t>
      </w:r>
      <w:r w:rsidR="00CB53DA" w:rsidRPr="00137589">
        <w:rPr>
          <w:noProof w:val="0"/>
        </w:rPr>
        <w:t xml:space="preserve"> to 23</w:t>
      </w:r>
      <w:r w:rsidR="009D68A1" w:rsidRPr="00137589">
        <w:rPr>
          <w:noProof w:val="0"/>
        </w:rPr>
        <w:t xml:space="preserve">, more or less </w:t>
      </w:r>
      <w:r w:rsidR="00842605" w:rsidRPr="00137589">
        <w:rPr>
          <w:noProof w:val="0"/>
        </w:rPr>
        <w:t xml:space="preserve">the same </w:t>
      </w:r>
      <w:r w:rsidR="009D68A1" w:rsidRPr="00137589">
        <w:rPr>
          <w:noProof w:val="0"/>
        </w:rPr>
        <w:t>as in 1960</w:t>
      </w:r>
      <w:r w:rsidRPr="00137589">
        <w:rPr>
          <w:noProof w:val="0"/>
        </w:rPr>
        <w:t xml:space="preserve">. </w:t>
      </w:r>
      <w:r w:rsidR="008C218E" w:rsidRPr="00137589">
        <w:rPr>
          <w:noProof w:val="0"/>
        </w:rPr>
        <w:t>The</w:t>
      </w:r>
      <w:r w:rsidRPr="00137589">
        <w:rPr>
          <w:noProof w:val="0"/>
        </w:rPr>
        <w:t xml:space="preserve"> changes </w:t>
      </w:r>
      <w:r w:rsidR="008C218E" w:rsidRPr="00137589">
        <w:rPr>
          <w:noProof w:val="0"/>
        </w:rPr>
        <w:t xml:space="preserve">from 1975 to 1989 </w:t>
      </w:r>
      <w:r w:rsidRPr="00137589">
        <w:rPr>
          <w:noProof w:val="0"/>
        </w:rPr>
        <w:t xml:space="preserve">are reflected in the HHI and concentration ratios presented in Figures </w:t>
      </w:r>
      <w:r w:rsidR="00FC130F">
        <w:rPr>
          <w:noProof w:val="0"/>
        </w:rPr>
        <w:t>2</w:t>
      </w:r>
      <w:r w:rsidR="008C218E" w:rsidRPr="00137589">
        <w:rPr>
          <w:noProof w:val="0"/>
        </w:rPr>
        <w:t xml:space="preserve"> and </w:t>
      </w:r>
      <w:r w:rsidR="00FC130F">
        <w:rPr>
          <w:noProof w:val="0"/>
        </w:rPr>
        <w:t>3</w:t>
      </w:r>
      <w:r w:rsidRPr="00137589">
        <w:rPr>
          <w:noProof w:val="0"/>
        </w:rPr>
        <w:t>. Both indic</w:t>
      </w:r>
      <w:r w:rsidR="001B596F" w:rsidRPr="00137589">
        <w:rPr>
          <w:noProof w:val="0"/>
        </w:rPr>
        <w:t>ators increased after nationalis</w:t>
      </w:r>
      <w:r w:rsidRPr="00137589">
        <w:rPr>
          <w:noProof w:val="0"/>
        </w:rPr>
        <w:t xml:space="preserve">ation and </w:t>
      </w:r>
      <w:r w:rsidR="005F2E0A">
        <w:rPr>
          <w:noProof w:val="0"/>
        </w:rPr>
        <w:t>the</w:t>
      </w:r>
      <w:r w:rsidRPr="00137589">
        <w:rPr>
          <w:noProof w:val="0"/>
        </w:rPr>
        <w:t xml:space="preserve"> me</w:t>
      </w:r>
      <w:r w:rsidR="00AD5946" w:rsidRPr="00137589">
        <w:rPr>
          <w:noProof w:val="0"/>
        </w:rPr>
        <w:t xml:space="preserve">rgers promoted </w:t>
      </w:r>
      <w:r w:rsidR="00FC130F">
        <w:rPr>
          <w:noProof w:val="0"/>
        </w:rPr>
        <w:t xml:space="preserve">by the Government </w:t>
      </w:r>
      <w:r w:rsidR="00AD5946" w:rsidRPr="00137589">
        <w:rPr>
          <w:noProof w:val="0"/>
        </w:rPr>
        <w:t xml:space="preserve">during the 1970s: HHI for deposits grew from around </w:t>
      </w:r>
      <w:r w:rsidR="00795CD4" w:rsidRPr="00137589">
        <w:rPr>
          <w:noProof w:val="0"/>
        </w:rPr>
        <w:t>0.10</w:t>
      </w:r>
      <w:r w:rsidR="00AD5946" w:rsidRPr="00137589">
        <w:rPr>
          <w:noProof w:val="0"/>
        </w:rPr>
        <w:t xml:space="preserve"> </w:t>
      </w:r>
      <w:r w:rsidR="001B596F" w:rsidRPr="00137589">
        <w:rPr>
          <w:noProof w:val="0"/>
        </w:rPr>
        <w:t xml:space="preserve">back </w:t>
      </w:r>
      <w:r w:rsidR="00AD5946" w:rsidRPr="00137589">
        <w:rPr>
          <w:noProof w:val="0"/>
        </w:rPr>
        <w:t xml:space="preserve">to around </w:t>
      </w:r>
      <w:r w:rsidR="00795CD4" w:rsidRPr="00137589">
        <w:rPr>
          <w:noProof w:val="0"/>
        </w:rPr>
        <w:t>0.13</w:t>
      </w:r>
      <w:r w:rsidR="00AD5946" w:rsidRPr="00137589">
        <w:rPr>
          <w:noProof w:val="0"/>
        </w:rPr>
        <w:t xml:space="preserve"> in 19</w:t>
      </w:r>
      <w:r w:rsidR="001B596F" w:rsidRPr="00137589">
        <w:rPr>
          <w:noProof w:val="0"/>
        </w:rPr>
        <w:t>84 (</w:t>
      </w:r>
      <w:r w:rsidR="00AA2ADA" w:rsidRPr="00137589">
        <w:rPr>
          <w:noProof w:val="0"/>
        </w:rPr>
        <w:t>a value similar to that of</w:t>
      </w:r>
      <w:r w:rsidR="001B596F" w:rsidRPr="00137589">
        <w:rPr>
          <w:noProof w:val="0"/>
        </w:rPr>
        <w:t xml:space="preserve"> </w:t>
      </w:r>
      <w:r w:rsidR="00795CD4" w:rsidRPr="00137589">
        <w:rPr>
          <w:noProof w:val="0"/>
        </w:rPr>
        <w:t xml:space="preserve">the </w:t>
      </w:r>
      <w:r w:rsidR="001B596F" w:rsidRPr="00137589">
        <w:rPr>
          <w:noProof w:val="0"/>
        </w:rPr>
        <w:t>1960</w:t>
      </w:r>
      <w:r w:rsidR="00795CD4" w:rsidRPr="00137589">
        <w:rPr>
          <w:noProof w:val="0"/>
        </w:rPr>
        <w:t>s</w:t>
      </w:r>
      <w:r w:rsidR="001B596F" w:rsidRPr="00137589">
        <w:rPr>
          <w:noProof w:val="0"/>
        </w:rPr>
        <w:t>)</w:t>
      </w:r>
      <w:r w:rsidR="00AD5946" w:rsidRPr="00137589">
        <w:rPr>
          <w:noProof w:val="0"/>
        </w:rPr>
        <w:t xml:space="preserve">, and for assets from around </w:t>
      </w:r>
      <w:r w:rsidR="00795CD4" w:rsidRPr="00137589">
        <w:rPr>
          <w:noProof w:val="0"/>
        </w:rPr>
        <w:t>0.09</w:t>
      </w:r>
      <w:r w:rsidR="00AD5946" w:rsidRPr="00137589">
        <w:rPr>
          <w:noProof w:val="0"/>
        </w:rPr>
        <w:t xml:space="preserve"> to around </w:t>
      </w:r>
      <w:r w:rsidR="00795CD4" w:rsidRPr="00137589">
        <w:rPr>
          <w:noProof w:val="0"/>
        </w:rPr>
        <w:t>0.13</w:t>
      </w:r>
      <w:r w:rsidR="00AD5946" w:rsidRPr="00137589">
        <w:rPr>
          <w:noProof w:val="0"/>
        </w:rPr>
        <w:t>. The share of the three largest banks in terms of deposits grew from around 40% to around 50%</w:t>
      </w:r>
      <w:r w:rsidR="001B596F" w:rsidRPr="00137589">
        <w:rPr>
          <w:noProof w:val="0"/>
        </w:rPr>
        <w:t xml:space="preserve"> in the same </w:t>
      </w:r>
      <w:r w:rsidR="001B596F" w:rsidRPr="00137589">
        <w:rPr>
          <w:noProof w:val="0"/>
        </w:rPr>
        <w:lastRenderedPageBreak/>
        <w:t>period</w:t>
      </w:r>
      <w:r w:rsidR="00AD5946" w:rsidRPr="00137589">
        <w:rPr>
          <w:noProof w:val="0"/>
        </w:rPr>
        <w:t>, and for the five larg</w:t>
      </w:r>
      <w:r w:rsidR="001B596F" w:rsidRPr="00137589">
        <w:rPr>
          <w:noProof w:val="0"/>
        </w:rPr>
        <w:t xml:space="preserve">est from around 60% to around </w:t>
      </w:r>
      <w:r w:rsidR="00795CD4" w:rsidRPr="00137589">
        <w:rPr>
          <w:noProof w:val="0"/>
        </w:rPr>
        <w:t>67</w:t>
      </w:r>
      <w:r w:rsidR="00AD5946" w:rsidRPr="00137589">
        <w:rPr>
          <w:noProof w:val="0"/>
        </w:rPr>
        <w:t xml:space="preserve">%. In terms of assets the picture is similar. There was some fluctuation of all indicators </w:t>
      </w:r>
      <w:r w:rsidR="00795CD4" w:rsidRPr="00137589">
        <w:rPr>
          <w:noProof w:val="0"/>
        </w:rPr>
        <w:t>between 1975 and the mid-1980s</w:t>
      </w:r>
      <w:r w:rsidR="00AD5946" w:rsidRPr="00137589">
        <w:rPr>
          <w:noProof w:val="0"/>
        </w:rPr>
        <w:t>, showing that not all was</w:t>
      </w:r>
      <w:r w:rsidR="001B596F" w:rsidRPr="00137589">
        <w:rPr>
          <w:noProof w:val="0"/>
        </w:rPr>
        <w:t xml:space="preserve"> calm in the world of nationalis</w:t>
      </w:r>
      <w:r w:rsidR="00AD5946" w:rsidRPr="00137589">
        <w:rPr>
          <w:noProof w:val="0"/>
        </w:rPr>
        <w:t>ed banking</w:t>
      </w:r>
      <w:r w:rsidR="00326D81" w:rsidRPr="00137589">
        <w:rPr>
          <w:noProof w:val="0"/>
        </w:rPr>
        <w:t>. B</w:t>
      </w:r>
      <w:r w:rsidR="00AD5946" w:rsidRPr="00137589">
        <w:rPr>
          <w:noProof w:val="0"/>
        </w:rPr>
        <w:t xml:space="preserve">ut </w:t>
      </w:r>
      <w:r w:rsidR="00326D81" w:rsidRPr="00137589">
        <w:rPr>
          <w:noProof w:val="0"/>
        </w:rPr>
        <w:t xml:space="preserve">from </w:t>
      </w:r>
      <w:r w:rsidR="00AD5946" w:rsidRPr="00137589">
        <w:rPr>
          <w:noProof w:val="0"/>
        </w:rPr>
        <w:t>the</w:t>
      </w:r>
      <w:r w:rsidR="001B596F" w:rsidRPr="00137589">
        <w:rPr>
          <w:noProof w:val="0"/>
        </w:rPr>
        <w:t xml:space="preserve"> mid-1980s to the early-1990s</w:t>
      </w:r>
      <w:r w:rsidR="00326D81" w:rsidRPr="00137589">
        <w:rPr>
          <w:noProof w:val="0"/>
        </w:rPr>
        <w:t xml:space="preserve"> </w:t>
      </w:r>
      <w:r w:rsidR="00AD5946" w:rsidRPr="00137589">
        <w:rPr>
          <w:noProof w:val="0"/>
        </w:rPr>
        <w:t>there was a strong decline</w:t>
      </w:r>
      <w:r w:rsidR="00326D81" w:rsidRPr="00137589">
        <w:rPr>
          <w:noProof w:val="0"/>
        </w:rPr>
        <w:t>,</w:t>
      </w:r>
      <w:r w:rsidR="00AD5946" w:rsidRPr="00137589">
        <w:rPr>
          <w:noProof w:val="0"/>
        </w:rPr>
        <w:t xml:space="preserve"> </w:t>
      </w:r>
      <w:r w:rsidR="00326D81" w:rsidRPr="00137589">
        <w:rPr>
          <w:noProof w:val="0"/>
        </w:rPr>
        <w:t>accompanying the appearance of the new banks</w:t>
      </w:r>
      <w:r w:rsidRPr="00137589">
        <w:rPr>
          <w:noProof w:val="0"/>
        </w:rPr>
        <w:t xml:space="preserve">. </w:t>
      </w:r>
      <w:r w:rsidR="00AD5946" w:rsidRPr="00137589">
        <w:rPr>
          <w:noProof w:val="0"/>
        </w:rPr>
        <w:t xml:space="preserve">The HHI for </w:t>
      </w:r>
      <w:r w:rsidR="00795CD4" w:rsidRPr="00137589">
        <w:rPr>
          <w:noProof w:val="0"/>
        </w:rPr>
        <w:t xml:space="preserve">both </w:t>
      </w:r>
      <w:r w:rsidR="00AD5946" w:rsidRPr="00137589">
        <w:rPr>
          <w:noProof w:val="0"/>
        </w:rPr>
        <w:t xml:space="preserve">deposits </w:t>
      </w:r>
      <w:r w:rsidR="00795CD4" w:rsidRPr="00137589">
        <w:rPr>
          <w:noProof w:val="0"/>
        </w:rPr>
        <w:t xml:space="preserve">and assets </w:t>
      </w:r>
      <w:r w:rsidR="001B596F" w:rsidRPr="00137589">
        <w:rPr>
          <w:noProof w:val="0"/>
        </w:rPr>
        <w:t xml:space="preserve">fell from around </w:t>
      </w:r>
      <w:r w:rsidR="00795CD4" w:rsidRPr="00137589">
        <w:rPr>
          <w:noProof w:val="0"/>
        </w:rPr>
        <w:t>0.13</w:t>
      </w:r>
      <w:r w:rsidR="001B596F" w:rsidRPr="00137589">
        <w:rPr>
          <w:noProof w:val="0"/>
        </w:rPr>
        <w:t xml:space="preserve"> to around </w:t>
      </w:r>
      <w:r w:rsidR="00795CD4" w:rsidRPr="00137589">
        <w:rPr>
          <w:noProof w:val="0"/>
        </w:rPr>
        <w:t>0.09</w:t>
      </w:r>
      <w:r w:rsidR="00FC130F">
        <w:rPr>
          <w:noProof w:val="0"/>
        </w:rPr>
        <w:t xml:space="preserve"> – </w:t>
      </w:r>
      <w:r w:rsidR="00A80335" w:rsidRPr="00137589">
        <w:rPr>
          <w:noProof w:val="0"/>
        </w:rPr>
        <w:t xml:space="preserve">never </w:t>
      </w:r>
      <w:r w:rsidR="009D7907" w:rsidRPr="00137589">
        <w:rPr>
          <w:noProof w:val="0"/>
        </w:rPr>
        <w:t xml:space="preserve">much </w:t>
      </w:r>
      <w:r w:rsidR="00A80335" w:rsidRPr="00137589">
        <w:rPr>
          <w:noProof w:val="0"/>
        </w:rPr>
        <w:t>below the 1973 level</w:t>
      </w:r>
      <w:r w:rsidR="001B596F" w:rsidRPr="00137589">
        <w:rPr>
          <w:noProof w:val="0"/>
        </w:rPr>
        <w:t>. T</w:t>
      </w:r>
      <w:r w:rsidR="00AD5946" w:rsidRPr="00137589">
        <w:rPr>
          <w:noProof w:val="0"/>
        </w:rPr>
        <w:t>he share of the three largest banks (both in terms of deposits and assets) fell from around 5</w:t>
      </w:r>
      <w:r w:rsidR="001B596F" w:rsidRPr="00137589">
        <w:rPr>
          <w:noProof w:val="0"/>
        </w:rPr>
        <w:t>0</w:t>
      </w:r>
      <w:r w:rsidR="00AD5946" w:rsidRPr="00137589">
        <w:rPr>
          <w:noProof w:val="0"/>
        </w:rPr>
        <w:t>% to around 4</w:t>
      </w:r>
      <w:r w:rsidR="001B596F" w:rsidRPr="00137589">
        <w:rPr>
          <w:noProof w:val="0"/>
        </w:rPr>
        <w:t>0</w:t>
      </w:r>
      <w:r w:rsidR="00AD5946" w:rsidRPr="00137589">
        <w:rPr>
          <w:noProof w:val="0"/>
        </w:rPr>
        <w:t>%, and the share of the five largest banks (again o</w:t>
      </w:r>
      <w:r w:rsidR="001B596F" w:rsidRPr="00137589">
        <w:rPr>
          <w:noProof w:val="0"/>
        </w:rPr>
        <w:t>n both dimensions) from around 65% to around 5</w:t>
      </w:r>
      <w:r w:rsidR="00AD5946" w:rsidRPr="00137589">
        <w:rPr>
          <w:noProof w:val="0"/>
        </w:rPr>
        <w:t>5%.</w:t>
      </w:r>
    </w:p>
    <w:p w:rsidR="001F45A9" w:rsidRPr="00CB53DA" w:rsidRDefault="001F45A9" w:rsidP="009D68A1">
      <w:pPr>
        <w:spacing w:after="0" w:line="480" w:lineRule="auto"/>
        <w:ind w:firstLine="567"/>
        <w:jc w:val="both"/>
        <w:rPr>
          <w:b/>
          <w:noProof w:val="0"/>
        </w:rPr>
      </w:pPr>
      <w:r w:rsidRPr="00137589">
        <w:rPr>
          <w:noProof w:val="0"/>
        </w:rPr>
        <w:t xml:space="preserve">The reasons </w:t>
      </w:r>
      <w:r w:rsidR="00FC130F">
        <w:rPr>
          <w:noProof w:val="0"/>
        </w:rPr>
        <w:t xml:space="preserve">behind the </w:t>
      </w:r>
      <w:r w:rsidRPr="00137589">
        <w:rPr>
          <w:noProof w:val="0"/>
        </w:rPr>
        <w:t xml:space="preserve">market movements </w:t>
      </w:r>
      <w:r w:rsidR="00FC130F">
        <w:rPr>
          <w:noProof w:val="0"/>
        </w:rPr>
        <w:t xml:space="preserve">in this period </w:t>
      </w:r>
      <w:r w:rsidRPr="00137589">
        <w:rPr>
          <w:noProof w:val="0"/>
        </w:rPr>
        <w:t>remain much unclear due to</w:t>
      </w:r>
      <w:r w:rsidR="00FC130F">
        <w:rPr>
          <w:noProof w:val="0"/>
        </w:rPr>
        <w:t xml:space="preserve"> lack of research</w:t>
      </w:r>
      <w:r w:rsidRPr="00137589">
        <w:rPr>
          <w:noProof w:val="0"/>
        </w:rPr>
        <w:t>: what were the principles</w:t>
      </w:r>
      <w:r w:rsidR="009D7907" w:rsidRPr="00137589">
        <w:rPr>
          <w:noProof w:val="0"/>
        </w:rPr>
        <w:t xml:space="preserve"> </w:t>
      </w:r>
      <w:r w:rsidR="006F65A0" w:rsidRPr="00137589">
        <w:rPr>
          <w:noProof w:val="0"/>
        </w:rPr>
        <w:t>behind the reorganisations of the 1970s – why some banks were closed, some received the assets of closing banks (and not other</w:t>
      </w:r>
      <w:r w:rsidR="009D68A1" w:rsidRPr="00137589">
        <w:rPr>
          <w:noProof w:val="0"/>
        </w:rPr>
        <w:t>s)</w:t>
      </w:r>
      <w:r w:rsidR="00FC130F">
        <w:rPr>
          <w:noProof w:val="0"/>
        </w:rPr>
        <w:t>?</w:t>
      </w:r>
      <w:r w:rsidR="00842605" w:rsidRPr="00137589">
        <w:rPr>
          <w:noProof w:val="0"/>
        </w:rPr>
        <w:t xml:space="preserve"> These are the questions that must orient the much necessary research on this period.</w:t>
      </w:r>
    </w:p>
    <w:p w:rsidR="00630C4E" w:rsidRDefault="00630C4E" w:rsidP="00CA234E">
      <w:pPr>
        <w:spacing w:after="0" w:line="480" w:lineRule="auto"/>
        <w:ind w:firstLine="567"/>
        <w:jc w:val="both"/>
        <w:rPr>
          <w:b/>
          <w:noProof w:val="0"/>
        </w:rPr>
      </w:pPr>
    </w:p>
    <w:p w:rsidR="00DA0A2A" w:rsidRPr="009E4B63" w:rsidRDefault="00DA0A2A" w:rsidP="00CA234E">
      <w:pPr>
        <w:spacing w:after="0" w:line="480" w:lineRule="auto"/>
        <w:ind w:firstLine="567"/>
        <w:jc w:val="both"/>
        <w:rPr>
          <w:noProof w:val="0"/>
        </w:rPr>
      </w:pPr>
      <w:r w:rsidRPr="009E4B63">
        <w:rPr>
          <w:b/>
          <w:noProof w:val="0"/>
        </w:rPr>
        <w:t>1c) 19</w:t>
      </w:r>
      <w:r w:rsidR="00D32507">
        <w:rPr>
          <w:b/>
          <w:noProof w:val="0"/>
        </w:rPr>
        <w:t>89-2015</w:t>
      </w:r>
    </w:p>
    <w:p w:rsidR="00CB4FD3" w:rsidRPr="00137589" w:rsidRDefault="002F14FC" w:rsidP="00D32507">
      <w:pPr>
        <w:spacing w:after="0" w:line="480" w:lineRule="auto"/>
        <w:ind w:firstLine="567"/>
        <w:jc w:val="both"/>
        <w:rPr>
          <w:noProof w:val="0"/>
        </w:rPr>
      </w:pPr>
      <w:r w:rsidRPr="00137589">
        <w:rPr>
          <w:noProof w:val="0"/>
        </w:rPr>
        <w:t>In 1989 a fundamental legislative change</w:t>
      </w:r>
      <w:r w:rsidR="00256391" w:rsidRPr="00137589">
        <w:rPr>
          <w:noProof w:val="0"/>
        </w:rPr>
        <w:t xml:space="preserve"> took place:</w:t>
      </w:r>
      <w:r w:rsidRPr="00137589">
        <w:rPr>
          <w:noProof w:val="0"/>
        </w:rPr>
        <w:t xml:space="preserve"> a co</w:t>
      </w:r>
      <w:r w:rsidR="00F865DB" w:rsidRPr="00137589">
        <w:rPr>
          <w:noProof w:val="0"/>
        </w:rPr>
        <w:t>nstitutional revision abolished</w:t>
      </w:r>
      <w:r w:rsidRPr="00137589">
        <w:rPr>
          <w:noProof w:val="0"/>
        </w:rPr>
        <w:t xml:space="preserve"> the principle of irreversibility of the revolutionary </w:t>
      </w:r>
      <w:r w:rsidR="00D32507" w:rsidRPr="00137589">
        <w:rPr>
          <w:noProof w:val="0"/>
        </w:rPr>
        <w:t>nationalis</w:t>
      </w:r>
      <w:r w:rsidRPr="00137589">
        <w:rPr>
          <w:noProof w:val="0"/>
        </w:rPr>
        <w:t>ations (Cons</w:t>
      </w:r>
      <w:r w:rsidR="00256391" w:rsidRPr="00137589">
        <w:rPr>
          <w:noProof w:val="0"/>
        </w:rPr>
        <w:t>titutional Law 1/89, of 8 July), meaning that</w:t>
      </w:r>
      <w:r w:rsidRPr="00137589">
        <w:rPr>
          <w:noProof w:val="0"/>
        </w:rPr>
        <w:t xml:space="preserve"> </w:t>
      </w:r>
      <w:r w:rsidR="00256391" w:rsidRPr="00137589">
        <w:rPr>
          <w:noProof w:val="0"/>
        </w:rPr>
        <w:t>t</w:t>
      </w:r>
      <w:r w:rsidR="00CB4FD3" w:rsidRPr="00137589">
        <w:rPr>
          <w:noProof w:val="0"/>
        </w:rPr>
        <w:t>he previous</w:t>
      </w:r>
      <w:r w:rsidR="00D32507" w:rsidRPr="00137589">
        <w:rPr>
          <w:noProof w:val="0"/>
        </w:rPr>
        <w:t>ly nationalis</w:t>
      </w:r>
      <w:r w:rsidR="00CB4FD3" w:rsidRPr="00137589">
        <w:rPr>
          <w:noProof w:val="0"/>
        </w:rPr>
        <w:t xml:space="preserve">ed </w:t>
      </w:r>
      <w:r w:rsidR="00256391" w:rsidRPr="00137589">
        <w:rPr>
          <w:noProof w:val="0"/>
        </w:rPr>
        <w:t xml:space="preserve">assets (including the </w:t>
      </w:r>
      <w:r w:rsidR="00CB4FD3" w:rsidRPr="00137589">
        <w:rPr>
          <w:noProof w:val="0"/>
        </w:rPr>
        <w:t>banks</w:t>
      </w:r>
      <w:r w:rsidR="00256391" w:rsidRPr="00137589">
        <w:rPr>
          <w:noProof w:val="0"/>
        </w:rPr>
        <w:t>)</w:t>
      </w:r>
      <w:r w:rsidR="00D32507" w:rsidRPr="00137589">
        <w:rPr>
          <w:noProof w:val="0"/>
        </w:rPr>
        <w:t xml:space="preserve"> could now be re-privatis</w:t>
      </w:r>
      <w:r w:rsidR="00CB4FD3" w:rsidRPr="00137589">
        <w:rPr>
          <w:noProof w:val="0"/>
        </w:rPr>
        <w:t xml:space="preserve">ed. </w:t>
      </w:r>
      <w:r w:rsidR="0039030B">
        <w:rPr>
          <w:noProof w:val="0"/>
        </w:rPr>
        <w:t>Three years r</w:t>
      </w:r>
      <w:r w:rsidR="00256391" w:rsidRPr="00137589">
        <w:rPr>
          <w:noProof w:val="0"/>
        </w:rPr>
        <w:t>ater</w:t>
      </w:r>
      <w:r w:rsidR="0039030B">
        <w:rPr>
          <w:noProof w:val="0"/>
        </w:rPr>
        <w:t>,</w:t>
      </w:r>
      <w:r w:rsidR="009914D8" w:rsidRPr="00137589">
        <w:rPr>
          <w:noProof w:val="0"/>
        </w:rPr>
        <w:t xml:space="preserve"> the legal framework </w:t>
      </w:r>
      <w:r w:rsidR="00256391" w:rsidRPr="00137589">
        <w:rPr>
          <w:noProof w:val="0"/>
        </w:rPr>
        <w:t xml:space="preserve">for banking also </w:t>
      </w:r>
      <w:r w:rsidR="009914D8" w:rsidRPr="00137589">
        <w:rPr>
          <w:noProof w:val="0"/>
        </w:rPr>
        <w:t>changed, with Decree-Law 298/92, of 31 December</w:t>
      </w:r>
      <w:r w:rsidR="00326D81" w:rsidRPr="00137589">
        <w:rPr>
          <w:noProof w:val="0"/>
        </w:rPr>
        <w:t xml:space="preserve"> </w:t>
      </w:r>
      <w:r w:rsidR="0039030B">
        <w:rPr>
          <w:noProof w:val="0"/>
        </w:rPr>
        <w:t xml:space="preserve">1992 </w:t>
      </w:r>
      <w:r w:rsidR="00326D81" w:rsidRPr="00137589">
        <w:rPr>
          <w:noProof w:val="0"/>
        </w:rPr>
        <w:t>(Table I)</w:t>
      </w:r>
      <w:r w:rsidR="009914D8" w:rsidRPr="00137589">
        <w:rPr>
          <w:noProof w:val="0"/>
        </w:rPr>
        <w:t>. Th</w:t>
      </w:r>
      <w:r w:rsidR="00256391" w:rsidRPr="00137589">
        <w:rPr>
          <w:noProof w:val="0"/>
        </w:rPr>
        <w:t>e new legislation</w:t>
      </w:r>
      <w:r w:rsidR="009914D8" w:rsidRPr="00137589">
        <w:rPr>
          <w:noProof w:val="0"/>
        </w:rPr>
        <w:t xml:space="preserve"> was a watershed </w:t>
      </w:r>
      <w:r w:rsidR="00256391" w:rsidRPr="00137589">
        <w:rPr>
          <w:noProof w:val="0"/>
        </w:rPr>
        <w:t xml:space="preserve">for </w:t>
      </w:r>
      <w:r w:rsidR="009914D8" w:rsidRPr="00137589">
        <w:rPr>
          <w:noProof w:val="0"/>
        </w:rPr>
        <w:t>Portuguese banking</w:t>
      </w:r>
      <w:r w:rsidR="00CB4FD3" w:rsidRPr="00137589">
        <w:rPr>
          <w:noProof w:val="0"/>
        </w:rPr>
        <w:t xml:space="preserve">. An important purpose of </w:t>
      </w:r>
      <w:r w:rsidR="00256391" w:rsidRPr="00137589">
        <w:rPr>
          <w:noProof w:val="0"/>
        </w:rPr>
        <w:t>it</w:t>
      </w:r>
      <w:r w:rsidR="00CB4FD3" w:rsidRPr="00137589">
        <w:rPr>
          <w:noProof w:val="0"/>
        </w:rPr>
        <w:t xml:space="preserve"> was to make Portuguese </w:t>
      </w:r>
      <w:r w:rsidR="00256391" w:rsidRPr="00137589">
        <w:rPr>
          <w:noProof w:val="0"/>
        </w:rPr>
        <w:t>legislation</w:t>
      </w:r>
      <w:r w:rsidR="00CB4FD3" w:rsidRPr="00137589">
        <w:rPr>
          <w:noProof w:val="0"/>
        </w:rPr>
        <w:t xml:space="preserve"> converge with that of other countries participating in the </w:t>
      </w:r>
      <w:r w:rsidR="000511F1" w:rsidRPr="00137589">
        <w:rPr>
          <w:noProof w:val="0"/>
        </w:rPr>
        <w:t>European Union (</w:t>
      </w:r>
      <w:r w:rsidR="00CB4FD3" w:rsidRPr="00137589">
        <w:rPr>
          <w:noProof w:val="0"/>
        </w:rPr>
        <w:t>EU</w:t>
      </w:r>
      <w:r w:rsidR="000511F1" w:rsidRPr="00137589">
        <w:rPr>
          <w:noProof w:val="0"/>
        </w:rPr>
        <w:t>)</w:t>
      </w:r>
      <w:r w:rsidR="00CB4FD3" w:rsidRPr="00137589">
        <w:rPr>
          <w:noProof w:val="0"/>
        </w:rPr>
        <w:t xml:space="preserve">, especially in </w:t>
      </w:r>
      <w:r w:rsidR="000511F1" w:rsidRPr="00137589">
        <w:rPr>
          <w:noProof w:val="0"/>
        </w:rPr>
        <w:t>the European Monetary Union (</w:t>
      </w:r>
      <w:r w:rsidR="00CB4FD3" w:rsidRPr="00137589">
        <w:rPr>
          <w:noProof w:val="0"/>
        </w:rPr>
        <w:t>EMU</w:t>
      </w:r>
      <w:r w:rsidR="000511F1" w:rsidRPr="00137589">
        <w:rPr>
          <w:noProof w:val="0"/>
        </w:rPr>
        <w:t>)</w:t>
      </w:r>
      <w:r w:rsidR="00CB4FD3" w:rsidRPr="00137589">
        <w:rPr>
          <w:noProof w:val="0"/>
        </w:rPr>
        <w:t>. The new legislation incorporated the basic principles</w:t>
      </w:r>
      <w:r w:rsidR="00F865DB" w:rsidRPr="00137589">
        <w:rPr>
          <w:noProof w:val="0"/>
        </w:rPr>
        <w:t xml:space="preserve"> </w:t>
      </w:r>
      <w:r w:rsidR="00CB4FD3" w:rsidRPr="00137589">
        <w:rPr>
          <w:noProof w:val="0"/>
        </w:rPr>
        <w:t>of the first three EU banking dire</w:t>
      </w:r>
      <w:r w:rsidR="006F65A0" w:rsidRPr="00137589">
        <w:rPr>
          <w:noProof w:val="0"/>
        </w:rPr>
        <w:t>ctives (77/780/EEC, 89</w:t>
      </w:r>
      <w:r w:rsidR="00256391" w:rsidRPr="00137589">
        <w:rPr>
          <w:noProof w:val="0"/>
        </w:rPr>
        <w:t>/646/EEC,</w:t>
      </w:r>
      <w:r w:rsidR="00CB4FD3" w:rsidRPr="00137589">
        <w:rPr>
          <w:noProof w:val="0"/>
        </w:rPr>
        <w:t xml:space="preserve"> 92/30/EEC</w:t>
      </w:r>
      <w:r w:rsidR="006F65A0" w:rsidRPr="00137589">
        <w:rPr>
          <w:noProof w:val="0"/>
        </w:rPr>
        <w:t>, of 12 December 1977, 15 December 1989, and 15 April 1992, respectively</w:t>
      </w:r>
      <w:r w:rsidR="00CB4FD3" w:rsidRPr="00137589">
        <w:rPr>
          <w:noProof w:val="0"/>
        </w:rPr>
        <w:t>). Since EMU presupposed freedom of circulation of capital, the legislation incorporate</w:t>
      </w:r>
      <w:r w:rsidR="00F865DB" w:rsidRPr="00137589">
        <w:rPr>
          <w:noProof w:val="0"/>
        </w:rPr>
        <w:t>d</w:t>
      </w:r>
      <w:r w:rsidR="00CB4FD3" w:rsidRPr="00137589">
        <w:rPr>
          <w:noProof w:val="0"/>
        </w:rPr>
        <w:t xml:space="preserve"> the principles of freedom of establishment and </w:t>
      </w:r>
      <w:r w:rsidR="00F865DB" w:rsidRPr="00137589">
        <w:rPr>
          <w:noProof w:val="0"/>
        </w:rPr>
        <w:t xml:space="preserve">of </w:t>
      </w:r>
      <w:r w:rsidR="00CB4FD3" w:rsidRPr="00137589">
        <w:rPr>
          <w:noProof w:val="0"/>
        </w:rPr>
        <w:t xml:space="preserve">supplying of services by foreign banks. </w:t>
      </w:r>
      <w:r w:rsidR="000511F1" w:rsidRPr="00137589">
        <w:rPr>
          <w:noProof w:val="0"/>
        </w:rPr>
        <w:t>T</w:t>
      </w:r>
      <w:r w:rsidR="00CB4FD3" w:rsidRPr="00137589">
        <w:rPr>
          <w:noProof w:val="0"/>
        </w:rPr>
        <w:t xml:space="preserve">he BoP retained a series of important powers that limited the impact of such principles, </w:t>
      </w:r>
      <w:r w:rsidR="000511F1" w:rsidRPr="00137589">
        <w:rPr>
          <w:noProof w:val="0"/>
        </w:rPr>
        <w:t xml:space="preserve">especially with respect to </w:t>
      </w:r>
      <w:r w:rsidR="00D32507" w:rsidRPr="00137589">
        <w:rPr>
          <w:noProof w:val="0"/>
        </w:rPr>
        <w:t xml:space="preserve">the installation of </w:t>
      </w:r>
      <w:r w:rsidR="000511F1" w:rsidRPr="00137589">
        <w:rPr>
          <w:noProof w:val="0"/>
        </w:rPr>
        <w:t>foreign banks</w:t>
      </w:r>
      <w:r w:rsidR="00CB4FD3" w:rsidRPr="00137589">
        <w:rPr>
          <w:noProof w:val="0"/>
        </w:rPr>
        <w:t>.</w:t>
      </w:r>
    </w:p>
    <w:p w:rsidR="009914D8" w:rsidRPr="00137589" w:rsidRDefault="00CB4FD3" w:rsidP="002F14FC">
      <w:pPr>
        <w:spacing w:after="0" w:line="480" w:lineRule="auto"/>
        <w:ind w:firstLine="567"/>
        <w:jc w:val="both"/>
        <w:rPr>
          <w:noProof w:val="0"/>
        </w:rPr>
      </w:pPr>
      <w:r w:rsidRPr="00137589">
        <w:rPr>
          <w:noProof w:val="0"/>
        </w:rPr>
        <w:lastRenderedPageBreak/>
        <w:t xml:space="preserve">In what concerns entry in the market, </w:t>
      </w:r>
      <w:r w:rsidR="000511F1" w:rsidRPr="00137589">
        <w:rPr>
          <w:noProof w:val="0"/>
        </w:rPr>
        <w:t>the Government was for</w:t>
      </w:r>
      <w:r w:rsidR="009914D8" w:rsidRPr="00137589">
        <w:rPr>
          <w:noProof w:val="0"/>
        </w:rPr>
        <w:t xml:space="preserve"> the first time st</w:t>
      </w:r>
      <w:r w:rsidR="00D874AA" w:rsidRPr="00137589">
        <w:rPr>
          <w:noProof w:val="0"/>
        </w:rPr>
        <w:t>ripped of its powers to authoris</w:t>
      </w:r>
      <w:r w:rsidR="009914D8" w:rsidRPr="00137589">
        <w:rPr>
          <w:noProof w:val="0"/>
        </w:rPr>
        <w:t>e the opening of banks or mergers and acquisitions</w:t>
      </w:r>
      <w:r w:rsidR="00256391" w:rsidRPr="00137589">
        <w:rPr>
          <w:noProof w:val="0"/>
        </w:rPr>
        <w:t>. These</w:t>
      </w:r>
      <w:r w:rsidRPr="00137589">
        <w:rPr>
          <w:noProof w:val="0"/>
        </w:rPr>
        <w:t xml:space="preserve"> powers were now attributed to the BoP, which </w:t>
      </w:r>
      <w:r w:rsidR="000511F1" w:rsidRPr="00137589">
        <w:rPr>
          <w:noProof w:val="0"/>
        </w:rPr>
        <w:t xml:space="preserve">in principle </w:t>
      </w:r>
      <w:r w:rsidRPr="00137589">
        <w:rPr>
          <w:noProof w:val="0"/>
        </w:rPr>
        <w:t>should follow</w:t>
      </w:r>
      <w:r w:rsidR="009914D8" w:rsidRPr="00137589">
        <w:rPr>
          <w:noProof w:val="0"/>
        </w:rPr>
        <w:t xml:space="preserve"> strictly technical and prudential</w:t>
      </w:r>
      <w:r w:rsidRPr="00137589">
        <w:rPr>
          <w:noProof w:val="0"/>
        </w:rPr>
        <w:t xml:space="preserve"> criteria</w:t>
      </w:r>
      <w:r w:rsidR="009914D8" w:rsidRPr="00137589">
        <w:rPr>
          <w:noProof w:val="0"/>
        </w:rPr>
        <w:t>, rather than political</w:t>
      </w:r>
      <w:r w:rsidR="006E2649" w:rsidRPr="00137589">
        <w:rPr>
          <w:noProof w:val="0"/>
        </w:rPr>
        <w:t xml:space="preserve"> ones</w:t>
      </w:r>
      <w:r w:rsidR="009914D8" w:rsidRPr="00137589">
        <w:rPr>
          <w:noProof w:val="0"/>
        </w:rPr>
        <w:t>.</w:t>
      </w:r>
      <w:r w:rsidRPr="00137589">
        <w:rPr>
          <w:noProof w:val="0"/>
        </w:rPr>
        <w:t xml:space="preserve"> </w:t>
      </w:r>
      <w:r w:rsidR="00403A0E" w:rsidRPr="00137589">
        <w:rPr>
          <w:noProof w:val="0"/>
        </w:rPr>
        <w:t xml:space="preserve">The only power left to </w:t>
      </w:r>
      <w:r w:rsidR="00256391" w:rsidRPr="00137589">
        <w:rPr>
          <w:noProof w:val="0"/>
        </w:rPr>
        <w:t xml:space="preserve">the </w:t>
      </w:r>
      <w:r w:rsidR="00403A0E" w:rsidRPr="00137589">
        <w:rPr>
          <w:noProof w:val="0"/>
        </w:rPr>
        <w:t xml:space="preserve">Government was </w:t>
      </w:r>
      <w:r w:rsidR="00256391" w:rsidRPr="00137589">
        <w:rPr>
          <w:noProof w:val="0"/>
        </w:rPr>
        <w:t>that of</w:t>
      </w:r>
      <w:r w:rsidR="00403A0E" w:rsidRPr="00137589">
        <w:rPr>
          <w:noProof w:val="0"/>
        </w:rPr>
        <w:t xml:space="preserve"> setting the minimum capital requirement for opening a bank. </w:t>
      </w:r>
      <w:r w:rsidRPr="00137589">
        <w:rPr>
          <w:noProof w:val="0"/>
        </w:rPr>
        <w:t xml:space="preserve">The legislation adopted the principles of universal banking, </w:t>
      </w:r>
      <w:r w:rsidR="00F865DB" w:rsidRPr="00137589">
        <w:rPr>
          <w:noProof w:val="0"/>
        </w:rPr>
        <w:t xml:space="preserve">something </w:t>
      </w:r>
      <w:r w:rsidR="00256391" w:rsidRPr="00137589">
        <w:rPr>
          <w:noProof w:val="0"/>
        </w:rPr>
        <w:t>completely opposite to</w:t>
      </w:r>
      <w:r w:rsidR="00F865DB" w:rsidRPr="00137589">
        <w:rPr>
          <w:noProof w:val="0"/>
        </w:rPr>
        <w:t xml:space="preserve"> the </w:t>
      </w:r>
      <w:r w:rsidR="00256391" w:rsidRPr="00137589">
        <w:rPr>
          <w:noProof w:val="0"/>
        </w:rPr>
        <w:t xml:space="preserve">spirit of the </w:t>
      </w:r>
      <w:r w:rsidR="00F865DB" w:rsidRPr="00137589">
        <w:rPr>
          <w:noProof w:val="0"/>
        </w:rPr>
        <w:t>1960-1975 legislation. Th</w:t>
      </w:r>
      <w:r w:rsidR="006E2649" w:rsidRPr="00137589">
        <w:rPr>
          <w:noProof w:val="0"/>
        </w:rPr>
        <w:t xml:space="preserve">e nature and </w:t>
      </w:r>
      <w:r w:rsidR="00256391" w:rsidRPr="00137589">
        <w:rPr>
          <w:noProof w:val="0"/>
        </w:rPr>
        <w:t xml:space="preserve">the </w:t>
      </w:r>
      <w:r w:rsidR="006E2649" w:rsidRPr="00137589">
        <w:rPr>
          <w:noProof w:val="0"/>
        </w:rPr>
        <w:t>number of operations</w:t>
      </w:r>
      <w:r w:rsidR="00256391" w:rsidRPr="00137589">
        <w:rPr>
          <w:noProof w:val="0"/>
        </w:rPr>
        <w:t xml:space="preserve"> banks could now perform</w:t>
      </w:r>
      <w:r w:rsidR="006E2649" w:rsidRPr="00137589">
        <w:rPr>
          <w:noProof w:val="0"/>
        </w:rPr>
        <w:t xml:space="preserve"> increased </w:t>
      </w:r>
      <w:r w:rsidR="00256391" w:rsidRPr="00137589">
        <w:rPr>
          <w:noProof w:val="0"/>
        </w:rPr>
        <w:t xml:space="preserve">thus </w:t>
      </w:r>
      <w:r w:rsidR="006E2649" w:rsidRPr="00137589">
        <w:rPr>
          <w:noProof w:val="0"/>
        </w:rPr>
        <w:t xml:space="preserve">significantly. </w:t>
      </w:r>
      <w:r w:rsidR="00403A0E" w:rsidRPr="00137589">
        <w:rPr>
          <w:noProof w:val="0"/>
        </w:rPr>
        <w:t>Limits to these operat</w:t>
      </w:r>
      <w:r w:rsidR="00326D81" w:rsidRPr="00137589">
        <w:rPr>
          <w:noProof w:val="0"/>
        </w:rPr>
        <w:t>ions became residual (see Table I</w:t>
      </w:r>
      <w:r w:rsidR="00403A0E" w:rsidRPr="00137589">
        <w:rPr>
          <w:noProof w:val="0"/>
        </w:rPr>
        <w:t xml:space="preserve">). </w:t>
      </w:r>
      <w:r w:rsidR="006E2649" w:rsidRPr="00137589">
        <w:rPr>
          <w:noProof w:val="0"/>
        </w:rPr>
        <w:t>Banks were now given a large margin of action.</w:t>
      </w:r>
    </w:p>
    <w:p w:rsidR="002151F8" w:rsidRPr="00137589" w:rsidRDefault="00256391" w:rsidP="002151F8">
      <w:pPr>
        <w:spacing w:after="0" w:line="480" w:lineRule="auto"/>
        <w:ind w:firstLine="567"/>
        <w:jc w:val="both"/>
        <w:rPr>
          <w:noProof w:val="0"/>
        </w:rPr>
      </w:pPr>
      <w:r w:rsidRPr="00137589">
        <w:rPr>
          <w:noProof w:val="0"/>
        </w:rPr>
        <w:t>All of t</w:t>
      </w:r>
      <w:r w:rsidR="006E2649" w:rsidRPr="00137589">
        <w:rPr>
          <w:noProof w:val="0"/>
        </w:rPr>
        <w:t xml:space="preserve">his </w:t>
      </w:r>
      <w:r w:rsidRPr="00137589">
        <w:rPr>
          <w:noProof w:val="0"/>
        </w:rPr>
        <w:t xml:space="preserve">was </w:t>
      </w:r>
      <w:r w:rsidR="006E2649" w:rsidRPr="00137589">
        <w:rPr>
          <w:noProof w:val="0"/>
        </w:rPr>
        <w:t xml:space="preserve">accompanied </w:t>
      </w:r>
      <w:r w:rsidRPr="00137589">
        <w:rPr>
          <w:noProof w:val="0"/>
        </w:rPr>
        <w:t>by the</w:t>
      </w:r>
      <w:r w:rsidR="006E2649" w:rsidRPr="00137589">
        <w:rPr>
          <w:noProof w:val="0"/>
        </w:rPr>
        <w:t xml:space="preserve"> process of progressive </w:t>
      </w:r>
      <w:r w:rsidR="009D68A1" w:rsidRPr="00137589">
        <w:rPr>
          <w:noProof w:val="0"/>
        </w:rPr>
        <w:t>liberalis</w:t>
      </w:r>
      <w:r w:rsidRPr="00137589">
        <w:rPr>
          <w:noProof w:val="0"/>
        </w:rPr>
        <w:t>ation of</w:t>
      </w:r>
      <w:r w:rsidR="006829C5" w:rsidRPr="00137589">
        <w:rPr>
          <w:noProof w:val="0"/>
        </w:rPr>
        <w:t xml:space="preserve"> banks’ interest rates: </w:t>
      </w:r>
      <w:r w:rsidR="00122D9E" w:rsidRPr="00137589">
        <w:rPr>
          <w:noProof w:val="0"/>
        </w:rPr>
        <w:t>between 1988 and 1993 all limits to interest rates were abolished and banks became for the first time entirely free to set the level of their rates</w:t>
      </w:r>
      <w:r w:rsidRPr="00137589">
        <w:rPr>
          <w:noProof w:val="0"/>
        </w:rPr>
        <w:t xml:space="preserve"> (</w:t>
      </w:r>
      <w:r w:rsidR="00122D9E" w:rsidRPr="00137589">
        <w:rPr>
          <w:noProof w:val="0"/>
        </w:rPr>
        <w:t>rather than the Government or the BoP</w:t>
      </w:r>
      <w:r w:rsidRPr="00137589">
        <w:rPr>
          <w:noProof w:val="0"/>
        </w:rPr>
        <w:t>)</w:t>
      </w:r>
      <w:r w:rsidR="00122D9E" w:rsidRPr="00137589">
        <w:rPr>
          <w:noProof w:val="0"/>
        </w:rPr>
        <w:t xml:space="preserve"> (Table I)</w:t>
      </w:r>
      <w:r w:rsidR="006829C5" w:rsidRPr="00137589">
        <w:rPr>
          <w:noProof w:val="0"/>
        </w:rPr>
        <w:t>.</w:t>
      </w:r>
      <w:r w:rsidR="00CB53DA" w:rsidRPr="00137589">
        <w:rPr>
          <w:noProof w:val="0"/>
        </w:rPr>
        <w:t xml:space="preserve"> In 1991, Decree-Law 24/91,</w:t>
      </w:r>
      <w:r w:rsidR="006F65A0" w:rsidRPr="00137589">
        <w:rPr>
          <w:noProof w:val="0"/>
        </w:rPr>
        <w:t xml:space="preserve"> </w:t>
      </w:r>
      <w:r w:rsidR="00CB53DA" w:rsidRPr="00137589">
        <w:rPr>
          <w:noProof w:val="0"/>
        </w:rPr>
        <w:t xml:space="preserve">of 11 January, allowed agricultural credit banks to associate </w:t>
      </w:r>
      <w:r w:rsidR="00FC130F">
        <w:rPr>
          <w:noProof w:val="0"/>
        </w:rPr>
        <w:t>in one large bank</w:t>
      </w:r>
      <w:r w:rsidR="00CB53DA" w:rsidRPr="00137589">
        <w:rPr>
          <w:noProof w:val="0"/>
        </w:rPr>
        <w:t>, which in turn was allowed to perform regular banking operations.</w:t>
      </w:r>
      <w:r w:rsidR="006829C5" w:rsidRPr="00137589">
        <w:rPr>
          <w:noProof w:val="0"/>
        </w:rPr>
        <w:t xml:space="preserve"> I</w:t>
      </w:r>
      <w:r w:rsidR="006125F7" w:rsidRPr="00137589">
        <w:rPr>
          <w:noProof w:val="0"/>
        </w:rPr>
        <w:t xml:space="preserve">n 1993, CGD was transformed into a </w:t>
      </w:r>
      <w:r w:rsidR="00AA2ADA" w:rsidRPr="00137589">
        <w:rPr>
          <w:noProof w:val="0"/>
        </w:rPr>
        <w:t>universal</w:t>
      </w:r>
      <w:r w:rsidR="006125F7" w:rsidRPr="00137589">
        <w:rPr>
          <w:noProof w:val="0"/>
        </w:rPr>
        <w:t xml:space="preserve"> bank, subject to the same regulations as all other </w:t>
      </w:r>
      <w:r w:rsidR="00AA2ADA" w:rsidRPr="00137589">
        <w:rPr>
          <w:noProof w:val="0"/>
        </w:rPr>
        <w:t>universal</w:t>
      </w:r>
      <w:r w:rsidR="006125F7" w:rsidRPr="00137589">
        <w:rPr>
          <w:noProof w:val="0"/>
        </w:rPr>
        <w:t xml:space="preserve"> banks, although e</w:t>
      </w:r>
      <w:r w:rsidR="006829C5" w:rsidRPr="00137589">
        <w:rPr>
          <w:noProof w:val="0"/>
        </w:rPr>
        <w:t>xclusively owned by the State (</w:t>
      </w:r>
      <w:r w:rsidR="006125F7" w:rsidRPr="00137589">
        <w:rPr>
          <w:noProof w:val="0"/>
        </w:rPr>
        <w:t>Decree-Law 287/93, 20 August 1993).</w:t>
      </w:r>
      <w:r w:rsidR="00403A0E" w:rsidRPr="00137589">
        <w:rPr>
          <w:noProof w:val="0"/>
        </w:rPr>
        <w:t xml:space="preserve"> Decree-Law 298/92 also introduced a deposits guarantee.</w:t>
      </w:r>
    </w:p>
    <w:p w:rsidR="007C682A" w:rsidRPr="00137589" w:rsidRDefault="006D210D" w:rsidP="006125F7">
      <w:pPr>
        <w:spacing w:after="0" w:line="480" w:lineRule="auto"/>
        <w:ind w:firstLine="567"/>
        <w:jc w:val="both"/>
        <w:rPr>
          <w:noProof w:val="0"/>
        </w:rPr>
      </w:pPr>
      <w:r w:rsidRPr="00137589">
        <w:rPr>
          <w:noProof w:val="0"/>
        </w:rPr>
        <w:t>The subperiod from 1989</w:t>
      </w:r>
      <w:r w:rsidR="009D68A1" w:rsidRPr="00137589">
        <w:rPr>
          <w:noProof w:val="0"/>
        </w:rPr>
        <w:t xml:space="preserve"> </w:t>
      </w:r>
      <w:r w:rsidRPr="00137589">
        <w:rPr>
          <w:noProof w:val="0"/>
        </w:rPr>
        <w:t xml:space="preserve">onward was perhaps the most lively in Portuguese banking history since the late nineteenth century and the first decades of the twentieth century. This had </w:t>
      </w:r>
      <w:r w:rsidR="00842605" w:rsidRPr="00137589">
        <w:rPr>
          <w:noProof w:val="0"/>
        </w:rPr>
        <w:t xml:space="preserve">fundamentally </w:t>
      </w:r>
      <w:r w:rsidRPr="00137589">
        <w:rPr>
          <w:noProof w:val="0"/>
        </w:rPr>
        <w:t xml:space="preserve">to do with </w:t>
      </w:r>
      <w:r w:rsidR="00842605" w:rsidRPr="00137589">
        <w:rPr>
          <w:noProof w:val="0"/>
        </w:rPr>
        <w:t xml:space="preserve">two processes, separated by about twenty years: </w:t>
      </w:r>
      <w:r w:rsidRPr="00137589">
        <w:rPr>
          <w:noProof w:val="0"/>
        </w:rPr>
        <w:t>the massive privatisation programme</w:t>
      </w:r>
      <w:r w:rsidR="009D68A1" w:rsidRPr="00137589">
        <w:rPr>
          <w:noProof w:val="0"/>
        </w:rPr>
        <w:t xml:space="preserve"> of the 1990s</w:t>
      </w:r>
      <w:r w:rsidR="00842605" w:rsidRPr="00137589">
        <w:rPr>
          <w:noProof w:val="0"/>
        </w:rPr>
        <w:t xml:space="preserve"> and the financial crisis of the years 2008-2015</w:t>
      </w:r>
      <w:r w:rsidR="00E87BD3" w:rsidRPr="00137589">
        <w:rPr>
          <w:noProof w:val="0"/>
        </w:rPr>
        <w:t>. The first process led</w:t>
      </w:r>
      <w:r w:rsidRPr="00137589">
        <w:rPr>
          <w:noProof w:val="0"/>
        </w:rPr>
        <w:t xml:space="preserve"> all</w:t>
      </w:r>
      <w:r w:rsidR="00F865DB" w:rsidRPr="00137589">
        <w:rPr>
          <w:noProof w:val="0"/>
        </w:rPr>
        <w:t xml:space="preserve"> </w:t>
      </w:r>
      <w:r w:rsidR="00D32507" w:rsidRPr="00137589">
        <w:rPr>
          <w:noProof w:val="0"/>
        </w:rPr>
        <w:t>banks that had been nationalis</w:t>
      </w:r>
      <w:r w:rsidR="006125F7" w:rsidRPr="00137589">
        <w:rPr>
          <w:noProof w:val="0"/>
        </w:rPr>
        <w:t xml:space="preserve">ed </w:t>
      </w:r>
      <w:r w:rsidR="00F865DB" w:rsidRPr="00137589">
        <w:rPr>
          <w:noProof w:val="0"/>
        </w:rPr>
        <w:t xml:space="preserve">in 1975 </w:t>
      </w:r>
      <w:r w:rsidR="00E87BD3" w:rsidRPr="00137589">
        <w:rPr>
          <w:noProof w:val="0"/>
        </w:rPr>
        <w:t>to be</w:t>
      </w:r>
      <w:r w:rsidR="00D32507" w:rsidRPr="00137589">
        <w:rPr>
          <w:noProof w:val="0"/>
        </w:rPr>
        <w:t xml:space="preserve"> </w:t>
      </w:r>
      <w:r w:rsidRPr="00137589">
        <w:rPr>
          <w:noProof w:val="0"/>
        </w:rPr>
        <w:t>re-</w:t>
      </w:r>
      <w:r w:rsidR="00D32507" w:rsidRPr="00137589">
        <w:rPr>
          <w:noProof w:val="0"/>
        </w:rPr>
        <w:t>privatis</w:t>
      </w:r>
      <w:r w:rsidR="006125F7" w:rsidRPr="00137589">
        <w:rPr>
          <w:noProof w:val="0"/>
        </w:rPr>
        <w:t>ed between 1989 and 1999</w:t>
      </w:r>
      <w:r w:rsidR="009D68A1" w:rsidRPr="00137589">
        <w:rPr>
          <w:noProof w:val="0"/>
        </w:rPr>
        <w:t xml:space="preserve"> (</w:t>
      </w:r>
      <w:r w:rsidRPr="00137589">
        <w:rPr>
          <w:noProof w:val="0"/>
        </w:rPr>
        <w:t xml:space="preserve">with </w:t>
      </w:r>
      <w:r w:rsidR="00FC130F">
        <w:rPr>
          <w:noProof w:val="0"/>
        </w:rPr>
        <w:t xml:space="preserve">one </w:t>
      </w:r>
      <w:r w:rsidR="00E87BD3" w:rsidRPr="00137589">
        <w:rPr>
          <w:noProof w:val="0"/>
        </w:rPr>
        <w:t>exception</w:t>
      </w:r>
      <w:r w:rsidRPr="00137589">
        <w:rPr>
          <w:noProof w:val="0"/>
        </w:rPr>
        <w:t xml:space="preserve">). Legal conditions for banking competition apparently improved massively in this period. It is not surprising that there was then a flourishing of new banks. </w:t>
      </w:r>
      <w:r w:rsidR="00403A0E" w:rsidRPr="00137589">
        <w:rPr>
          <w:noProof w:val="0"/>
        </w:rPr>
        <w:t>B</w:t>
      </w:r>
      <w:r w:rsidR="009A28CD" w:rsidRPr="00137589">
        <w:rPr>
          <w:noProof w:val="0"/>
        </w:rPr>
        <w:t xml:space="preserve">etween 1992 and </w:t>
      </w:r>
      <w:r w:rsidR="000511F1" w:rsidRPr="00137589">
        <w:rPr>
          <w:noProof w:val="0"/>
        </w:rPr>
        <w:t>2004</w:t>
      </w:r>
      <w:r w:rsidR="009A28CD" w:rsidRPr="00137589">
        <w:rPr>
          <w:noProof w:val="0"/>
        </w:rPr>
        <w:t xml:space="preserve"> </w:t>
      </w:r>
      <w:r w:rsidR="005149A2" w:rsidRPr="00137589">
        <w:rPr>
          <w:noProof w:val="0"/>
        </w:rPr>
        <w:t xml:space="preserve">the market </w:t>
      </w:r>
      <w:r w:rsidR="000511F1" w:rsidRPr="00137589">
        <w:rPr>
          <w:noProof w:val="0"/>
        </w:rPr>
        <w:t>went through</w:t>
      </w:r>
      <w:r w:rsidRPr="00137589">
        <w:rPr>
          <w:noProof w:val="0"/>
        </w:rPr>
        <w:t xml:space="preserve"> a hectic phase</w:t>
      </w:r>
      <w:r w:rsidR="0021139F" w:rsidRPr="00137589">
        <w:rPr>
          <w:noProof w:val="0"/>
        </w:rPr>
        <w:t xml:space="preserve">, with banks opening, closing and merging at </w:t>
      </w:r>
      <w:r w:rsidRPr="00137589">
        <w:rPr>
          <w:noProof w:val="0"/>
        </w:rPr>
        <w:t>notable</w:t>
      </w:r>
      <w:r w:rsidR="0021139F" w:rsidRPr="00137589">
        <w:rPr>
          <w:noProof w:val="0"/>
        </w:rPr>
        <w:t xml:space="preserve"> rate</w:t>
      </w:r>
      <w:r w:rsidRPr="00137589">
        <w:rPr>
          <w:noProof w:val="0"/>
        </w:rPr>
        <w:t>s</w:t>
      </w:r>
      <w:r w:rsidR="00326D81" w:rsidRPr="00137589">
        <w:rPr>
          <w:noProof w:val="0"/>
        </w:rPr>
        <w:t xml:space="preserve"> (Valério, org., 2010</w:t>
      </w:r>
      <w:r w:rsidR="009A28CD" w:rsidRPr="00137589">
        <w:rPr>
          <w:noProof w:val="0"/>
        </w:rPr>
        <w:t xml:space="preserve">). </w:t>
      </w:r>
      <w:r w:rsidR="0021139F" w:rsidRPr="00137589">
        <w:rPr>
          <w:noProof w:val="0"/>
        </w:rPr>
        <w:t>B</w:t>
      </w:r>
      <w:r w:rsidR="009A28CD" w:rsidRPr="00137589">
        <w:rPr>
          <w:noProof w:val="0"/>
        </w:rPr>
        <w:t xml:space="preserve">y </w:t>
      </w:r>
      <w:r w:rsidR="0021139F" w:rsidRPr="00137589">
        <w:rPr>
          <w:noProof w:val="0"/>
        </w:rPr>
        <w:t>1997</w:t>
      </w:r>
      <w:r w:rsidR="009A28CD" w:rsidRPr="00137589">
        <w:rPr>
          <w:noProof w:val="0"/>
        </w:rPr>
        <w:t xml:space="preserve"> the number of Portuguese banks had multiplied to 2</w:t>
      </w:r>
      <w:r w:rsidR="0021139F" w:rsidRPr="00137589">
        <w:rPr>
          <w:noProof w:val="0"/>
        </w:rPr>
        <w:t xml:space="preserve">7 and that </w:t>
      </w:r>
      <w:r w:rsidR="009A28CD" w:rsidRPr="00137589">
        <w:rPr>
          <w:noProof w:val="0"/>
        </w:rPr>
        <w:t xml:space="preserve">of foreign </w:t>
      </w:r>
      <w:r w:rsidR="0021139F" w:rsidRPr="00137589">
        <w:rPr>
          <w:noProof w:val="0"/>
        </w:rPr>
        <w:t>ones to</w:t>
      </w:r>
      <w:r w:rsidR="009A28CD" w:rsidRPr="00137589">
        <w:rPr>
          <w:noProof w:val="0"/>
        </w:rPr>
        <w:t xml:space="preserve"> 1</w:t>
      </w:r>
      <w:r w:rsidR="0021139F" w:rsidRPr="00137589">
        <w:rPr>
          <w:noProof w:val="0"/>
        </w:rPr>
        <w:t xml:space="preserve">3 – the overall number </w:t>
      </w:r>
      <w:r w:rsidR="00AD31A6" w:rsidRPr="00137589">
        <w:rPr>
          <w:noProof w:val="0"/>
        </w:rPr>
        <w:t>being</w:t>
      </w:r>
      <w:r w:rsidR="009D68A1" w:rsidRPr="00137589">
        <w:rPr>
          <w:noProof w:val="0"/>
        </w:rPr>
        <w:t>, thus, 40</w:t>
      </w:r>
      <w:r w:rsidR="009A28CD" w:rsidRPr="00137589">
        <w:rPr>
          <w:noProof w:val="0"/>
        </w:rPr>
        <w:t xml:space="preserve"> (</w:t>
      </w:r>
      <w:r w:rsidR="0021139F" w:rsidRPr="00137589">
        <w:rPr>
          <w:noProof w:val="0"/>
        </w:rPr>
        <w:t>Associação Portuguesa de Bancos</w:t>
      </w:r>
      <w:r w:rsidR="00AD31A6" w:rsidRPr="00137589">
        <w:rPr>
          <w:noProof w:val="0"/>
        </w:rPr>
        <w:t xml:space="preserve"> a, 1997</w:t>
      </w:r>
      <w:r w:rsidR="009A28CD" w:rsidRPr="00137589">
        <w:rPr>
          <w:noProof w:val="0"/>
        </w:rPr>
        <w:t xml:space="preserve">). </w:t>
      </w:r>
      <w:r w:rsidR="00AD31A6" w:rsidRPr="00137589">
        <w:rPr>
          <w:noProof w:val="0"/>
        </w:rPr>
        <w:t>I</w:t>
      </w:r>
      <w:r w:rsidR="007C682A" w:rsidRPr="00137589">
        <w:rPr>
          <w:noProof w:val="0"/>
        </w:rPr>
        <w:t xml:space="preserve">n the late 1990s </w:t>
      </w:r>
      <w:r w:rsidR="000511F1" w:rsidRPr="00137589">
        <w:rPr>
          <w:noProof w:val="0"/>
        </w:rPr>
        <w:t xml:space="preserve">and the early twenty-first century </w:t>
      </w:r>
      <w:r w:rsidR="007C682A" w:rsidRPr="00137589">
        <w:rPr>
          <w:noProof w:val="0"/>
        </w:rPr>
        <w:t>there</w:t>
      </w:r>
      <w:r w:rsidR="0021139F" w:rsidRPr="00137589">
        <w:rPr>
          <w:noProof w:val="0"/>
        </w:rPr>
        <w:t xml:space="preserve"> was a very important process of consolidation, with</w:t>
      </w:r>
      <w:r w:rsidR="007C682A" w:rsidRPr="00137589">
        <w:rPr>
          <w:noProof w:val="0"/>
        </w:rPr>
        <w:t xml:space="preserve"> a series of </w:t>
      </w:r>
      <w:r w:rsidR="007C682A" w:rsidRPr="00137589">
        <w:rPr>
          <w:noProof w:val="0"/>
        </w:rPr>
        <w:lastRenderedPageBreak/>
        <w:t>quite spectacular merging and acquisitions episodes inv</w:t>
      </w:r>
      <w:r w:rsidR="00326D81" w:rsidRPr="00137589">
        <w:rPr>
          <w:noProof w:val="0"/>
        </w:rPr>
        <w:t>olving the largest banks (</w:t>
      </w:r>
      <w:r w:rsidR="00795CD4" w:rsidRPr="00137589">
        <w:rPr>
          <w:noProof w:val="0"/>
        </w:rPr>
        <w:t>Amaral, 2015b</w:t>
      </w:r>
      <w:r w:rsidR="007C682A" w:rsidRPr="00137589">
        <w:rPr>
          <w:noProof w:val="0"/>
        </w:rPr>
        <w:t xml:space="preserve">). </w:t>
      </w:r>
      <w:r w:rsidR="00E87BD3" w:rsidRPr="00137589">
        <w:rPr>
          <w:noProof w:val="0"/>
        </w:rPr>
        <w:t xml:space="preserve">The second process, the 2008-2015 financial crisis, led to the disappearance of a few banks, </w:t>
      </w:r>
      <w:r w:rsidR="006562FC">
        <w:rPr>
          <w:noProof w:val="0"/>
        </w:rPr>
        <w:t>some counting</w:t>
      </w:r>
      <w:r w:rsidR="00E87BD3" w:rsidRPr="00137589">
        <w:rPr>
          <w:noProof w:val="0"/>
        </w:rPr>
        <w:t xml:space="preserve"> </w:t>
      </w:r>
      <w:r w:rsidR="006562FC">
        <w:rPr>
          <w:noProof w:val="0"/>
        </w:rPr>
        <w:t>among</w:t>
      </w:r>
      <w:r w:rsidR="00E87BD3" w:rsidRPr="00137589">
        <w:rPr>
          <w:noProof w:val="0"/>
        </w:rPr>
        <w:t xml:space="preserve"> the most important</w:t>
      </w:r>
      <w:r w:rsidR="00326D81" w:rsidRPr="00137589">
        <w:rPr>
          <w:noProof w:val="0"/>
        </w:rPr>
        <w:t xml:space="preserve"> (</w:t>
      </w:r>
      <w:r w:rsidR="00795CD4" w:rsidRPr="00137589">
        <w:rPr>
          <w:noProof w:val="0"/>
        </w:rPr>
        <w:t>Amaral, 2015b</w:t>
      </w:r>
      <w:r w:rsidR="00875BAC" w:rsidRPr="00137589">
        <w:rPr>
          <w:noProof w:val="0"/>
        </w:rPr>
        <w:t>)</w:t>
      </w:r>
      <w:r w:rsidR="00326D81" w:rsidRPr="00137589">
        <w:rPr>
          <w:noProof w:val="0"/>
        </w:rPr>
        <w:t>.</w:t>
      </w:r>
    </w:p>
    <w:p w:rsidR="007C682A" w:rsidRDefault="007C682A" w:rsidP="006125F7">
      <w:pPr>
        <w:spacing w:after="0" w:line="480" w:lineRule="auto"/>
        <w:ind w:firstLine="567"/>
        <w:jc w:val="both"/>
        <w:rPr>
          <w:noProof w:val="0"/>
        </w:rPr>
      </w:pPr>
      <w:r w:rsidRPr="00137589">
        <w:rPr>
          <w:noProof w:val="0"/>
        </w:rPr>
        <w:t>These movements in the market were reflected in the concentration in</w:t>
      </w:r>
      <w:r w:rsidR="00F865DB" w:rsidRPr="00137589">
        <w:rPr>
          <w:noProof w:val="0"/>
        </w:rPr>
        <w:t xml:space="preserve">dices presented in Figures </w:t>
      </w:r>
      <w:r w:rsidR="006562FC">
        <w:rPr>
          <w:noProof w:val="0"/>
        </w:rPr>
        <w:t>2</w:t>
      </w:r>
      <w:r w:rsidR="00F865DB" w:rsidRPr="00137589">
        <w:rPr>
          <w:noProof w:val="0"/>
        </w:rPr>
        <w:t xml:space="preserve"> and </w:t>
      </w:r>
      <w:r w:rsidR="006562FC">
        <w:rPr>
          <w:noProof w:val="0"/>
        </w:rPr>
        <w:t>3</w:t>
      </w:r>
      <w:r w:rsidR="00F865DB" w:rsidRPr="00137589">
        <w:rPr>
          <w:noProof w:val="0"/>
        </w:rPr>
        <w:t xml:space="preserve">. </w:t>
      </w:r>
      <w:r w:rsidR="00D32507" w:rsidRPr="00137589">
        <w:rPr>
          <w:noProof w:val="0"/>
        </w:rPr>
        <w:t>B</w:t>
      </w:r>
      <w:r w:rsidRPr="00137589">
        <w:rPr>
          <w:noProof w:val="0"/>
        </w:rPr>
        <w:t xml:space="preserve">oth the HHI and the concentration ratios </w:t>
      </w:r>
      <w:r w:rsidR="008E3A21" w:rsidRPr="00137589">
        <w:rPr>
          <w:noProof w:val="0"/>
        </w:rPr>
        <w:t xml:space="preserve">increased mildly </w:t>
      </w:r>
      <w:r w:rsidRPr="00137589">
        <w:rPr>
          <w:noProof w:val="0"/>
        </w:rPr>
        <w:t>in the early 1990s</w:t>
      </w:r>
      <w:r w:rsidR="00F865DB" w:rsidRPr="00137589">
        <w:rPr>
          <w:noProof w:val="0"/>
        </w:rPr>
        <w:t xml:space="preserve">, </w:t>
      </w:r>
      <w:r w:rsidR="00E33A3B" w:rsidRPr="00137589">
        <w:rPr>
          <w:noProof w:val="0"/>
        </w:rPr>
        <w:t xml:space="preserve">from 0.09 to 0.10, </w:t>
      </w:r>
      <w:r w:rsidR="008E3A21" w:rsidRPr="00137589">
        <w:rPr>
          <w:noProof w:val="0"/>
        </w:rPr>
        <w:t>despite the appearance of</w:t>
      </w:r>
      <w:r w:rsidR="00F865DB" w:rsidRPr="00137589">
        <w:rPr>
          <w:noProof w:val="0"/>
        </w:rPr>
        <w:t xml:space="preserve"> the new banks</w:t>
      </w:r>
      <w:r w:rsidRPr="00137589">
        <w:rPr>
          <w:noProof w:val="0"/>
        </w:rPr>
        <w:t>.</w:t>
      </w:r>
      <w:r w:rsidR="00875BAC" w:rsidRPr="00137589">
        <w:rPr>
          <w:noProof w:val="0"/>
        </w:rPr>
        <w:t xml:space="preserve"> </w:t>
      </w:r>
      <w:r w:rsidR="004B6348" w:rsidRPr="00137589">
        <w:rPr>
          <w:noProof w:val="0"/>
        </w:rPr>
        <w:t>This is because m</w:t>
      </w:r>
      <w:r w:rsidR="00F865DB" w:rsidRPr="00137589">
        <w:rPr>
          <w:noProof w:val="0"/>
        </w:rPr>
        <w:t>ost of the new banks we</w:t>
      </w:r>
      <w:r w:rsidR="00936A0C" w:rsidRPr="00137589">
        <w:rPr>
          <w:noProof w:val="0"/>
        </w:rPr>
        <w:t>r</w:t>
      </w:r>
      <w:r w:rsidR="00F865DB" w:rsidRPr="00137589">
        <w:rPr>
          <w:noProof w:val="0"/>
        </w:rPr>
        <w:t xml:space="preserve">e of small dimension, meaning that the market remained dominated by </w:t>
      </w:r>
      <w:r w:rsidR="001B3C09" w:rsidRPr="00137589">
        <w:rPr>
          <w:noProof w:val="0"/>
        </w:rPr>
        <w:t xml:space="preserve">just a few </w:t>
      </w:r>
      <w:r w:rsidR="004B6348" w:rsidRPr="00137589">
        <w:rPr>
          <w:noProof w:val="0"/>
        </w:rPr>
        <w:t>institutions</w:t>
      </w:r>
      <w:r w:rsidR="00F865DB" w:rsidRPr="00137589">
        <w:rPr>
          <w:noProof w:val="0"/>
        </w:rPr>
        <w:t xml:space="preserve">. </w:t>
      </w:r>
      <w:r w:rsidR="00875BAC" w:rsidRPr="00137589">
        <w:rPr>
          <w:noProof w:val="0"/>
        </w:rPr>
        <w:t xml:space="preserve">The big mergers and acquisitions of the late twentieth century were reflected in a massive increase in both indicators, with HHI </w:t>
      </w:r>
      <w:r w:rsidR="00936A0C" w:rsidRPr="00137589">
        <w:rPr>
          <w:noProof w:val="0"/>
        </w:rPr>
        <w:t>reach</w:t>
      </w:r>
      <w:r w:rsidR="00875BAC" w:rsidRPr="00137589">
        <w:rPr>
          <w:noProof w:val="0"/>
        </w:rPr>
        <w:t>ing a historical</w:t>
      </w:r>
      <w:r w:rsidR="00936A0C" w:rsidRPr="00137589">
        <w:rPr>
          <w:noProof w:val="0"/>
        </w:rPr>
        <w:t>ly high</w:t>
      </w:r>
      <w:r w:rsidR="00875BAC" w:rsidRPr="00137589">
        <w:rPr>
          <w:noProof w:val="0"/>
        </w:rPr>
        <w:t xml:space="preserve"> level </w:t>
      </w:r>
      <w:r w:rsidR="006F65A0" w:rsidRPr="00137589">
        <w:rPr>
          <w:noProof w:val="0"/>
        </w:rPr>
        <w:t xml:space="preserve">of </w:t>
      </w:r>
      <w:r w:rsidR="00160CD9" w:rsidRPr="00137589">
        <w:rPr>
          <w:noProof w:val="0"/>
        </w:rPr>
        <w:t>0.16-0.17</w:t>
      </w:r>
      <w:r w:rsidR="00936A0C" w:rsidRPr="00137589">
        <w:rPr>
          <w:noProof w:val="0"/>
        </w:rPr>
        <w:t>,</w:t>
      </w:r>
      <w:r w:rsidR="00875BAC" w:rsidRPr="00137589">
        <w:rPr>
          <w:noProof w:val="0"/>
        </w:rPr>
        <w:t xml:space="preserve"> the CR5 ratio jumping to </w:t>
      </w:r>
      <w:r w:rsidR="00936A0C" w:rsidRPr="00137589">
        <w:rPr>
          <w:noProof w:val="0"/>
        </w:rPr>
        <w:t>80</w:t>
      </w:r>
      <w:r w:rsidR="00875BAC" w:rsidRPr="00137589">
        <w:rPr>
          <w:noProof w:val="0"/>
        </w:rPr>
        <w:t>%</w:t>
      </w:r>
      <w:r w:rsidR="00936A0C" w:rsidRPr="00137589">
        <w:rPr>
          <w:noProof w:val="0"/>
        </w:rPr>
        <w:t xml:space="preserve"> and the CR3 ratio reaching 60%</w:t>
      </w:r>
      <w:r w:rsidR="00160CD9" w:rsidRPr="00137589">
        <w:rPr>
          <w:noProof w:val="0"/>
        </w:rPr>
        <w:t xml:space="preserve"> to 65%</w:t>
      </w:r>
      <w:r w:rsidR="00875BAC" w:rsidRPr="00137589">
        <w:rPr>
          <w:noProof w:val="0"/>
        </w:rPr>
        <w:t xml:space="preserve">. </w:t>
      </w:r>
      <w:r w:rsidR="00842E85" w:rsidRPr="00137589">
        <w:rPr>
          <w:noProof w:val="0"/>
        </w:rPr>
        <w:t xml:space="preserve">Thanks to them, the Portuguese market </w:t>
      </w:r>
      <w:r w:rsidR="000511F1" w:rsidRPr="00137589">
        <w:rPr>
          <w:noProof w:val="0"/>
        </w:rPr>
        <w:t>became</w:t>
      </w:r>
      <w:r w:rsidR="00842E85" w:rsidRPr="00137589">
        <w:rPr>
          <w:noProof w:val="0"/>
        </w:rPr>
        <w:t xml:space="preserve"> the most concentrated in Europe (Costa, 2014). </w:t>
      </w:r>
      <w:r w:rsidR="00875BAC" w:rsidRPr="00137589">
        <w:rPr>
          <w:noProof w:val="0"/>
        </w:rPr>
        <w:t>In the next sections we will assess what was the impact of such concentration on competition.</w:t>
      </w:r>
    </w:p>
    <w:p w:rsidR="006125F7" w:rsidRPr="009E4B63" w:rsidRDefault="006125F7" w:rsidP="006125F7">
      <w:pPr>
        <w:spacing w:after="0" w:line="480" w:lineRule="auto"/>
        <w:ind w:firstLine="567"/>
        <w:jc w:val="both"/>
        <w:rPr>
          <w:noProof w:val="0"/>
        </w:rPr>
      </w:pPr>
    </w:p>
    <w:p w:rsidR="0013457F" w:rsidRPr="009E4B63" w:rsidRDefault="0013457F" w:rsidP="00BE0A1E">
      <w:pPr>
        <w:pStyle w:val="ListParagraph"/>
        <w:numPr>
          <w:ilvl w:val="0"/>
          <w:numId w:val="4"/>
        </w:numPr>
        <w:spacing w:after="0" w:line="480" w:lineRule="auto"/>
        <w:jc w:val="both"/>
        <w:rPr>
          <w:b/>
          <w:noProof w:val="0"/>
        </w:rPr>
      </w:pPr>
      <w:r w:rsidRPr="009E4B63">
        <w:rPr>
          <w:b/>
          <w:noProof w:val="0"/>
        </w:rPr>
        <w:t>The model</w:t>
      </w:r>
    </w:p>
    <w:p w:rsidR="0013457F" w:rsidRPr="00137589" w:rsidRDefault="0013457F" w:rsidP="0013457F">
      <w:pPr>
        <w:spacing w:after="0" w:line="480" w:lineRule="auto"/>
        <w:ind w:firstLine="567"/>
        <w:jc w:val="both"/>
        <w:rPr>
          <w:rFonts w:eastAsiaTheme="minorEastAsia"/>
          <w:noProof w:val="0"/>
        </w:rPr>
      </w:pPr>
      <w:r w:rsidRPr="00137589">
        <w:rPr>
          <w:noProof w:val="0"/>
        </w:rPr>
        <w:t>Rosse and Panzar</w:t>
      </w:r>
      <w:r w:rsidR="00EE7680" w:rsidRPr="00137589">
        <w:rPr>
          <w:noProof w:val="0"/>
        </w:rPr>
        <w:t xml:space="preserve"> (1977</w:t>
      </w:r>
      <w:r w:rsidR="00B047C8" w:rsidRPr="00137589">
        <w:rPr>
          <w:noProof w:val="0"/>
        </w:rPr>
        <w:t>)</w:t>
      </w:r>
      <w:r w:rsidR="00EE7680" w:rsidRPr="00137589">
        <w:rPr>
          <w:noProof w:val="0"/>
        </w:rPr>
        <w:t>, Panzar and Rosse</w:t>
      </w:r>
      <w:r w:rsidR="00B047C8" w:rsidRPr="00137589">
        <w:rPr>
          <w:noProof w:val="0"/>
        </w:rPr>
        <w:t xml:space="preserve"> (</w:t>
      </w:r>
      <w:r w:rsidR="00EE7680" w:rsidRPr="00137589">
        <w:rPr>
          <w:noProof w:val="0"/>
        </w:rPr>
        <w:t>1987)</w:t>
      </w:r>
      <w:r w:rsidRPr="00137589">
        <w:rPr>
          <w:noProof w:val="0"/>
        </w:rPr>
        <w:t xml:space="preserve">, </w:t>
      </w:r>
      <w:r w:rsidR="00EE7680" w:rsidRPr="00137589">
        <w:rPr>
          <w:noProof w:val="0"/>
        </w:rPr>
        <w:t>Bikker and Haaf</w:t>
      </w:r>
      <w:r w:rsidR="00B047C8" w:rsidRPr="00137589">
        <w:rPr>
          <w:noProof w:val="0"/>
        </w:rPr>
        <w:t xml:space="preserve"> (</w:t>
      </w:r>
      <w:r w:rsidR="00EE7680" w:rsidRPr="00137589">
        <w:rPr>
          <w:noProof w:val="0"/>
        </w:rPr>
        <w:t>2002</w:t>
      </w:r>
      <w:r w:rsidR="00B047C8" w:rsidRPr="00137589">
        <w:rPr>
          <w:noProof w:val="0"/>
        </w:rPr>
        <w:t>)</w:t>
      </w:r>
      <w:r w:rsidR="00EE7680" w:rsidRPr="00137589">
        <w:rPr>
          <w:noProof w:val="0"/>
        </w:rPr>
        <w:t xml:space="preserve">, </w:t>
      </w:r>
      <w:r w:rsidR="00B047C8" w:rsidRPr="00137589">
        <w:rPr>
          <w:noProof w:val="0"/>
        </w:rPr>
        <w:t xml:space="preserve">and </w:t>
      </w:r>
      <w:r w:rsidR="00EE7680" w:rsidRPr="00137589">
        <w:rPr>
          <w:noProof w:val="0"/>
        </w:rPr>
        <w:t>Bikker</w:t>
      </w:r>
      <w:r w:rsidR="00B047C8" w:rsidRPr="00137589">
        <w:rPr>
          <w:noProof w:val="0"/>
        </w:rPr>
        <w:t xml:space="preserve"> (</w:t>
      </w:r>
      <w:r w:rsidR="00EE7680" w:rsidRPr="00137589">
        <w:rPr>
          <w:noProof w:val="0"/>
        </w:rPr>
        <w:t>2007)</w:t>
      </w:r>
      <w:r w:rsidR="00B047C8" w:rsidRPr="00137589">
        <w:rPr>
          <w:noProof w:val="0"/>
        </w:rPr>
        <w:t xml:space="preserve"> are the main proponents of the theory underlying the test</w:t>
      </w:r>
      <w:r w:rsidR="00AD31A6" w:rsidRPr="00137589">
        <w:rPr>
          <w:noProof w:val="0"/>
        </w:rPr>
        <w:t>s</w:t>
      </w:r>
      <w:r w:rsidR="00B047C8" w:rsidRPr="00137589">
        <w:rPr>
          <w:noProof w:val="0"/>
        </w:rPr>
        <w:t xml:space="preserve"> presented in this paper</w:t>
      </w:r>
      <w:r w:rsidRPr="00137589">
        <w:rPr>
          <w:noProof w:val="0"/>
        </w:rPr>
        <w:t xml:space="preserve">. </w:t>
      </w:r>
      <w:r w:rsidR="00B047C8" w:rsidRPr="00137589">
        <w:rPr>
          <w:noProof w:val="0"/>
        </w:rPr>
        <w:t>The</w:t>
      </w:r>
      <w:r w:rsidRPr="00137589">
        <w:rPr>
          <w:noProof w:val="0"/>
        </w:rPr>
        <w:t xml:space="preserve"> starting point </w:t>
      </w:r>
      <w:r w:rsidR="00B047C8" w:rsidRPr="00137589">
        <w:rPr>
          <w:noProof w:val="0"/>
        </w:rPr>
        <w:t xml:space="preserve">of the theory </w:t>
      </w:r>
      <w:r w:rsidRPr="00137589">
        <w:rPr>
          <w:noProof w:val="0"/>
        </w:rPr>
        <w:t xml:space="preserve">is a reduced-form revenue equation that is based on two main assumptions. The first is that firms in a certain market operate in long-run equilibrium. Any firm can be described by a production function in which its outputs are </w:t>
      </w:r>
      <m:oMath>
        <m:sSub>
          <m:sSubPr>
            <m:ctrlPr>
              <w:rPr>
                <w:rFonts w:ascii="Cambria Math" w:hAnsi="Cambria Math"/>
                <w:i/>
                <w:noProof w:val="0"/>
              </w:rPr>
            </m:ctrlPr>
          </m:sSubPr>
          <m:e>
            <m:r>
              <w:rPr>
                <w:rFonts w:ascii="Cambria Math" w:hAnsi="Cambria Math"/>
                <w:noProof w:val="0"/>
              </w:rPr>
              <m:t>y</m:t>
            </m:r>
          </m:e>
          <m:sub>
            <m:r>
              <w:rPr>
                <w:rFonts w:ascii="Cambria Math" w:hAnsi="Cambria Math"/>
                <w:noProof w:val="0"/>
              </w:rPr>
              <m:t>i</m:t>
            </m:r>
          </m:sub>
        </m:sSub>
      </m:oMath>
      <w:r w:rsidRPr="00137589">
        <w:rPr>
          <w:noProof w:val="0"/>
        </w:rPr>
        <w:t xml:space="preserve">, and </w:t>
      </w:r>
      <m:oMath>
        <m:sSub>
          <m:sSubPr>
            <m:ctrlPr>
              <w:rPr>
                <w:rFonts w:ascii="Cambria Math" w:hAnsi="Cambria Math"/>
                <w:i/>
                <w:noProof w:val="0"/>
              </w:rPr>
            </m:ctrlPr>
          </m:sSubPr>
          <m:e>
            <m:r>
              <w:rPr>
                <w:rFonts w:ascii="Cambria Math" w:hAnsi="Cambria Math"/>
                <w:noProof w:val="0"/>
              </w:rPr>
              <m:t>y</m:t>
            </m:r>
          </m:e>
          <m:sub>
            <m:r>
              <w:rPr>
                <w:rFonts w:ascii="Cambria Math" w:hAnsi="Cambria Math"/>
                <w:noProof w:val="0"/>
              </w:rPr>
              <m:t>i</m:t>
            </m:r>
          </m:sub>
        </m:sSub>
        <m:r>
          <w:rPr>
            <w:rFonts w:ascii="Cambria Math"/>
            <w:noProof w:val="0"/>
          </w:rPr>
          <m:t>=</m:t>
        </m:r>
        <m:r>
          <w:rPr>
            <w:rFonts w:ascii="Cambria Math" w:hAnsi="Cambria Math"/>
            <w:noProof w:val="0"/>
          </w:rPr>
          <m:t>f</m:t>
        </m:r>
        <m:r>
          <w:rPr>
            <w:rFonts w:ascii="Cambria Math"/>
            <w:noProof w:val="0"/>
          </w:rPr>
          <m:t>(</m:t>
        </m:r>
        <m:sSub>
          <m:sSubPr>
            <m:ctrlPr>
              <w:rPr>
                <w:rFonts w:ascii="Cambria Math" w:hAnsi="Cambria Math"/>
                <w:i/>
                <w:noProof w:val="0"/>
              </w:rPr>
            </m:ctrlPr>
          </m:sSubPr>
          <m:e>
            <m:r>
              <w:rPr>
                <w:rFonts w:ascii="Cambria Math" w:hAnsi="Cambria Math"/>
                <w:noProof w:val="0"/>
              </w:rPr>
              <m:t>x</m:t>
            </m:r>
          </m:e>
          <m:sub>
            <m:r>
              <w:rPr>
                <w:rFonts w:ascii="Cambria Math"/>
                <w:noProof w:val="0"/>
              </w:rPr>
              <m:t>1</m:t>
            </m:r>
          </m:sub>
        </m:sSub>
        <m:r>
          <w:rPr>
            <w:rFonts w:ascii="Cambria Math"/>
            <w:noProof w:val="0"/>
          </w:rPr>
          <m:t>,</m:t>
        </m:r>
        <m:r>
          <w:rPr>
            <w:rFonts w:ascii="Cambria Math"/>
            <w:noProof w:val="0"/>
          </w:rPr>
          <m:t>…</m:t>
        </m:r>
        <m:r>
          <w:rPr>
            <w:rFonts w:ascii="Cambria Math"/>
            <w:noProof w:val="0"/>
          </w:rPr>
          <m:t>,</m:t>
        </m:r>
        <m:sSub>
          <m:sSubPr>
            <m:ctrlPr>
              <w:rPr>
                <w:rFonts w:ascii="Cambria Math" w:hAnsi="Cambria Math"/>
                <w:i/>
                <w:noProof w:val="0"/>
              </w:rPr>
            </m:ctrlPr>
          </m:sSubPr>
          <m:e>
            <m:r>
              <w:rPr>
                <w:rFonts w:ascii="Cambria Math" w:hAnsi="Cambria Math"/>
                <w:noProof w:val="0"/>
              </w:rPr>
              <m:t>x</m:t>
            </m:r>
          </m:e>
          <m:sub>
            <m:r>
              <w:rPr>
                <w:rFonts w:ascii="Cambria Math" w:hAnsi="Cambria Math"/>
                <w:noProof w:val="0"/>
              </w:rPr>
              <m:t>n</m:t>
            </m:r>
          </m:sub>
        </m:sSub>
        <m:r>
          <w:rPr>
            <w:rFonts w:ascii="Cambria Math"/>
            <w:noProof w:val="0"/>
          </w:rPr>
          <m:t>)</m:t>
        </m:r>
      </m:oMath>
      <w:r w:rsidRPr="00137589">
        <w:rPr>
          <w:rFonts w:eastAsiaTheme="minorEastAsia"/>
          <w:noProof w:val="0"/>
        </w:rPr>
        <w:t xml:space="preserve"> where </w:t>
      </w:r>
      <m:oMath>
        <m:sSub>
          <m:sSubPr>
            <m:ctrlPr>
              <w:rPr>
                <w:rFonts w:ascii="Cambria Math" w:eastAsiaTheme="minorEastAsia" w:hAnsi="Cambria Math"/>
                <w:i/>
                <w:noProof w:val="0"/>
              </w:rPr>
            </m:ctrlPr>
          </m:sSubPr>
          <m:e>
            <m:r>
              <w:rPr>
                <w:rFonts w:ascii="Cambria Math" w:eastAsiaTheme="minorEastAsia" w:hAnsi="Cambria Math"/>
                <w:noProof w:val="0"/>
              </w:rPr>
              <m:t>x</m:t>
            </m:r>
          </m:e>
          <m:sub>
            <m:r>
              <w:rPr>
                <w:rFonts w:ascii="Cambria Math" w:eastAsiaTheme="minorEastAsia" w:hAnsi="Cambria Math"/>
                <w:noProof w:val="0"/>
              </w:rPr>
              <m:t>i</m:t>
            </m:r>
          </m:sub>
        </m:sSub>
        <m:r>
          <w:rPr>
            <w:rFonts w:ascii="Cambria Math" w:eastAsiaTheme="minorEastAsia"/>
            <w:noProof w:val="0"/>
          </w:rPr>
          <m:t xml:space="preserve"> </m:t>
        </m:r>
      </m:oMath>
      <w:r w:rsidRPr="00137589">
        <w:rPr>
          <w:rFonts w:eastAsiaTheme="minorEastAsia"/>
          <w:noProof w:val="0"/>
        </w:rPr>
        <w:t xml:space="preserve">are </w:t>
      </w:r>
      <m:oMath>
        <m:r>
          <w:rPr>
            <w:rFonts w:ascii="Cambria Math" w:eastAsiaTheme="minorEastAsia" w:hAnsi="Cambria Math"/>
            <w:noProof w:val="0"/>
          </w:rPr>
          <m:t>n</m:t>
        </m:r>
        <m:r>
          <w:rPr>
            <w:rFonts w:ascii="Cambria Math" w:eastAsiaTheme="minorEastAsia"/>
            <w:noProof w:val="0"/>
          </w:rPr>
          <m:t xml:space="preserve"> </m:t>
        </m:r>
      </m:oMath>
      <w:r w:rsidRPr="00137589">
        <w:rPr>
          <w:rFonts w:eastAsiaTheme="minorEastAsia"/>
          <w:noProof w:val="0"/>
        </w:rPr>
        <w:t xml:space="preserve">inputs. To this function corresponds a revenue function </w:t>
      </w:r>
      <m:oMath>
        <m:r>
          <w:rPr>
            <w:rFonts w:ascii="Cambria Math" w:eastAsiaTheme="minorEastAsia" w:hAnsi="Cambria Math"/>
            <w:noProof w:val="0"/>
          </w:rPr>
          <m:t>R</m:t>
        </m:r>
        <m:d>
          <m:dPr>
            <m:ctrlPr>
              <w:rPr>
                <w:rFonts w:ascii="Cambria Math" w:eastAsiaTheme="minorEastAsia" w:hAnsi="Cambria Math"/>
                <w:i/>
                <w:noProof w:val="0"/>
              </w:rPr>
            </m:ctrlPr>
          </m:dPr>
          <m:e>
            <m:sSub>
              <m:sSubPr>
                <m:ctrlPr>
                  <w:rPr>
                    <w:rFonts w:ascii="Cambria Math" w:eastAsiaTheme="minorEastAsia" w:hAnsi="Cambria Math"/>
                    <w:i/>
                    <w:noProof w:val="0"/>
                  </w:rPr>
                </m:ctrlPr>
              </m:sSubPr>
              <m:e>
                <m:r>
                  <w:rPr>
                    <w:rFonts w:ascii="Cambria Math" w:eastAsiaTheme="minorEastAsia" w:hAnsi="Cambria Math"/>
                    <w:noProof w:val="0"/>
                  </w:rPr>
                  <m:t>y</m:t>
                </m:r>
              </m:e>
              <m:sub>
                <m:r>
                  <w:rPr>
                    <w:rFonts w:ascii="Cambria Math" w:eastAsiaTheme="minorEastAsia" w:hAnsi="Cambria Math"/>
                    <w:noProof w:val="0"/>
                  </w:rPr>
                  <m:t>i</m:t>
                </m:r>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z</m:t>
                </m:r>
              </m:e>
              <m:sub>
                <m:r>
                  <w:rPr>
                    <w:rFonts w:ascii="Cambria Math" w:eastAsiaTheme="minorEastAsia" w:hAnsi="Cambria Math"/>
                    <w:noProof w:val="0"/>
                  </w:rPr>
                  <m:t>i</m:t>
                </m:r>
              </m:sub>
            </m:sSub>
          </m:e>
        </m:d>
        <m:r>
          <w:rPr>
            <w:rFonts w:ascii="Cambria Math" w:eastAsiaTheme="minorEastAsia"/>
            <w:noProof w:val="0"/>
          </w:rPr>
          <m:t>,</m:t>
        </m:r>
      </m:oMath>
      <w:r w:rsidRPr="00137589">
        <w:rPr>
          <w:rFonts w:eastAsiaTheme="minorEastAsia"/>
          <w:noProof w:val="0"/>
        </w:rPr>
        <w:t xml:space="preserve"> where </w:t>
      </w:r>
      <m:oMath>
        <m:sSub>
          <m:sSubPr>
            <m:ctrlPr>
              <w:rPr>
                <w:rFonts w:ascii="Cambria Math" w:eastAsiaTheme="minorEastAsia" w:hAnsi="Cambria Math"/>
                <w:i/>
                <w:noProof w:val="0"/>
              </w:rPr>
            </m:ctrlPr>
          </m:sSubPr>
          <m:e>
            <m:r>
              <w:rPr>
                <w:rFonts w:ascii="Cambria Math" w:eastAsiaTheme="minorEastAsia" w:hAnsi="Cambria Math"/>
                <w:noProof w:val="0"/>
              </w:rPr>
              <m:t>z</m:t>
            </m:r>
          </m:e>
          <m:sub>
            <m:r>
              <w:rPr>
                <w:rFonts w:ascii="Cambria Math" w:eastAsiaTheme="minorEastAsia" w:hAnsi="Cambria Math"/>
                <w:noProof w:val="0"/>
              </w:rPr>
              <m:t>i</m:t>
            </m:r>
          </m:sub>
        </m:sSub>
      </m:oMath>
      <w:r w:rsidRPr="00137589">
        <w:rPr>
          <w:rFonts w:eastAsiaTheme="minorEastAsia"/>
          <w:noProof w:val="0"/>
        </w:rPr>
        <w:t xml:space="preserve"> are exogenous variables affecting the firm’s revenues, and a cost function, </w:t>
      </w:r>
      <m:oMath>
        <m:r>
          <w:rPr>
            <w:rFonts w:ascii="Cambria Math" w:eastAsiaTheme="minorEastAsia" w:hAnsi="Cambria Math"/>
            <w:noProof w:val="0"/>
          </w:rPr>
          <m:t>C</m:t>
        </m:r>
        <m:d>
          <m:dPr>
            <m:ctrlPr>
              <w:rPr>
                <w:rFonts w:ascii="Cambria Math" w:eastAsiaTheme="minorEastAsia" w:hAnsi="Cambria Math"/>
                <w:i/>
                <w:noProof w:val="0"/>
              </w:rPr>
            </m:ctrlPr>
          </m:dPr>
          <m:e>
            <m:sSub>
              <m:sSubPr>
                <m:ctrlPr>
                  <w:rPr>
                    <w:rFonts w:ascii="Cambria Math" w:eastAsiaTheme="minorEastAsia" w:hAnsi="Cambria Math"/>
                    <w:i/>
                    <w:noProof w:val="0"/>
                  </w:rPr>
                </m:ctrlPr>
              </m:sSubPr>
              <m:e>
                <m:sSub>
                  <m:sSubPr>
                    <m:ctrlPr>
                      <w:rPr>
                        <w:rFonts w:ascii="Cambria Math" w:eastAsiaTheme="minorEastAsia" w:hAnsi="Cambria Math"/>
                        <w:i/>
                        <w:noProof w:val="0"/>
                      </w:rPr>
                    </m:ctrlPr>
                  </m:sSubPr>
                  <m:e>
                    <m:r>
                      <w:rPr>
                        <w:rFonts w:ascii="Cambria Math" w:eastAsiaTheme="minorEastAsia" w:hAnsi="Cambria Math"/>
                        <w:noProof w:val="0"/>
                      </w:rPr>
                      <m:t>y</m:t>
                    </m:r>
                  </m:e>
                  <m:sub>
                    <m:r>
                      <w:rPr>
                        <w:rFonts w:ascii="Cambria Math" w:eastAsiaTheme="minorEastAsia" w:hAnsi="Cambria Math"/>
                        <w:noProof w:val="0"/>
                      </w:rPr>
                      <m:t>i</m:t>
                    </m:r>
                  </m:sub>
                </m:sSub>
                <m:r>
                  <w:rPr>
                    <w:rFonts w:ascii="Cambria Math" w:eastAsiaTheme="minorEastAsia"/>
                    <w:noProof w:val="0"/>
                  </w:rPr>
                  <m:t>,</m:t>
                </m:r>
                <m:r>
                  <w:rPr>
                    <w:rFonts w:ascii="Cambria Math" w:eastAsiaTheme="minorEastAsia" w:hAnsi="Cambria Math"/>
                    <w:noProof w:val="0"/>
                  </w:rPr>
                  <m:t>x</m:t>
                </m:r>
              </m:e>
              <m:sub>
                <m:r>
                  <w:rPr>
                    <w:rFonts w:ascii="Cambria Math" w:eastAsiaTheme="minorEastAsia" w:hAnsi="Cambria Math"/>
                    <w:noProof w:val="0"/>
                  </w:rPr>
                  <m:t>i</m:t>
                </m:r>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w</m:t>
                </m:r>
              </m:e>
              <m:sub>
                <m:r>
                  <w:rPr>
                    <w:rFonts w:ascii="Cambria Math" w:eastAsiaTheme="minorEastAsia" w:hAnsi="Cambria Math"/>
                    <w:noProof w:val="0"/>
                  </w:rPr>
                  <m:t>i</m:t>
                </m:r>
              </m:sub>
            </m:sSub>
            <m:r>
              <w:rPr>
                <w:rFonts w:ascii="Cambria Math" w:eastAsiaTheme="minorEastAsia"/>
                <w:noProof w:val="0"/>
              </w:rPr>
              <m:t xml:space="preserve">, </m:t>
            </m:r>
            <m:sSub>
              <m:sSubPr>
                <m:ctrlPr>
                  <w:rPr>
                    <w:rFonts w:ascii="Cambria Math" w:eastAsiaTheme="minorEastAsia" w:hAnsi="Cambria Math"/>
                    <w:i/>
                    <w:noProof w:val="0"/>
                  </w:rPr>
                </m:ctrlPr>
              </m:sSubPr>
              <m:e>
                <m:r>
                  <w:rPr>
                    <w:rFonts w:ascii="Cambria Math" w:eastAsiaTheme="minorEastAsia" w:hAnsi="Cambria Math"/>
                    <w:noProof w:val="0"/>
                  </w:rPr>
                  <m:t>t</m:t>
                </m:r>
              </m:e>
              <m:sub>
                <m:r>
                  <w:rPr>
                    <w:rFonts w:ascii="Cambria Math" w:eastAsiaTheme="minorEastAsia" w:hAnsi="Cambria Math"/>
                    <w:noProof w:val="0"/>
                  </w:rPr>
                  <m:t>i</m:t>
                </m:r>
              </m:sub>
            </m:sSub>
          </m:e>
        </m:d>
        <m:r>
          <w:rPr>
            <w:rFonts w:ascii="Cambria Math" w:eastAsiaTheme="minorEastAsia"/>
            <w:noProof w:val="0"/>
          </w:rPr>
          <m:t>,</m:t>
        </m:r>
      </m:oMath>
      <w:r w:rsidRPr="00137589">
        <w:rPr>
          <w:rFonts w:eastAsiaTheme="minorEastAsia"/>
          <w:noProof w:val="0"/>
        </w:rPr>
        <w:t xml:space="preserve"> in which </w:t>
      </w:r>
      <m:oMath>
        <m:sSub>
          <m:sSubPr>
            <m:ctrlPr>
              <w:rPr>
                <w:rFonts w:ascii="Cambria Math" w:eastAsiaTheme="minorEastAsia" w:hAnsi="Cambria Math"/>
                <w:i/>
                <w:noProof w:val="0"/>
              </w:rPr>
            </m:ctrlPr>
          </m:sSubPr>
          <m:e>
            <m:r>
              <w:rPr>
                <w:rFonts w:ascii="Cambria Math" w:eastAsiaTheme="minorEastAsia" w:hAnsi="Cambria Math"/>
                <w:noProof w:val="0"/>
              </w:rPr>
              <m:t>w</m:t>
            </m:r>
          </m:e>
          <m:sub>
            <m:r>
              <w:rPr>
                <w:rFonts w:ascii="Cambria Math" w:eastAsiaTheme="minorEastAsia" w:hAnsi="Cambria Math"/>
                <w:noProof w:val="0"/>
              </w:rPr>
              <m:t>i</m:t>
            </m:r>
          </m:sub>
        </m:sSub>
      </m:oMath>
      <w:r w:rsidRPr="00137589">
        <w:rPr>
          <w:rFonts w:eastAsiaTheme="minorEastAsia"/>
          <w:noProof w:val="0"/>
        </w:rPr>
        <w:t xml:space="preserve"> are the input prices and </w:t>
      </w:r>
      <m:oMath>
        <m:sSub>
          <m:sSubPr>
            <m:ctrlPr>
              <w:rPr>
                <w:rFonts w:ascii="Cambria Math" w:eastAsiaTheme="minorEastAsia" w:hAnsi="Cambria Math"/>
                <w:i/>
                <w:noProof w:val="0"/>
              </w:rPr>
            </m:ctrlPr>
          </m:sSubPr>
          <m:e>
            <m:r>
              <w:rPr>
                <w:rFonts w:ascii="Cambria Math" w:eastAsiaTheme="minorEastAsia" w:hAnsi="Cambria Math"/>
                <w:noProof w:val="0"/>
              </w:rPr>
              <m:t>t</m:t>
            </m:r>
          </m:e>
          <m:sub>
            <m:r>
              <w:rPr>
                <w:rFonts w:ascii="Cambria Math" w:eastAsiaTheme="minorEastAsia" w:hAnsi="Cambria Math"/>
                <w:noProof w:val="0"/>
              </w:rPr>
              <m:t>i</m:t>
            </m:r>
          </m:sub>
        </m:sSub>
      </m:oMath>
      <w:r w:rsidRPr="00137589">
        <w:rPr>
          <w:rFonts w:eastAsiaTheme="minorEastAsia"/>
          <w:noProof w:val="0"/>
        </w:rPr>
        <w:t xml:space="preserve"> are exogenous variables affecting the firm’s costs. The firm’s profits are </w:t>
      </w:r>
      <m:oMath>
        <m:r>
          <w:rPr>
            <w:rFonts w:ascii="Cambria Math" w:eastAsiaTheme="minorEastAsia" w:hAnsi="Cambria Math"/>
            <w:noProof w:val="0"/>
          </w:rPr>
          <m:t>π</m:t>
        </m:r>
        <m:r>
          <w:rPr>
            <w:rFonts w:ascii="Cambria Math" w:eastAsiaTheme="minorEastAsia"/>
            <w:noProof w:val="0"/>
          </w:rPr>
          <m:t>=</m:t>
        </m:r>
        <m:r>
          <w:rPr>
            <w:rFonts w:ascii="Cambria Math" w:eastAsiaTheme="minorEastAsia" w:hAnsi="Cambria Math"/>
            <w:noProof w:val="0"/>
          </w:rPr>
          <m:t>R-C</m:t>
        </m:r>
        <m:r>
          <w:rPr>
            <w:rFonts w:ascii="Cambria Math" w:eastAsiaTheme="minorEastAsia"/>
            <w:noProof w:val="0"/>
          </w:rPr>
          <m:t>=</m:t>
        </m:r>
        <m:r>
          <w:rPr>
            <w:rFonts w:ascii="Cambria Math" w:eastAsiaTheme="minorEastAsia" w:hAnsi="Cambria Math"/>
            <w:noProof w:val="0"/>
          </w:rPr>
          <m:t>R</m:t>
        </m:r>
        <m:d>
          <m:dPr>
            <m:ctrlPr>
              <w:rPr>
                <w:rFonts w:ascii="Cambria Math" w:eastAsiaTheme="minorEastAsia" w:hAnsi="Cambria Math"/>
                <w:i/>
                <w:noProof w:val="0"/>
              </w:rPr>
            </m:ctrlPr>
          </m:dPr>
          <m:e>
            <m:sSub>
              <m:sSubPr>
                <m:ctrlPr>
                  <w:rPr>
                    <w:rFonts w:ascii="Cambria Math" w:eastAsiaTheme="minorEastAsia" w:hAnsi="Cambria Math"/>
                    <w:i/>
                    <w:noProof w:val="0"/>
                  </w:rPr>
                </m:ctrlPr>
              </m:sSubPr>
              <m:e>
                <m:r>
                  <w:rPr>
                    <w:rFonts w:ascii="Cambria Math" w:eastAsiaTheme="minorEastAsia" w:hAnsi="Cambria Math"/>
                    <w:noProof w:val="0"/>
                  </w:rPr>
                  <m:t>y</m:t>
                </m:r>
              </m:e>
              <m:sub>
                <m:r>
                  <w:rPr>
                    <w:rFonts w:ascii="Cambria Math" w:eastAsiaTheme="minorEastAsia" w:hAnsi="Cambria Math"/>
                    <w:noProof w:val="0"/>
                  </w:rPr>
                  <m:t>i</m:t>
                </m:r>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z</m:t>
                </m:r>
              </m:e>
              <m:sub>
                <m:r>
                  <w:rPr>
                    <w:rFonts w:ascii="Cambria Math" w:eastAsiaTheme="minorEastAsia" w:hAnsi="Cambria Math"/>
                    <w:noProof w:val="0"/>
                  </w:rPr>
                  <m:t>i</m:t>
                </m:r>
              </m:sub>
            </m:sSub>
          </m:e>
        </m:d>
        <m:r>
          <w:rPr>
            <w:rFonts w:ascii="Cambria Math" w:eastAsiaTheme="minorEastAsia" w:hAnsi="Cambria Math"/>
            <w:noProof w:val="0"/>
          </w:rPr>
          <m:t>-C</m:t>
        </m:r>
        <m:r>
          <w:rPr>
            <w:rFonts w:ascii="Cambria Math" w:eastAsiaTheme="minorEastAsia"/>
            <w:noProof w:val="0"/>
          </w:rPr>
          <m:t>(</m:t>
        </m:r>
        <m:sSub>
          <m:sSubPr>
            <m:ctrlPr>
              <w:rPr>
                <w:rFonts w:ascii="Cambria Math" w:eastAsiaTheme="minorEastAsia" w:hAnsi="Cambria Math"/>
                <w:i/>
                <w:noProof w:val="0"/>
              </w:rPr>
            </m:ctrlPr>
          </m:sSubPr>
          <m:e>
            <m:sSub>
              <m:sSubPr>
                <m:ctrlPr>
                  <w:rPr>
                    <w:rFonts w:ascii="Cambria Math" w:eastAsiaTheme="minorEastAsia" w:hAnsi="Cambria Math"/>
                    <w:i/>
                    <w:noProof w:val="0"/>
                  </w:rPr>
                </m:ctrlPr>
              </m:sSubPr>
              <m:e>
                <m:r>
                  <w:rPr>
                    <w:rFonts w:ascii="Cambria Math" w:eastAsiaTheme="minorEastAsia" w:hAnsi="Cambria Math"/>
                    <w:noProof w:val="0"/>
                  </w:rPr>
                  <m:t>y</m:t>
                </m:r>
              </m:e>
              <m:sub>
                <m:r>
                  <w:rPr>
                    <w:rFonts w:ascii="Cambria Math" w:eastAsiaTheme="minorEastAsia" w:hAnsi="Cambria Math"/>
                    <w:noProof w:val="0"/>
                  </w:rPr>
                  <m:t>i</m:t>
                </m:r>
              </m:sub>
            </m:sSub>
            <m:r>
              <w:rPr>
                <w:rFonts w:ascii="Cambria Math" w:eastAsiaTheme="minorEastAsia"/>
                <w:noProof w:val="0"/>
              </w:rPr>
              <m:t>,</m:t>
            </m:r>
            <m:r>
              <w:rPr>
                <w:rFonts w:ascii="Cambria Math" w:eastAsiaTheme="minorEastAsia" w:hAnsi="Cambria Math"/>
                <w:noProof w:val="0"/>
              </w:rPr>
              <m:t>x</m:t>
            </m:r>
          </m:e>
          <m:sub>
            <m:r>
              <w:rPr>
                <w:rFonts w:ascii="Cambria Math" w:eastAsiaTheme="minorEastAsia" w:hAnsi="Cambria Math"/>
                <w:noProof w:val="0"/>
              </w:rPr>
              <m:t>i</m:t>
            </m:r>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w</m:t>
            </m:r>
          </m:e>
          <m:sub>
            <m:r>
              <w:rPr>
                <w:rFonts w:ascii="Cambria Math" w:eastAsiaTheme="minorEastAsia" w:hAnsi="Cambria Math"/>
                <w:noProof w:val="0"/>
              </w:rPr>
              <m:t>i</m:t>
            </m:r>
          </m:sub>
        </m:sSub>
        <m:r>
          <w:rPr>
            <w:rFonts w:ascii="Cambria Math" w:eastAsiaTheme="minorEastAsia"/>
            <w:noProof w:val="0"/>
          </w:rPr>
          <m:t xml:space="preserve">, </m:t>
        </m:r>
        <m:sSub>
          <m:sSubPr>
            <m:ctrlPr>
              <w:rPr>
                <w:rFonts w:ascii="Cambria Math" w:eastAsiaTheme="minorEastAsia" w:hAnsi="Cambria Math"/>
                <w:i/>
                <w:noProof w:val="0"/>
              </w:rPr>
            </m:ctrlPr>
          </m:sSubPr>
          <m:e>
            <m:r>
              <w:rPr>
                <w:rFonts w:ascii="Cambria Math" w:eastAsiaTheme="minorEastAsia" w:hAnsi="Cambria Math"/>
                <w:noProof w:val="0"/>
              </w:rPr>
              <m:t>t</m:t>
            </m:r>
          </m:e>
          <m:sub>
            <m:r>
              <w:rPr>
                <w:rFonts w:ascii="Cambria Math" w:eastAsiaTheme="minorEastAsia" w:hAnsi="Cambria Math"/>
                <w:noProof w:val="0"/>
              </w:rPr>
              <m:t>i</m:t>
            </m:r>
          </m:sub>
        </m:sSub>
        <m:r>
          <w:rPr>
            <w:rFonts w:ascii="Cambria Math" w:eastAsiaTheme="minorEastAsia"/>
            <w:noProof w:val="0"/>
          </w:rPr>
          <m:t>)</m:t>
        </m:r>
      </m:oMath>
      <w:r w:rsidRPr="00137589">
        <w:rPr>
          <w:rFonts w:eastAsiaTheme="minorEastAsia"/>
          <w:noProof w:val="0"/>
        </w:rPr>
        <w:t>. The second assumption is that in a perfectly competitive market with free entry and exit, marginal revenue equals marginal cost and economic profit is zero:</w:t>
      </w:r>
    </w:p>
    <w:p w:rsidR="0013457F" w:rsidRPr="00137589" w:rsidRDefault="0013457F" w:rsidP="0013457F">
      <w:pPr>
        <w:spacing w:after="0" w:line="480" w:lineRule="auto"/>
        <w:ind w:firstLine="567"/>
        <w:jc w:val="both"/>
        <w:rPr>
          <w:rFonts w:eastAsiaTheme="minorEastAsia"/>
          <w:noProof w:val="0"/>
        </w:rPr>
      </w:pPr>
    </w:p>
    <w:p w:rsidR="0013457F" w:rsidRPr="00137589" w:rsidRDefault="00D36D34" w:rsidP="0013457F">
      <w:pPr>
        <w:spacing w:after="0" w:line="480" w:lineRule="auto"/>
        <w:ind w:firstLine="567"/>
        <w:jc w:val="both"/>
        <w:rPr>
          <w:rFonts w:eastAsiaTheme="minorEastAsia"/>
          <w:noProof w:val="0"/>
        </w:rPr>
      </w:pPr>
      <m:oMathPara>
        <m:oMath>
          <m:sSup>
            <m:sSupPr>
              <m:ctrlPr>
                <w:rPr>
                  <w:rFonts w:ascii="Cambria Math" w:eastAsiaTheme="minorEastAsia" w:hAnsi="Cambria Math"/>
                  <w:i/>
                  <w:noProof w:val="0"/>
                </w:rPr>
              </m:ctrlPr>
            </m:sSupPr>
            <m:e>
              <m:r>
                <w:rPr>
                  <w:rFonts w:ascii="Cambria Math" w:eastAsiaTheme="minorEastAsia" w:hAnsi="Cambria Math"/>
                  <w:noProof w:val="0"/>
                </w:rPr>
                <m:t>R</m:t>
              </m:r>
            </m:e>
            <m:sup>
              <m:r>
                <w:rPr>
                  <w:rFonts w:ascii="Cambria Math" w:eastAsiaTheme="minorEastAsia" w:hAnsi="Cambria Math"/>
                  <w:noProof w:val="0"/>
                </w:rPr>
                <m:t>*</m:t>
              </m:r>
            </m:sup>
          </m:sSup>
          <m:d>
            <m:dPr>
              <m:ctrlPr>
                <w:rPr>
                  <w:rFonts w:ascii="Cambria Math" w:eastAsiaTheme="minorEastAsia" w:hAnsi="Cambria Math"/>
                  <w:i/>
                  <w:noProof w:val="0"/>
                </w:rPr>
              </m:ctrlPr>
            </m:dPr>
            <m:e>
              <m:sSub>
                <m:sSubPr>
                  <m:ctrlPr>
                    <w:rPr>
                      <w:rFonts w:ascii="Cambria Math" w:eastAsiaTheme="minorEastAsia" w:hAnsi="Cambria Math"/>
                      <w:i/>
                      <w:noProof w:val="0"/>
                    </w:rPr>
                  </m:ctrlPr>
                </m:sSubPr>
                <m:e>
                  <m:r>
                    <w:rPr>
                      <w:rFonts w:ascii="Cambria Math" w:eastAsiaTheme="minorEastAsia" w:hAnsi="Cambria Math"/>
                      <w:noProof w:val="0"/>
                    </w:rPr>
                    <m:t>y</m:t>
                  </m:r>
                </m:e>
                <m:sub>
                  <m:r>
                    <w:rPr>
                      <w:rFonts w:ascii="Cambria Math" w:eastAsiaTheme="minorEastAsia" w:hAnsi="Cambria Math"/>
                      <w:noProof w:val="0"/>
                    </w:rPr>
                    <m:t>i</m:t>
                  </m:r>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z</m:t>
                  </m:r>
                </m:e>
                <m:sub>
                  <m:r>
                    <w:rPr>
                      <w:rFonts w:ascii="Cambria Math" w:eastAsiaTheme="minorEastAsia" w:hAnsi="Cambria Math"/>
                      <w:noProof w:val="0"/>
                    </w:rPr>
                    <m:t>i</m:t>
                  </m:r>
                </m:sub>
              </m:sSub>
            </m:e>
          </m:d>
          <m:r>
            <w:rPr>
              <w:rFonts w:ascii="Cambria Math" w:eastAsiaTheme="minorEastAsia" w:hAnsi="Cambria Math"/>
              <w:noProof w:val="0"/>
            </w:rPr>
            <m:t>-</m:t>
          </m:r>
          <m:sSup>
            <m:sSupPr>
              <m:ctrlPr>
                <w:rPr>
                  <w:rFonts w:ascii="Cambria Math" w:eastAsiaTheme="minorEastAsia" w:hAnsi="Cambria Math"/>
                  <w:i/>
                  <w:noProof w:val="0"/>
                </w:rPr>
              </m:ctrlPr>
            </m:sSupPr>
            <m:e>
              <m:r>
                <w:rPr>
                  <w:rFonts w:ascii="Cambria Math" w:eastAsiaTheme="minorEastAsia" w:hAnsi="Cambria Math"/>
                  <w:noProof w:val="0"/>
                </w:rPr>
                <m:t>C</m:t>
              </m:r>
            </m:e>
            <m:sup>
              <m:r>
                <w:rPr>
                  <w:rFonts w:ascii="Cambria Math" w:eastAsiaTheme="minorEastAsia" w:hAnsi="Cambria Math"/>
                  <w:noProof w:val="0"/>
                </w:rPr>
                <m:t>*</m:t>
              </m:r>
            </m:sup>
          </m:sSup>
          <m:r>
            <w:rPr>
              <w:rFonts w:ascii="Cambria Math" w:eastAsiaTheme="minorEastAsia"/>
              <w:noProof w:val="0"/>
            </w:rPr>
            <m:t>(</m:t>
          </m:r>
          <m:sSub>
            <m:sSubPr>
              <m:ctrlPr>
                <w:rPr>
                  <w:rFonts w:ascii="Cambria Math" w:eastAsiaTheme="minorEastAsia" w:hAnsi="Cambria Math"/>
                  <w:i/>
                  <w:noProof w:val="0"/>
                </w:rPr>
              </m:ctrlPr>
            </m:sSubPr>
            <m:e>
              <m:sSub>
                <m:sSubPr>
                  <m:ctrlPr>
                    <w:rPr>
                      <w:rFonts w:ascii="Cambria Math" w:eastAsiaTheme="minorEastAsia" w:hAnsi="Cambria Math"/>
                      <w:i/>
                      <w:noProof w:val="0"/>
                    </w:rPr>
                  </m:ctrlPr>
                </m:sSubPr>
                <m:e>
                  <m:r>
                    <w:rPr>
                      <w:rFonts w:ascii="Cambria Math" w:eastAsiaTheme="minorEastAsia" w:hAnsi="Cambria Math"/>
                      <w:noProof w:val="0"/>
                    </w:rPr>
                    <m:t>y</m:t>
                  </m:r>
                </m:e>
                <m:sub>
                  <m:r>
                    <w:rPr>
                      <w:rFonts w:ascii="Cambria Math" w:eastAsiaTheme="minorEastAsia" w:hAnsi="Cambria Math"/>
                      <w:noProof w:val="0"/>
                    </w:rPr>
                    <m:t>i</m:t>
                  </m:r>
                </m:sub>
              </m:sSub>
              <m:r>
                <w:rPr>
                  <w:rFonts w:ascii="Cambria Math" w:eastAsiaTheme="minorEastAsia"/>
                  <w:noProof w:val="0"/>
                </w:rPr>
                <m:t>,</m:t>
              </m:r>
              <m:r>
                <w:rPr>
                  <w:rFonts w:ascii="Cambria Math" w:eastAsiaTheme="minorEastAsia" w:hAnsi="Cambria Math"/>
                  <w:noProof w:val="0"/>
                </w:rPr>
                <m:t>x</m:t>
              </m:r>
            </m:e>
            <m:sub>
              <m:r>
                <w:rPr>
                  <w:rFonts w:ascii="Cambria Math" w:eastAsiaTheme="minorEastAsia" w:hAnsi="Cambria Math"/>
                  <w:noProof w:val="0"/>
                </w:rPr>
                <m:t>i</m:t>
              </m:r>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w</m:t>
              </m:r>
            </m:e>
            <m:sub>
              <m:r>
                <w:rPr>
                  <w:rFonts w:ascii="Cambria Math" w:eastAsiaTheme="minorEastAsia" w:hAnsi="Cambria Math"/>
                  <w:noProof w:val="0"/>
                </w:rPr>
                <m:t>i</m:t>
              </m:r>
            </m:sub>
          </m:sSub>
          <m:r>
            <w:rPr>
              <w:rFonts w:ascii="Cambria Math" w:eastAsiaTheme="minorEastAsia"/>
              <w:noProof w:val="0"/>
            </w:rPr>
            <m:t xml:space="preserve">, </m:t>
          </m:r>
          <m:sSub>
            <m:sSubPr>
              <m:ctrlPr>
                <w:rPr>
                  <w:rFonts w:ascii="Cambria Math" w:eastAsiaTheme="minorEastAsia" w:hAnsi="Cambria Math"/>
                  <w:i/>
                  <w:noProof w:val="0"/>
                </w:rPr>
              </m:ctrlPr>
            </m:sSubPr>
            <m:e>
              <m:r>
                <w:rPr>
                  <w:rFonts w:ascii="Cambria Math" w:eastAsiaTheme="minorEastAsia" w:hAnsi="Cambria Math"/>
                  <w:noProof w:val="0"/>
                </w:rPr>
                <m:t>t</m:t>
              </m:r>
            </m:e>
            <m:sub>
              <m:r>
                <w:rPr>
                  <w:rFonts w:ascii="Cambria Math" w:eastAsiaTheme="minorEastAsia" w:hAnsi="Cambria Math"/>
                  <w:noProof w:val="0"/>
                </w:rPr>
                <m:t>i</m:t>
              </m:r>
            </m:sub>
          </m:sSub>
          <m:r>
            <w:rPr>
              <w:rFonts w:ascii="Cambria Math" w:eastAsiaTheme="minorEastAsia"/>
              <w:noProof w:val="0"/>
            </w:rPr>
            <m:t>)=0</m:t>
          </m:r>
        </m:oMath>
      </m:oMathPara>
    </w:p>
    <w:p w:rsidR="0013457F" w:rsidRPr="00137589" w:rsidRDefault="0013457F" w:rsidP="0013457F">
      <w:pPr>
        <w:spacing w:after="0" w:line="480" w:lineRule="auto"/>
        <w:ind w:firstLine="567"/>
        <w:jc w:val="both"/>
        <w:rPr>
          <w:rFonts w:eastAsiaTheme="minorEastAsia"/>
          <w:noProof w:val="0"/>
        </w:rPr>
      </w:pPr>
    </w:p>
    <w:p w:rsidR="0013457F" w:rsidRPr="00137589" w:rsidRDefault="0013457F" w:rsidP="0013457F">
      <w:pPr>
        <w:spacing w:after="0" w:line="480" w:lineRule="auto"/>
        <w:jc w:val="both"/>
        <w:rPr>
          <w:rFonts w:eastAsiaTheme="minorEastAsia"/>
          <w:noProof w:val="0"/>
        </w:rPr>
      </w:pPr>
      <w:r w:rsidRPr="00137589">
        <w:rPr>
          <w:rFonts w:eastAsiaTheme="minorEastAsia"/>
          <w:noProof w:val="0"/>
        </w:rPr>
        <w:lastRenderedPageBreak/>
        <w:t>where the asterisk refers to marginal values.</w:t>
      </w:r>
    </w:p>
    <w:p w:rsidR="0013457F" w:rsidRPr="00137589" w:rsidRDefault="00842E85" w:rsidP="0013457F">
      <w:pPr>
        <w:spacing w:after="0" w:line="480" w:lineRule="auto"/>
        <w:ind w:firstLine="567"/>
        <w:jc w:val="both"/>
        <w:rPr>
          <w:rFonts w:eastAsiaTheme="minorEastAsia"/>
          <w:noProof w:val="0"/>
        </w:rPr>
      </w:pPr>
      <w:r w:rsidRPr="00137589">
        <w:rPr>
          <w:rFonts w:eastAsiaTheme="minorEastAsia"/>
          <w:noProof w:val="0"/>
        </w:rPr>
        <w:t>The</w:t>
      </w:r>
      <w:r w:rsidR="00B047C8" w:rsidRPr="00137589">
        <w:rPr>
          <w:rFonts w:eastAsiaTheme="minorEastAsia"/>
          <w:noProof w:val="0"/>
        </w:rPr>
        <w:t xml:space="preserve"> main point </w:t>
      </w:r>
      <w:r w:rsidRPr="00137589">
        <w:rPr>
          <w:rFonts w:eastAsiaTheme="minorEastAsia"/>
          <w:noProof w:val="0"/>
        </w:rPr>
        <w:t xml:space="preserve">of the model </w:t>
      </w:r>
      <w:r w:rsidR="00B047C8" w:rsidRPr="00137589">
        <w:rPr>
          <w:rFonts w:eastAsiaTheme="minorEastAsia"/>
          <w:noProof w:val="0"/>
        </w:rPr>
        <w:t>is to verify</w:t>
      </w:r>
      <w:r w:rsidR="0013457F" w:rsidRPr="00137589">
        <w:rPr>
          <w:rFonts w:eastAsiaTheme="minorEastAsia"/>
          <w:noProof w:val="0"/>
        </w:rPr>
        <w:t xml:space="preserve"> </w:t>
      </w:r>
      <w:r w:rsidR="00B047C8" w:rsidRPr="00137589">
        <w:rPr>
          <w:rFonts w:eastAsiaTheme="minorEastAsia"/>
          <w:noProof w:val="0"/>
        </w:rPr>
        <w:t xml:space="preserve">how </w:t>
      </w:r>
      <w:r w:rsidR="0013457F" w:rsidRPr="00137589">
        <w:rPr>
          <w:rFonts w:eastAsiaTheme="minorEastAsia"/>
          <w:noProof w:val="0"/>
        </w:rPr>
        <w:t xml:space="preserve">a change in input prices </w:t>
      </w:r>
      <m:oMath>
        <m:r>
          <w:rPr>
            <w:rFonts w:ascii="Cambria Math" w:eastAsiaTheme="minorEastAsia" w:hAnsi="Cambria Math"/>
            <w:noProof w:val="0"/>
          </w:rPr>
          <m:t>∂</m:t>
        </m:r>
        <m:sSub>
          <m:sSubPr>
            <m:ctrlPr>
              <w:rPr>
                <w:rFonts w:ascii="Cambria Math" w:eastAsiaTheme="minorEastAsia" w:hAnsi="Cambria Math"/>
                <w:i/>
                <w:noProof w:val="0"/>
              </w:rPr>
            </m:ctrlPr>
          </m:sSubPr>
          <m:e>
            <m:r>
              <w:rPr>
                <w:rFonts w:ascii="Cambria Math" w:eastAsiaTheme="minorEastAsia" w:hAnsi="Cambria Math"/>
                <w:noProof w:val="0"/>
              </w:rPr>
              <m:t>w</m:t>
            </m:r>
          </m:e>
          <m:sub>
            <m:r>
              <w:rPr>
                <w:rFonts w:ascii="Cambria Math" w:eastAsiaTheme="minorEastAsia" w:hAnsi="Cambria Math"/>
                <w:noProof w:val="0"/>
              </w:rPr>
              <m:t>i</m:t>
            </m:r>
            <m:r>
              <w:rPr>
                <w:rFonts w:ascii="Cambria Math" w:eastAsiaTheme="minorEastAsia"/>
                <w:noProof w:val="0"/>
              </w:rPr>
              <m:t xml:space="preserve"> </m:t>
            </m:r>
          </m:sub>
        </m:sSub>
      </m:oMath>
      <w:r w:rsidR="0013457F" w:rsidRPr="00137589">
        <w:rPr>
          <w:rFonts w:eastAsiaTheme="minorEastAsia"/>
          <w:noProof w:val="0"/>
        </w:rPr>
        <w:t xml:space="preserve">affects revenue </w:t>
      </w:r>
      <m:oMath>
        <m:r>
          <w:rPr>
            <w:rFonts w:ascii="Cambria Math" w:eastAsiaTheme="minorEastAsia" w:hAnsi="Cambria Math"/>
            <w:noProof w:val="0"/>
          </w:rPr>
          <m:t>∂R</m:t>
        </m:r>
      </m:oMath>
      <w:r w:rsidR="0013457F" w:rsidRPr="00137589">
        <w:rPr>
          <w:rFonts w:eastAsiaTheme="minorEastAsia"/>
          <w:noProof w:val="0"/>
        </w:rPr>
        <w:t xml:space="preserve">, or </w:t>
      </w:r>
      <m:oMath>
        <m:f>
          <m:fPr>
            <m:ctrlPr>
              <w:rPr>
                <w:rFonts w:ascii="Cambria Math" w:eastAsiaTheme="minorEastAsia" w:hAnsi="Cambria Math"/>
                <w:i/>
                <w:noProof w:val="0"/>
              </w:rPr>
            </m:ctrlPr>
          </m:fPr>
          <m:num>
            <m:r>
              <w:rPr>
                <w:rFonts w:ascii="Cambria Math" w:eastAsiaTheme="minorEastAsia" w:hAnsi="Cambria Math"/>
                <w:noProof w:val="0"/>
              </w:rPr>
              <m:t>∂R</m:t>
            </m:r>
          </m:num>
          <m:den>
            <m:r>
              <w:rPr>
                <w:rFonts w:ascii="Cambria Math" w:eastAsiaTheme="minorEastAsia" w:hAnsi="Cambria Math"/>
                <w:noProof w:val="0"/>
              </w:rPr>
              <m:t>∂</m:t>
            </m:r>
            <m:sSub>
              <m:sSubPr>
                <m:ctrlPr>
                  <w:rPr>
                    <w:rFonts w:ascii="Cambria Math" w:eastAsiaTheme="minorEastAsia" w:hAnsi="Cambria Math"/>
                    <w:i/>
                    <w:noProof w:val="0"/>
                  </w:rPr>
                </m:ctrlPr>
              </m:sSubPr>
              <m:e>
                <m:r>
                  <w:rPr>
                    <w:rFonts w:ascii="Cambria Math" w:eastAsiaTheme="minorEastAsia" w:hAnsi="Cambria Math"/>
                    <w:noProof w:val="0"/>
                  </w:rPr>
                  <m:t>w</m:t>
                </m:r>
              </m:e>
              <m:sub>
                <m:r>
                  <w:rPr>
                    <w:rFonts w:ascii="Cambria Math" w:eastAsiaTheme="minorEastAsia" w:hAnsi="Cambria Math"/>
                    <w:noProof w:val="0"/>
                  </w:rPr>
                  <m:t>i</m:t>
                </m:r>
              </m:sub>
            </m:sSub>
          </m:den>
        </m:f>
      </m:oMath>
      <w:r w:rsidR="0013457F" w:rsidRPr="00137589">
        <w:rPr>
          <w:rFonts w:eastAsiaTheme="minorEastAsia"/>
          <w:noProof w:val="0"/>
        </w:rPr>
        <w:t xml:space="preserve">. In this case </w:t>
      </w:r>
      <w:r w:rsidR="00762631" w:rsidRPr="00137589">
        <w:rPr>
          <w:rFonts w:eastAsiaTheme="minorEastAsia"/>
          <w:noProof w:val="0"/>
        </w:rPr>
        <w:t>the purpose is to assess</w:t>
      </w:r>
      <w:r w:rsidR="0013457F" w:rsidRPr="00137589">
        <w:rPr>
          <w:rFonts w:eastAsiaTheme="minorEastAsia"/>
          <w:noProof w:val="0"/>
        </w:rPr>
        <w:t xml:space="preserve"> the sensitivity of revenue to joint changes of input prices </w:t>
      </w:r>
      <m:oMath>
        <m:nary>
          <m:naryPr>
            <m:chr m:val="∑"/>
            <m:limLoc m:val="undOvr"/>
            <m:ctrlPr>
              <w:rPr>
                <w:rFonts w:ascii="Cambria Math" w:eastAsiaTheme="minorEastAsia" w:hAnsi="Cambria Math"/>
                <w:i/>
                <w:noProof w:val="0"/>
              </w:rPr>
            </m:ctrlPr>
          </m:naryPr>
          <m:sub>
            <m:r>
              <w:rPr>
                <w:rFonts w:ascii="Cambria Math" w:eastAsiaTheme="minorEastAsia" w:hAnsi="Cambria Math"/>
                <w:noProof w:val="0"/>
              </w:rPr>
              <m:t>i</m:t>
            </m:r>
            <m:r>
              <w:rPr>
                <w:rFonts w:ascii="Cambria Math" w:eastAsiaTheme="minorEastAsia"/>
                <w:noProof w:val="0"/>
              </w:rPr>
              <m:t>=1</m:t>
            </m:r>
          </m:sub>
          <m:sup>
            <m:r>
              <w:rPr>
                <w:rFonts w:ascii="Cambria Math" w:eastAsiaTheme="minorEastAsia" w:hAnsi="Cambria Math"/>
                <w:noProof w:val="0"/>
              </w:rPr>
              <m:t>n</m:t>
            </m:r>
          </m:sup>
          <m:e>
            <m:f>
              <m:fPr>
                <m:ctrlPr>
                  <w:rPr>
                    <w:rFonts w:ascii="Cambria Math" w:eastAsiaTheme="minorEastAsia" w:hAnsi="Cambria Math"/>
                    <w:i/>
                    <w:noProof w:val="0"/>
                  </w:rPr>
                </m:ctrlPr>
              </m:fPr>
              <m:num>
                <m:r>
                  <w:rPr>
                    <w:rFonts w:ascii="Cambria Math" w:eastAsiaTheme="minorEastAsia" w:hAnsi="Cambria Math"/>
                    <w:noProof w:val="0"/>
                  </w:rPr>
                  <m:t>∂R</m:t>
                </m:r>
              </m:num>
              <m:den>
                <m:r>
                  <w:rPr>
                    <w:rFonts w:ascii="Cambria Math" w:eastAsiaTheme="minorEastAsia" w:hAnsi="Cambria Math"/>
                    <w:noProof w:val="0"/>
                  </w:rPr>
                  <m:t>∂</m:t>
                </m:r>
                <m:sSub>
                  <m:sSubPr>
                    <m:ctrlPr>
                      <w:rPr>
                        <w:rFonts w:ascii="Cambria Math" w:eastAsiaTheme="minorEastAsia" w:hAnsi="Cambria Math"/>
                        <w:i/>
                        <w:noProof w:val="0"/>
                      </w:rPr>
                    </m:ctrlPr>
                  </m:sSubPr>
                  <m:e>
                    <m:r>
                      <w:rPr>
                        <w:rFonts w:ascii="Cambria Math" w:eastAsiaTheme="minorEastAsia" w:hAnsi="Cambria Math"/>
                        <w:noProof w:val="0"/>
                      </w:rPr>
                      <m:t>w</m:t>
                    </m:r>
                  </m:e>
                  <m:sub>
                    <m:r>
                      <w:rPr>
                        <w:rFonts w:ascii="Cambria Math" w:eastAsiaTheme="minorEastAsia" w:hAnsi="Cambria Math"/>
                        <w:noProof w:val="0"/>
                      </w:rPr>
                      <m:t>i</m:t>
                    </m:r>
                  </m:sub>
                </m:sSub>
              </m:den>
            </m:f>
          </m:e>
        </m:nary>
      </m:oMath>
      <w:r w:rsidR="0013457F" w:rsidRPr="00137589">
        <w:rPr>
          <w:rFonts w:eastAsiaTheme="minorEastAsia"/>
          <w:noProof w:val="0"/>
        </w:rPr>
        <w:t xml:space="preserve">. </w:t>
      </w:r>
      <w:r w:rsidR="00762631" w:rsidRPr="00137589">
        <w:rPr>
          <w:rFonts w:eastAsiaTheme="minorEastAsia"/>
          <w:noProof w:val="0"/>
        </w:rPr>
        <w:t>A</w:t>
      </w:r>
      <w:r w:rsidR="0013457F" w:rsidRPr="00137589">
        <w:rPr>
          <w:rFonts w:eastAsiaTheme="minorEastAsia"/>
          <w:noProof w:val="0"/>
        </w:rPr>
        <w:t xml:space="preserve"> monopoly or a perfectly colluding oligopoly </w:t>
      </w:r>
      <w:r w:rsidR="00762631" w:rsidRPr="00137589">
        <w:rPr>
          <w:rFonts w:eastAsiaTheme="minorEastAsia"/>
          <w:noProof w:val="0"/>
        </w:rPr>
        <w:t xml:space="preserve">imply that </w:t>
      </w:r>
      <w:r w:rsidR="0013457F" w:rsidRPr="00137589">
        <w:rPr>
          <w:rFonts w:eastAsiaTheme="minorEastAsia"/>
          <w:noProof w:val="0"/>
        </w:rPr>
        <w:t xml:space="preserve">an increase in input prices affects revenue and output negatively; perfect competition </w:t>
      </w:r>
      <w:r w:rsidR="00762631" w:rsidRPr="00137589">
        <w:rPr>
          <w:rFonts w:eastAsiaTheme="minorEastAsia"/>
          <w:noProof w:val="0"/>
        </w:rPr>
        <w:t xml:space="preserve">implies that </w:t>
      </w:r>
      <w:r w:rsidR="0013457F" w:rsidRPr="00137589">
        <w:rPr>
          <w:rFonts w:eastAsiaTheme="minorEastAsia"/>
          <w:noProof w:val="0"/>
        </w:rPr>
        <w:t xml:space="preserve">an increase in input prices does not affect revenue and output; </w:t>
      </w:r>
      <w:r w:rsidR="006562FC">
        <w:rPr>
          <w:rFonts w:eastAsiaTheme="minorEastAsia"/>
          <w:noProof w:val="0"/>
        </w:rPr>
        <w:t>monopolistic competition</w:t>
      </w:r>
      <w:r w:rsidR="0013457F" w:rsidRPr="00137589">
        <w:rPr>
          <w:rFonts w:eastAsiaTheme="minorEastAsia"/>
          <w:noProof w:val="0"/>
        </w:rPr>
        <w:t xml:space="preserve"> </w:t>
      </w:r>
      <w:r w:rsidR="00762631" w:rsidRPr="00137589">
        <w:rPr>
          <w:rFonts w:eastAsiaTheme="minorEastAsia"/>
          <w:noProof w:val="0"/>
        </w:rPr>
        <w:t>implies</w:t>
      </w:r>
      <w:r w:rsidR="0013457F" w:rsidRPr="00137589">
        <w:rPr>
          <w:rFonts w:eastAsiaTheme="minorEastAsia"/>
          <w:noProof w:val="0"/>
        </w:rPr>
        <w:t xml:space="preserve"> an intermediate behavio</w:t>
      </w:r>
      <w:r w:rsidR="0044786B">
        <w:rPr>
          <w:rFonts w:eastAsiaTheme="minorEastAsia"/>
          <w:noProof w:val="0"/>
        </w:rPr>
        <w:t>u</w:t>
      </w:r>
      <w:r w:rsidR="0013457F" w:rsidRPr="00137589">
        <w:rPr>
          <w:rFonts w:eastAsiaTheme="minorEastAsia"/>
          <w:noProof w:val="0"/>
        </w:rPr>
        <w:t>r.</w:t>
      </w:r>
    </w:p>
    <w:p w:rsidR="0013457F" w:rsidRPr="00137589" w:rsidRDefault="0013457F" w:rsidP="0013457F">
      <w:pPr>
        <w:spacing w:after="0" w:line="480" w:lineRule="auto"/>
        <w:ind w:firstLine="567"/>
        <w:jc w:val="both"/>
        <w:rPr>
          <w:rFonts w:eastAsiaTheme="minorEastAsia"/>
          <w:noProof w:val="0"/>
        </w:rPr>
      </w:pPr>
      <w:r w:rsidRPr="00137589">
        <w:rPr>
          <w:rFonts w:eastAsiaTheme="minorEastAsia"/>
          <w:noProof w:val="0"/>
        </w:rPr>
        <w:t xml:space="preserve">Panzar and Rosse </w:t>
      </w:r>
      <w:r w:rsidR="00762631" w:rsidRPr="00137589">
        <w:rPr>
          <w:rFonts w:eastAsiaTheme="minorEastAsia"/>
          <w:noProof w:val="0"/>
        </w:rPr>
        <w:t>use</w:t>
      </w:r>
      <w:r w:rsidRPr="00137589">
        <w:rPr>
          <w:rFonts w:eastAsiaTheme="minorEastAsia"/>
          <w:noProof w:val="0"/>
        </w:rPr>
        <w:t xml:space="preserve"> a measure of competition that corresponds to the sum of the elasticity of revenue with respect to the input prices. If we define </w:t>
      </w:r>
      <m:oMath>
        <m:sSub>
          <m:sSubPr>
            <m:ctrlPr>
              <w:rPr>
                <w:rFonts w:ascii="Cambria Math" w:eastAsiaTheme="minorEastAsia" w:hAnsi="Cambria Math"/>
                <w:i/>
                <w:noProof w:val="0"/>
              </w:rPr>
            </m:ctrlPr>
          </m:sSubPr>
          <m:e>
            <m:r>
              <w:rPr>
                <w:rFonts w:ascii="Cambria Math" w:eastAsiaTheme="minorEastAsia" w:hAnsi="Cambria Math"/>
                <w:noProof w:val="0"/>
              </w:rPr>
              <m:t>R</m:t>
            </m:r>
          </m:e>
          <m:sub>
            <m:r>
              <w:rPr>
                <w:rFonts w:ascii="Cambria Math" w:eastAsiaTheme="minorEastAsia" w:hAnsi="Cambria Math"/>
                <w:noProof w:val="0"/>
              </w:rPr>
              <m:t>e</m:t>
            </m:r>
          </m:sub>
        </m:sSub>
      </m:oMath>
      <w:r w:rsidRPr="00137589">
        <w:rPr>
          <w:rFonts w:eastAsiaTheme="minorEastAsia"/>
          <w:noProof w:val="0"/>
        </w:rPr>
        <w:t xml:space="preserve"> as equilibrium revenue, then</w:t>
      </w:r>
    </w:p>
    <w:p w:rsidR="0013457F" w:rsidRPr="00137589" w:rsidRDefault="0013457F" w:rsidP="0013457F">
      <w:pPr>
        <w:spacing w:after="0" w:line="480" w:lineRule="auto"/>
        <w:ind w:firstLine="567"/>
        <w:jc w:val="both"/>
        <w:rPr>
          <w:rFonts w:eastAsiaTheme="minorEastAsia"/>
          <w:noProof w:val="0"/>
        </w:rPr>
      </w:pPr>
    </w:p>
    <w:p w:rsidR="0013457F" w:rsidRPr="00137589" w:rsidRDefault="00137589" w:rsidP="00810DE4">
      <w:pPr>
        <w:spacing w:after="0" w:line="480" w:lineRule="auto"/>
        <w:ind w:firstLine="567"/>
        <w:jc w:val="right"/>
        <w:rPr>
          <w:rFonts w:eastAsiaTheme="minorEastAsia"/>
          <w:noProof w:val="0"/>
        </w:rPr>
      </w:pPr>
      <m:oMath>
        <m:r>
          <w:rPr>
            <w:rFonts w:ascii="Cambria Math" w:eastAsiaTheme="minorEastAsia" w:hAnsi="Cambria Math"/>
            <w:noProof w:val="0"/>
          </w:rPr>
          <m:t>H</m:t>
        </m:r>
        <m:r>
          <w:rPr>
            <w:rFonts w:ascii="Cambria Math" w:eastAsiaTheme="minorEastAsia"/>
            <w:noProof w:val="0"/>
          </w:rPr>
          <m:t>=</m:t>
        </m:r>
        <m:nary>
          <m:naryPr>
            <m:chr m:val="∑"/>
            <m:limLoc m:val="undOvr"/>
            <m:ctrlPr>
              <w:rPr>
                <w:rFonts w:ascii="Cambria Math" w:eastAsiaTheme="minorEastAsia" w:hAnsi="Cambria Math"/>
                <w:i/>
                <w:noProof w:val="0"/>
              </w:rPr>
            </m:ctrlPr>
          </m:naryPr>
          <m:sub>
            <m:r>
              <w:rPr>
                <w:rFonts w:ascii="Cambria Math" w:eastAsiaTheme="minorEastAsia" w:hAnsi="Cambria Math"/>
                <w:noProof w:val="0"/>
              </w:rPr>
              <m:t>i</m:t>
            </m:r>
            <m:r>
              <w:rPr>
                <w:rFonts w:ascii="Cambria Math" w:eastAsiaTheme="minorEastAsia"/>
                <w:noProof w:val="0"/>
              </w:rPr>
              <m:t>=1</m:t>
            </m:r>
          </m:sub>
          <m:sup>
            <m:r>
              <w:rPr>
                <w:rFonts w:ascii="Cambria Math" w:eastAsiaTheme="minorEastAsia" w:hAnsi="Cambria Math"/>
                <w:noProof w:val="0"/>
              </w:rPr>
              <m:t>n</m:t>
            </m:r>
          </m:sup>
          <m:e>
            <m:f>
              <m:fPr>
                <m:ctrlPr>
                  <w:rPr>
                    <w:rFonts w:ascii="Cambria Math" w:eastAsiaTheme="minorEastAsia" w:hAnsi="Cambria Math"/>
                    <w:i/>
                    <w:noProof w:val="0"/>
                  </w:rPr>
                </m:ctrlPr>
              </m:fPr>
              <m:num>
                <m:sSub>
                  <m:sSubPr>
                    <m:ctrlPr>
                      <w:rPr>
                        <w:rFonts w:ascii="Cambria Math" w:eastAsiaTheme="minorEastAsia" w:hAnsi="Cambria Math"/>
                        <w:i/>
                        <w:noProof w:val="0"/>
                      </w:rPr>
                    </m:ctrlPr>
                  </m:sSubPr>
                  <m:e>
                    <m:r>
                      <w:rPr>
                        <w:rFonts w:ascii="Cambria Math" w:eastAsiaTheme="minorEastAsia" w:hAnsi="Cambria Math"/>
                        <w:noProof w:val="0"/>
                      </w:rPr>
                      <m:t>δR</m:t>
                    </m:r>
                  </m:e>
                  <m:sub>
                    <m:r>
                      <w:rPr>
                        <w:rFonts w:ascii="Cambria Math" w:eastAsiaTheme="minorEastAsia" w:hAnsi="Cambria Math"/>
                        <w:noProof w:val="0"/>
                      </w:rPr>
                      <m:t>e</m:t>
                    </m:r>
                  </m:sub>
                </m:sSub>
              </m:num>
              <m:den>
                <m:sSub>
                  <m:sSubPr>
                    <m:ctrlPr>
                      <w:rPr>
                        <w:rFonts w:ascii="Cambria Math" w:eastAsiaTheme="minorEastAsia" w:hAnsi="Cambria Math"/>
                        <w:i/>
                        <w:noProof w:val="0"/>
                      </w:rPr>
                    </m:ctrlPr>
                  </m:sSubPr>
                  <m:e>
                    <m:r>
                      <w:rPr>
                        <w:rFonts w:ascii="Cambria Math" w:eastAsiaTheme="minorEastAsia" w:hAnsi="Cambria Math"/>
                        <w:noProof w:val="0"/>
                      </w:rPr>
                      <m:t>δw</m:t>
                    </m:r>
                  </m:e>
                  <m:sub>
                    <m:r>
                      <w:rPr>
                        <w:rFonts w:ascii="Cambria Math" w:eastAsiaTheme="minorEastAsia" w:hAnsi="Cambria Math"/>
                        <w:noProof w:val="0"/>
                      </w:rPr>
                      <m:t>i</m:t>
                    </m:r>
                  </m:sub>
                </m:sSub>
              </m:den>
            </m:f>
            <m:f>
              <m:fPr>
                <m:ctrlPr>
                  <w:rPr>
                    <w:rFonts w:ascii="Cambria Math" w:eastAsiaTheme="minorEastAsia" w:hAnsi="Cambria Math"/>
                    <w:i/>
                    <w:noProof w:val="0"/>
                  </w:rPr>
                </m:ctrlPr>
              </m:fPr>
              <m:num>
                <m:sSub>
                  <m:sSubPr>
                    <m:ctrlPr>
                      <w:rPr>
                        <w:rFonts w:ascii="Cambria Math" w:eastAsiaTheme="minorEastAsia" w:hAnsi="Cambria Math"/>
                        <w:i/>
                        <w:noProof w:val="0"/>
                      </w:rPr>
                    </m:ctrlPr>
                  </m:sSubPr>
                  <m:e>
                    <m:r>
                      <w:rPr>
                        <w:rFonts w:ascii="Cambria Math" w:eastAsiaTheme="minorEastAsia" w:hAnsi="Cambria Math"/>
                        <w:noProof w:val="0"/>
                      </w:rPr>
                      <m:t>w</m:t>
                    </m:r>
                  </m:e>
                  <m:sub>
                    <m:r>
                      <w:rPr>
                        <w:rFonts w:ascii="Cambria Math" w:eastAsiaTheme="minorEastAsia" w:hAnsi="Cambria Math"/>
                        <w:noProof w:val="0"/>
                      </w:rPr>
                      <m:t>i</m:t>
                    </m:r>
                  </m:sub>
                </m:sSub>
              </m:num>
              <m:den>
                <m:sSub>
                  <m:sSubPr>
                    <m:ctrlPr>
                      <w:rPr>
                        <w:rFonts w:ascii="Cambria Math" w:eastAsiaTheme="minorEastAsia" w:hAnsi="Cambria Math"/>
                        <w:i/>
                        <w:noProof w:val="0"/>
                      </w:rPr>
                    </m:ctrlPr>
                  </m:sSubPr>
                  <m:e>
                    <m:r>
                      <w:rPr>
                        <w:rFonts w:ascii="Cambria Math" w:eastAsiaTheme="minorEastAsia" w:hAnsi="Cambria Math"/>
                        <w:noProof w:val="0"/>
                      </w:rPr>
                      <m:t>R</m:t>
                    </m:r>
                  </m:e>
                  <m:sub>
                    <m:r>
                      <w:rPr>
                        <w:rFonts w:ascii="Cambria Math" w:eastAsiaTheme="minorEastAsia" w:hAnsi="Cambria Math"/>
                        <w:noProof w:val="0"/>
                      </w:rPr>
                      <m:t>e</m:t>
                    </m:r>
                  </m:sub>
                </m:sSub>
              </m:den>
            </m:f>
          </m:e>
        </m:nary>
      </m:oMath>
      <w:r w:rsidR="00810DE4" w:rsidRPr="00137589">
        <w:rPr>
          <w:rFonts w:eastAsiaTheme="minorEastAsia"/>
          <w:noProof w:val="0"/>
        </w:rPr>
        <w:tab/>
      </w:r>
      <w:r w:rsidR="00810DE4" w:rsidRPr="00137589">
        <w:rPr>
          <w:rFonts w:eastAsiaTheme="minorEastAsia"/>
          <w:noProof w:val="0"/>
        </w:rPr>
        <w:tab/>
      </w:r>
      <w:r w:rsidR="00810DE4" w:rsidRPr="00137589">
        <w:rPr>
          <w:rFonts w:eastAsiaTheme="minorEastAsia"/>
          <w:noProof w:val="0"/>
        </w:rPr>
        <w:tab/>
      </w:r>
      <w:r w:rsidR="00810DE4" w:rsidRPr="00137589">
        <w:rPr>
          <w:rFonts w:eastAsiaTheme="minorEastAsia"/>
          <w:noProof w:val="0"/>
        </w:rPr>
        <w:tab/>
      </w:r>
      <w:r w:rsidR="00810DE4" w:rsidRPr="00137589">
        <w:rPr>
          <w:rFonts w:eastAsiaTheme="minorEastAsia"/>
          <w:noProof w:val="0"/>
        </w:rPr>
        <w:tab/>
      </w:r>
      <w:r w:rsidR="00810DE4" w:rsidRPr="00137589">
        <w:rPr>
          <w:rFonts w:eastAsiaTheme="minorEastAsia"/>
          <w:noProof w:val="0"/>
        </w:rPr>
        <w:tab/>
        <w:t>(1)</w:t>
      </w:r>
    </w:p>
    <w:p w:rsidR="0013457F" w:rsidRPr="00137589" w:rsidRDefault="0013457F" w:rsidP="0013457F">
      <w:pPr>
        <w:spacing w:after="0" w:line="480" w:lineRule="auto"/>
        <w:ind w:firstLine="567"/>
        <w:jc w:val="both"/>
        <w:rPr>
          <w:rFonts w:eastAsiaTheme="minorEastAsia"/>
          <w:noProof w:val="0"/>
        </w:rPr>
      </w:pPr>
    </w:p>
    <w:p w:rsidR="0013457F" w:rsidRPr="00137589" w:rsidRDefault="00762631" w:rsidP="0013457F">
      <w:pPr>
        <w:spacing w:after="0" w:line="480" w:lineRule="auto"/>
        <w:ind w:firstLine="567"/>
        <w:jc w:val="both"/>
        <w:rPr>
          <w:rFonts w:eastAsiaTheme="minorEastAsia"/>
          <w:noProof w:val="0"/>
        </w:rPr>
      </w:pPr>
      <w:r w:rsidRPr="00137589">
        <w:rPr>
          <w:rFonts w:eastAsiaTheme="minorEastAsia"/>
          <w:noProof w:val="0"/>
        </w:rPr>
        <w:t>A</w:t>
      </w:r>
      <w:r w:rsidR="0013457F" w:rsidRPr="00137589">
        <w:rPr>
          <w:rFonts w:eastAsiaTheme="minorEastAsia"/>
          <w:noProof w:val="0"/>
        </w:rPr>
        <w:t xml:space="preserve">n </w:t>
      </w:r>
      <m:oMath>
        <m:r>
          <w:rPr>
            <w:rFonts w:ascii="Cambria Math" w:eastAsiaTheme="minorEastAsia" w:hAnsi="Cambria Math"/>
            <w:noProof w:val="0"/>
          </w:rPr>
          <m:t>H</m:t>
        </m:r>
        <m:r>
          <w:rPr>
            <w:rFonts w:ascii="Cambria Math" w:eastAsiaTheme="minorEastAsia"/>
            <w:noProof w:val="0"/>
          </w:rPr>
          <m:t xml:space="preserve"> </m:t>
        </m:r>
      </m:oMath>
      <w:r w:rsidR="0013457F" w:rsidRPr="00137589">
        <w:rPr>
          <w:rFonts w:eastAsiaTheme="minorEastAsia"/>
          <w:noProof w:val="0"/>
        </w:rPr>
        <w:t xml:space="preserve">that is 0 or negative corresponds to a monopoly or a perfectly colluding oligopoly, an </w:t>
      </w:r>
      <m:oMath>
        <m:r>
          <w:rPr>
            <w:rFonts w:ascii="Cambria Math" w:eastAsiaTheme="minorEastAsia" w:hAnsi="Cambria Math"/>
            <w:noProof w:val="0"/>
          </w:rPr>
          <m:t>H</m:t>
        </m:r>
        <m:r>
          <w:rPr>
            <w:rFonts w:ascii="Cambria Math" w:eastAsiaTheme="minorEastAsia"/>
            <w:noProof w:val="0"/>
          </w:rPr>
          <m:t xml:space="preserve"> </m:t>
        </m:r>
      </m:oMath>
      <w:r w:rsidR="0013457F" w:rsidRPr="00137589">
        <w:rPr>
          <w:rFonts w:eastAsiaTheme="minorEastAsia"/>
          <w:noProof w:val="0"/>
        </w:rPr>
        <w:t xml:space="preserve">that is 1 corresponds to perfect competition, and an </w:t>
      </w:r>
      <m:oMath>
        <m:r>
          <w:rPr>
            <w:rFonts w:ascii="Cambria Math" w:eastAsiaTheme="minorEastAsia" w:hAnsi="Cambria Math"/>
            <w:noProof w:val="0"/>
          </w:rPr>
          <m:t>H</m:t>
        </m:r>
        <m:r>
          <w:rPr>
            <w:rFonts w:ascii="Cambria Math" w:eastAsiaTheme="minorEastAsia"/>
            <w:noProof w:val="0"/>
          </w:rPr>
          <m:t xml:space="preserve"> </m:t>
        </m:r>
      </m:oMath>
      <w:r w:rsidR="0013457F" w:rsidRPr="00137589">
        <w:rPr>
          <w:rFonts w:eastAsiaTheme="minorEastAsia"/>
          <w:noProof w:val="0"/>
        </w:rPr>
        <w:t>between 0 and 1 (</w:t>
      </w:r>
      <m:oMath>
        <m:r>
          <w:rPr>
            <w:rFonts w:ascii="Cambria Math" w:eastAsiaTheme="minorEastAsia"/>
            <w:noProof w:val="0"/>
          </w:rPr>
          <m:t>0&lt;</m:t>
        </m:r>
        <m:r>
          <w:rPr>
            <w:rFonts w:ascii="Cambria Math" w:eastAsiaTheme="minorEastAsia" w:hAnsi="Cambria Math"/>
            <w:noProof w:val="0"/>
          </w:rPr>
          <m:t>H</m:t>
        </m:r>
        <m:r>
          <w:rPr>
            <w:rFonts w:ascii="Cambria Math" w:eastAsiaTheme="minorEastAsia"/>
            <w:noProof w:val="0"/>
          </w:rPr>
          <m:t xml:space="preserve">&lt;1) </m:t>
        </m:r>
      </m:oMath>
      <w:r w:rsidR="0013457F" w:rsidRPr="00137589">
        <w:rPr>
          <w:rFonts w:eastAsiaTheme="minorEastAsia"/>
          <w:noProof w:val="0"/>
        </w:rPr>
        <w:t>corresponds to monopolistic competition, a form of oligopoly having competitive features similar to perfect competition in the long run</w:t>
      </w:r>
      <w:r w:rsidRPr="00137589">
        <w:rPr>
          <w:rFonts w:eastAsiaTheme="minorEastAsia"/>
          <w:noProof w:val="0"/>
        </w:rPr>
        <w:t>,</w:t>
      </w:r>
      <w:r w:rsidR="0013457F" w:rsidRPr="00137589">
        <w:rPr>
          <w:rFonts w:eastAsiaTheme="minorEastAsia"/>
          <w:noProof w:val="0"/>
        </w:rPr>
        <w:t xml:space="preserve"> </w:t>
      </w:r>
      <w:r w:rsidRPr="00137589">
        <w:rPr>
          <w:rFonts w:eastAsiaTheme="minorEastAsia"/>
          <w:noProof w:val="0"/>
        </w:rPr>
        <w:t>although not in the short run</w:t>
      </w:r>
      <w:r w:rsidR="0013457F" w:rsidRPr="00137589">
        <w:rPr>
          <w:rFonts w:eastAsiaTheme="minorEastAsia"/>
          <w:noProof w:val="0"/>
        </w:rPr>
        <w:t>.</w:t>
      </w:r>
    </w:p>
    <w:p w:rsidR="0013457F" w:rsidRPr="00137589" w:rsidRDefault="00762631" w:rsidP="0013457F">
      <w:pPr>
        <w:spacing w:after="0" w:line="480" w:lineRule="auto"/>
        <w:ind w:firstLine="567"/>
        <w:jc w:val="both"/>
        <w:rPr>
          <w:rFonts w:eastAsiaTheme="minorEastAsia"/>
          <w:noProof w:val="0"/>
        </w:rPr>
      </w:pPr>
      <w:r w:rsidRPr="00137589">
        <w:rPr>
          <w:rFonts w:eastAsiaTheme="minorEastAsia"/>
          <w:noProof w:val="0"/>
        </w:rPr>
        <w:t>We use this framework to</w:t>
      </w:r>
      <w:r w:rsidR="0013457F" w:rsidRPr="00137589">
        <w:rPr>
          <w:rFonts w:eastAsiaTheme="minorEastAsia"/>
          <w:noProof w:val="0"/>
        </w:rPr>
        <w:t xml:space="preserve"> implement </w:t>
      </w:r>
      <w:r w:rsidR="00810DE4" w:rsidRPr="00137589">
        <w:rPr>
          <w:rFonts w:eastAsiaTheme="minorEastAsia"/>
          <w:noProof w:val="0"/>
        </w:rPr>
        <w:t>two panel data tests whose baseline specifications are</w:t>
      </w:r>
      <w:r w:rsidR="0013457F" w:rsidRPr="00137589">
        <w:rPr>
          <w:rFonts w:eastAsiaTheme="minorEastAsia"/>
          <w:noProof w:val="0"/>
        </w:rPr>
        <w:t>:</w:t>
      </w:r>
    </w:p>
    <w:p w:rsidR="00810DE4" w:rsidRPr="00137589" w:rsidRDefault="00810DE4" w:rsidP="00810DE4">
      <w:pPr>
        <w:spacing w:after="0" w:line="480" w:lineRule="auto"/>
        <w:jc w:val="center"/>
        <w:rPr>
          <w:rFonts w:eastAsiaTheme="minorEastAsia"/>
          <w:noProof w:val="0"/>
        </w:rPr>
      </w:pPr>
    </w:p>
    <w:p w:rsidR="0013457F" w:rsidRPr="00137589" w:rsidRDefault="00137589" w:rsidP="00810DE4">
      <w:pPr>
        <w:spacing w:after="0" w:line="480" w:lineRule="auto"/>
        <w:jc w:val="center"/>
        <w:rPr>
          <w:rFonts w:eastAsiaTheme="minorEastAsia"/>
          <w:noProof w:val="0"/>
        </w:rPr>
      </w:pPr>
      <m:oMath>
        <m:r>
          <w:rPr>
            <w:rFonts w:ascii="Cambria Math" w:eastAsiaTheme="minorEastAsia" w:hAnsi="Cambria Math"/>
            <w:noProof w:val="0"/>
          </w:rPr>
          <m:t>ln</m:t>
        </m:r>
        <m:sSub>
          <m:sSubPr>
            <m:ctrlPr>
              <w:rPr>
                <w:rFonts w:ascii="Cambria Math" w:eastAsiaTheme="minorEastAsia" w:hAnsi="Cambria Math"/>
                <w:i/>
                <w:noProof w:val="0"/>
              </w:rPr>
            </m:ctrlPr>
          </m:sSubPr>
          <m:e>
            <m:r>
              <w:rPr>
                <w:rFonts w:ascii="Cambria Math" w:eastAsiaTheme="minorEastAsia" w:hAnsi="Cambria Math"/>
                <w:noProof w:val="0"/>
              </w:rPr>
              <m:t>IRA</m:t>
            </m:r>
          </m:e>
          <m:sub>
            <m:r>
              <w:rPr>
                <w:rFonts w:ascii="Cambria Math" w:eastAsiaTheme="minorEastAsia" w:hAnsi="Cambria Math"/>
                <w:noProof w:val="0"/>
              </w:rPr>
              <m:t>it</m:t>
            </m:r>
          </m:sub>
        </m:sSub>
        <m:r>
          <w:rPr>
            <w:rFonts w:ascii="Cambria Math" w:eastAsiaTheme="minorEastAsia"/>
            <w:noProof w:val="0"/>
          </w:rPr>
          <m:t>=</m:t>
        </m:r>
        <m:r>
          <w:rPr>
            <w:rFonts w:ascii="Cambria Math" w:eastAsiaTheme="minorEastAsia" w:hAnsi="Cambria Math"/>
            <w:noProof w:val="0"/>
          </w:rPr>
          <m:t>α</m:t>
        </m:r>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β</m:t>
            </m:r>
          </m:e>
          <m:sub>
            <m:r>
              <w:rPr>
                <w:rFonts w:ascii="Cambria Math" w:eastAsiaTheme="minorEastAsia"/>
                <w:noProof w:val="0"/>
              </w:rPr>
              <m:t>1</m:t>
            </m:r>
          </m:sub>
        </m:sSub>
        <m:r>
          <w:rPr>
            <w:rFonts w:ascii="Cambria Math" w:eastAsiaTheme="minorEastAsia" w:hAnsi="Cambria Math"/>
            <w:noProof w:val="0"/>
          </w:rPr>
          <m:t>ln</m:t>
        </m:r>
        <m:sSub>
          <m:sSubPr>
            <m:ctrlPr>
              <w:rPr>
                <w:rFonts w:ascii="Cambria Math" w:eastAsiaTheme="minorEastAsia" w:hAnsi="Cambria Math"/>
                <w:i/>
                <w:noProof w:val="0"/>
              </w:rPr>
            </m:ctrlPr>
          </m:sSubPr>
          <m:e>
            <m:r>
              <w:rPr>
                <w:rFonts w:ascii="Cambria Math" w:eastAsiaTheme="minorEastAsia" w:hAnsi="Cambria Math"/>
                <w:noProof w:val="0"/>
              </w:rPr>
              <m:t>w</m:t>
            </m:r>
          </m:e>
          <m:sub>
            <m:sSub>
              <m:sSubPr>
                <m:ctrlPr>
                  <w:rPr>
                    <w:rFonts w:ascii="Cambria Math" w:eastAsiaTheme="minorEastAsia" w:hAnsi="Cambria Math"/>
                    <w:i/>
                    <w:noProof w:val="0"/>
                  </w:rPr>
                </m:ctrlPr>
              </m:sSubPr>
              <m:e>
                <m:r>
                  <w:rPr>
                    <w:rFonts w:ascii="Cambria Math" w:eastAsiaTheme="minorEastAsia" w:hAnsi="Cambria Math"/>
                    <w:noProof w:val="0"/>
                  </w:rPr>
                  <m:t>L</m:t>
                </m:r>
              </m:e>
              <m:sub>
                <m:r>
                  <w:rPr>
                    <w:rFonts w:ascii="Cambria Math" w:eastAsiaTheme="minorEastAsia" w:hAnsi="Cambria Math"/>
                    <w:noProof w:val="0"/>
                  </w:rPr>
                  <m:t>it</m:t>
                </m:r>
              </m:sub>
            </m:sSub>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β</m:t>
            </m:r>
          </m:e>
          <m:sub>
            <m:r>
              <w:rPr>
                <w:rFonts w:ascii="Cambria Math" w:eastAsiaTheme="minorEastAsia"/>
                <w:noProof w:val="0"/>
              </w:rPr>
              <m:t>2</m:t>
            </m:r>
          </m:sub>
        </m:sSub>
        <m:r>
          <w:rPr>
            <w:rFonts w:ascii="Cambria Math" w:eastAsiaTheme="minorEastAsia" w:hAnsi="Cambria Math"/>
            <w:noProof w:val="0"/>
          </w:rPr>
          <m:t>ln</m:t>
        </m:r>
        <m:sSub>
          <m:sSubPr>
            <m:ctrlPr>
              <w:rPr>
                <w:rFonts w:ascii="Cambria Math" w:eastAsiaTheme="minorEastAsia" w:hAnsi="Cambria Math"/>
                <w:i/>
                <w:noProof w:val="0"/>
              </w:rPr>
            </m:ctrlPr>
          </m:sSubPr>
          <m:e>
            <m:r>
              <w:rPr>
                <w:rFonts w:ascii="Cambria Math" w:eastAsiaTheme="minorEastAsia" w:hAnsi="Cambria Math"/>
                <w:noProof w:val="0"/>
              </w:rPr>
              <m:t>w</m:t>
            </m:r>
          </m:e>
          <m:sub>
            <m:sSub>
              <m:sSubPr>
                <m:ctrlPr>
                  <w:rPr>
                    <w:rFonts w:ascii="Cambria Math" w:eastAsiaTheme="minorEastAsia" w:hAnsi="Cambria Math"/>
                    <w:i/>
                    <w:noProof w:val="0"/>
                  </w:rPr>
                </m:ctrlPr>
              </m:sSubPr>
              <m:e>
                <m:r>
                  <w:rPr>
                    <w:rFonts w:ascii="Cambria Math" w:eastAsiaTheme="minorEastAsia" w:hAnsi="Cambria Math"/>
                    <w:noProof w:val="0"/>
                  </w:rPr>
                  <m:t>K</m:t>
                </m:r>
              </m:e>
              <m:sub>
                <m:r>
                  <w:rPr>
                    <w:rFonts w:ascii="Cambria Math" w:eastAsiaTheme="minorEastAsia" w:hAnsi="Cambria Math"/>
                    <w:noProof w:val="0"/>
                  </w:rPr>
                  <m:t>it</m:t>
                </m:r>
              </m:sub>
            </m:sSub>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β</m:t>
            </m:r>
          </m:e>
          <m:sub>
            <m:r>
              <w:rPr>
                <w:rFonts w:ascii="Cambria Math" w:eastAsiaTheme="minorEastAsia"/>
                <w:noProof w:val="0"/>
              </w:rPr>
              <m:t>3</m:t>
            </m:r>
          </m:sub>
        </m:sSub>
        <m:r>
          <w:rPr>
            <w:rFonts w:ascii="Cambria Math" w:eastAsiaTheme="minorEastAsia" w:hAnsi="Cambria Math"/>
            <w:noProof w:val="0"/>
          </w:rPr>
          <m:t>ln</m:t>
        </m:r>
        <m:sSub>
          <m:sSubPr>
            <m:ctrlPr>
              <w:rPr>
                <w:rFonts w:ascii="Cambria Math" w:eastAsiaTheme="minorEastAsia" w:hAnsi="Cambria Math"/>
                <w:i/>
                <w:noProof w:val="0"/>
              </w:rPr>
            </m:ctrlPr>
          </m:sSubPr>
          <m:e>
            <m:r>
              <w:rPr>
                <w:rFonts w:ascii="Cambria Math" w:eastAsiaTheme="minorEastAsia" w:hAnsi="Cambria Math"/>
                <w:noProof w:val="0"/>
              </w:rPr>
              <m:t>w</m:t>
            </m:r>
          </m:e>
          <m:sub>
            <m:sSub>
              <m:sSubPr>
                <m:ctrlPr>
                  <w:rPr>
                    <w:rFonts w:ascii="Cambria Math" w:eastAsiaTheme="minorEastAsia" w:hAnsi="Cambria Math"/>
                    <w:i/>
                    <w:noProof w:val="0"/>
                  </w:rPr>
                </m:ctrlPr>
              </m:sSubPr>
              <m:e>
                <m:r>
                  <w:rPr>
                    <w:rFonts w:ascii="Cambria Math" w:eastAsiaTheme="minorEastAsia" w:hAnsi="Cambria Math"/>
                    <w:noProof w:val="0"/>
                  </w:rPr>
                  <m:t>F</m:t>
                </m:r>
              </m:e>
              <m:sub>
                <m:r>
                  <w:rPr>
                    <w:rFonts w:ascii="Cambria Math" w:eastAsiaTheme="minorEastAsia" w:hAnsi="Cambria Math"/>
                    <w:noProof w:val="0"/>
                  </w:rPr>
                  <m:t>it</m:t>
                </m:r>
              </m:sub>
            </m:sSub>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γ</m:t>
            </m:r>
          </m:e>
          <m:sub>
            <m:r>
              <w:rPr>
                <w:rFonts w:ascii="Cambria Math" w:eastAsiaTheme="minorEastAsia"/>
                <w:noProof w:val="0"/>
              </w:rPr>
              <m:t>1</m:t>
            </m:r>
          </m:sub>
        </m:sSub>
        <m:r>
          <w:rPr>
            <w:rFonts w:ascii="Cambria Math" w:eastAsiaTheme="minorEastAsia" w:hAnsi="Cambria Math"/>
            <w:noProof w:val="0"/>
          </w:rPr>
          <m:t>ln</m:t>
        </m:r>
        <m:sSub>
          <m:sSubPr>
            <m:ctrlPr>
              <w:rPr>
                <w:rFonts w:ascii="Cambria Math" w:eastAsiaTheme="minorEastAsia" w:hAnsi="Cambria Math"/>
                <w:i/>
                <w:noProof w:val="0"/>
              </w:rPr>
            </m:ctrlPr>
          </m:sSubPr>
          <m:e>
            <m:r>
              <w:rPr>
                <w:rFonts w:ascii="Cambria Math" w:eastAsiaTheme="minorEastAsia" w:hAnsi="Cambria Math"/>
                <w:noProof w:val="0"/>
              </w:rPr>
              <m:t>DTD</m:t>
            </m:r>
          </m:e>
          <m:sub>
            <m:r>
              <w:rPr>
                <w:rFonts w:ascii="Cambria Math" w:eastAsiaTheme="minorEastAsia" w:hAnsi="Cambria Math"/>
                <w:noProof w:val="0"/>
              </w:rPr>
              <m:t>it</m:t>
            </m:r>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γ</m:t>
            </m:r>
          </m:e>
          <m:sub>
            <m:r>
              <w:rPr>
                <w:rFonts w:ascii="Cambria Math" w:eastAsiaTheme="minorEastAsia"/>
                <w:noProof w:val="0"/>
              </w:rPr>
              <m:t>2</m:t>
            </m:r>
          </m:sub>
        </m:sSub>
        <m:sSub>
          <m:sSubPr>
            <m:ctrlPr>
              <w:rPr>
                <w:rFonts w:ascii="Cambria Math" w:eastAsiaTheme="minorEastAsia" w:hAnsi="Cambria Math"/>
                <w:i/>
                <w:noProof w:val="0"/>
              </w:rPr>
            </m:ctrlPr>
          </m:sSubPr>
          <m:e>
            <m:r>
              <w:rPr>
                <w:rFonts w:ascii="Cambria Math" w:eastAsiaTheme="minorEastAsia" w:hAnsi="Cambria Math"/>
                <w:noProof w:val="0"/>
              </w:rPr>
              <m:t>lnLA</m:t>
            </m:r>
          </m:e>
          <m:sub>
            <m:r>
              <w:rPr>
                <w:rFonts w:ascii="Cambria Math" w:eastAsiaTheme="minorEastAsia" w:hAnsi="Cambria Math"/>
                <w:noProof w:val="0"/>
              </w:rPr>
              <m:t>it</m:t>
            </m:r>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γ</m:t>
            </m:r>
          </m:e>
          <m:sub>
            <m:r>
              <w:rPr>
                <w:rFonts w:ascii="Cambria Math" w:eastAsiaTheme="minorEastAsia"/>
                <w:noProof w:val="0"/>
              </w:rPr>
              <m:t>3</m:t>
            </m:r>
          </m:sub>
        </m:sSub>
        <m:sSub>
          <m:sSubPr>
            <m:ctrlPr>
              <w:rPr>
                <w:rFonts w:ascii="Cambria Math" w:eastAsiaTheme="minorEastAsia" w:hAnsi="Cambria Math"/>
                <w:i/>
                <w:noProof w:val="0"/>
              </w:rPr>
            </m:ctrlPr>
          </m:sSubPr>
          <m:e>
            <m:r>
              <w:rPr>
                <w:rFonts w:ascii="Cambria Math" w:eastAsiaTheme="minorEastAsia" w:hAnsi="Cambria Math"/>
                <w:noProof w:val="0"/>
              </w:rPr>
              <m:t>lnIBL</m:t>
            </m:r>
          </m:e>
          <m:sub>
            <m:r>
              <w:rPr>
                <w:rFonts w:ascii="Cambria Math" w:eastAsiaTheme="minorEastAsia" w:hAnsi="Cambria Math"/>
                <w:noProof w:val="0"/>
              </w:rPr>
              <m:t>it</m:t>
            </m:r>
          </m:sub>
        </m:sSub>
        <m:r>
          <w:rPr>
            <w:rFonts w:ascii="Cambria Math" w:eastAsiaTheme="minorEastAsia"/>
            <w:noProof w:val="0"/>
          </w:rPr>
          <m:t xml:space="preserve">+      </m:t>
        </m:r>
        <m:sSub>
          <m:sSubPr>
            <m:ctrlPr>
              <w:rPr>
                <w:rFonts w:ascii="Cambria Math" w:eastAsiaTheme="minorEastAsia" w:hAnsi="Cambria Math"/>
                <w:i/>
                <w:noProof w:val="0"/>
              </w:rPr>
            </m:ctrlPr>
          </m:sSubPr>
          <m:e>
            <m:r>
              <w:rPr>
                <w:rFonts w:ascii="Cambria Math" w:eastAsiaTheme="minorEastAsia" w:hAnsi="Cambria Math"/>
                <w:noProof w:val="0"/>
              </w:rPr>
              <m:t>γ</m:t>
            </m:r>
          </m:e>
          <m:sub>
            <m:r>
              <w:rPr>
                <w:rFonts w:ascii="Cambria Math" w:eastAsiaTheme="minorEastAsia"/>
                <w:noProof w:val="0"/>
              </w:rPr>
              <m:t>4</m:t>
            </m:r>
          </m:sub>
        </m:sSub>
        <m:sSub>
          <m:sSubPr>
            <m:ctrlPr>
              <w:rPr>
                <w:rFonts w:ascii="Cambria Math" w:eastAsiaTheme="minorEastAsia" w:hAnsi="Cambria Math"/>
                <w:i/>
                <w:noProof w:val="0"/>
              </w:rPr>
            </m:ctrlPr>
          </m:sSubPr>
          <m:e>
            <m:r>
              <w:rPr>
                <w:rFonts w:ascii="Cambria Math" w:eastAsiaTheme="minorEastAsia" w:hAnsi="Cambria Math"/>
                <w:noProof w:val="0"/>
              </w:rPr>
              <m:t>lnOBSA</m:t>
            </m:r>
          </m:e>
          <m:sub>
            <m:r>
              <w:rPr>
                <w:rFonts w:ascii="Cambria Math" w:eastAsiaTheme="minorEastAsia" w:hAnsi="Cambria Math"/>
                <w:noProof w:val="0"/>
              </w:rPr>
              <m:t>it</m:t>
            </m:r>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γ</m:t>
            </m:r>
          </m:e>
          <m:sub>
            <m:r>
              <w:rPr>
                <w:rFonts w:ascii="Cambria Math" w:eastAsiaTheme="minorEastAsia"/>
                <w:noProof w:val="0"/>
              </w:rPr>
              <m:t>5</m:t>
            </m:r>
          </m:sub>
        </m:sSub>
        <m:sSub>
          <m:sSubPr>
            <m:ctrlPr>
              <w:rPr>
                <w:rFonts w:ascii="Cambria Math" w:eastAsiaTheme="minorEastAsia" w:hAnsi="Cambria Math"/>
                <w:i/>
                <w:noProof w:val="0"/>
              </w:rPr>
            </m:ctrlPr>
          </m:sSubPr>
          <m:e>
            <m:r>
              <w:rPr>
                <w:rFonts w:ascii="Cambria Math" w:eastAsiaTheme="minorEastAsia" w:hAnsi="Cambria Math"/>
                <w:noProof w:val="0"/>
              </w:rPr>
              <m:t>lnAB</m:t>
            </m:r>
          </m:e>
          <m:sub>
            <m:r>
              <w:rPr>
                <w:rFonts w:ascii="Cambria Math" w:eastAsiaTheme="minorEastAsia" w:hAnsi="Cambria Math"/>
                <w:noProof w:val="0"/>
              </w:rPr>
              <m:t>it</m:t>
            </m:r>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γ</m:t>
            </m:r>
          </m:e>
          <m:sub>
            <m:r>
              <w:rPr>
                <w:rFonts w:ascii="Cambria Math" w:eastAsiaTheme="minorEastAsia"/>
                <w:noProof w:val="0"/>
              </w:rPr>
              <m:t>6</m:t>
            </m:r>
          </m:sub>
        </m:sSub>
        <m:sSub>
          <m:sSubPr>
            <m:ctrlPr>
              <w:rPr>
                <w:rFonts w:ascii="Cambria Math" w:eastAsiaTheme="minorEastAsia" w:hAnsi="Cambria Math"/>
                <w:i/>
                <w:noProof w:val="0"/>
              </w:rPr>
            </m:ctrlPr>
          </m:sSubPr>
          <m:e>
            <m:r>
              <w:rPr>
                <w:rFonts w:ascii="Cambria Math" w:eastAsiaTheme="minorEastAsia" w:hAnsi="Cambria Math"/>
                <w:noProof w:val="0"/>
              </w:rPr>
              <m:t>lnKA</m:t>
            </m:r>
          </m:e>
          <m:sub>
            <m:r>
              <w:rPr>
                <w:rFonts w:ascii="Cambria Math" w:eastAsiaTheme="minorEastAsia" w:hAnsi="Cambria Math"/>
                <w:noProof w:val="0"/>
              </w:rPr>
              <m:t>it</m:t>
            </m:r>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γ</m:t>
            </m:r>
          </m:e>
          <m:sub>
            <m:r>
              <w:rPr>
                <w:rFonts w:ascii="Cambria Math" w:eastAsiaTheme="minorEastAsia"/>
                <w:noProof w:val="0"/>
              </w:rPr>
              <m:t>7</m:t>
            </m:r>
          </m:sub>
        </m:sSub>
        <m:sSub>
          <m:sSubPr>
            <m:ctrlPr>
              <w:rPr>
                <w:rFonts w:ascii="Cambria Math" w:eastAsiaTheme="minorEastAsia" w:hAnsi="Cambria Math"/>
                <w:i/>
                <w:noProof w:val="0"/>
              </w:rPr>
            </m:ctrlPr>
          </m:sSubPr>
          <m:e>
            <m:r>
              <w:rPr>
                <w:rFonts w:ascii="Cambria Math" w:eastAsiaTheme="minorEastAsia" w:hAnsi="Cambria Math"/>
                <w:noProof w:val="0"/>
              </w:rPr>
              <m:t>lnOIIR</m:t>
            </m:r>
          </m:e>
          <m:sub>
            <m:r>
              <w:rPr>
                <w:rFonts w:ascii="Cambria Math" w:eastAsiaTheme="minorEastAsia" w:hAnsi="Cambria Math"/>
                <w:noProof w:val="0"/>
              </w:rPr>
              <m:t>it</m:t>
            </m:r>
          </m:sub>
        </m:sSub>
        <m:r>
          <w:rPr>
            <w:rFonts w:ascii="Cambria Math" w:eastAsiaTheme="minorEastAsia"/>
            <w:noProof w:val="0"/>
          </w:rPr>
          <m:t xml:space="preserve">+ </m:t>
        </m:r>
        <m:sSub>
          <m:sSubPr>
            <m:ctrlPr>
              <w:rPr>
                <w:rFonts w:ascii="Cambria Math" w:eastAsiaTheme="minorEastAsia" w:hAnsi="Cambria Math"/>
                <w:i/>
                <w:noProof w:val="0"/>
              </w:rPr>
            </m:ctrlPr>
          </m:sSubPr>
          <m:e>
            <m:r>
              <w:rPr>
                <w:rFonts w:ascii="Cambria Math" w:eastAsiaTheme="minorEastAsia" w:hAnsi="Cambria Math"/>
                <w:noProof w:val="0"/>
              </w:rPr>
              <m:t>ε</m:t>
            </m:r>
          </m:e>
          <m:sub>
            <m:r>
              <w:rPr>
                <w:rFonts w:ascii="Cambria Math" w:eastAsiaTheme="minorEastAsia" w:hAnsi="Cambria Math"/>
                <w:noProof w:val="0"/>
              </w:rPr>
              <m:t>it</m:t>
            </m:r>
          </m:sub>
        </m:sSub>
      </m:oMath>
      <w:r w:rsidR="00810DE4" w:rsidRPr="00137589">
        <w:rPr>
          <w:rFonts w:eastAsiaTheme="minorEastAsia"/>
          <w:noProof w:val="0"/>
        </w:rPr>
        <w:tab/>
      </w:r>
      <w:r w:rsidR="00810DE4" w:rsidRPr="00137589">
        <w:rPr>
          <w:rFonts w:eastAsiaTheme="minorEastAsia"/>
          <w:noProof w:val="0"/>
        </w:rPr>
        <w:tab/>
      </w:r>
      <w:r w:rsidR="005F2E0A">
        <w:rPr>
          <w:rFonts w:eastAsiaTheme="minorEastAsia"/>
          <w:noProof w:val="0"/>
        </w:rPr>
        <w:t xml:space="preserve">      </w:t>
      </w:r>
      <w:r w:rsidR="00810DE4" w:rsidRPr="00137589">
        <w:rPr>
          <w:rFonts w:eastAsiaTheme="minorEastAsia"/>
          <w:noProof w:val="0"/>
        </w:rPr>
        <w:t xml:space="preserve">           (2)</w:t>
      </w:r>
    </w:p>
    <w:p w:rsidR="00810DE4" w:rsidRPr="00137589" w:rsidRDefault="00810DE4" w:rsidP="00810DE4">
      <w:pPr>
        <w:spacing w:after="0" w:line="480" w:lineRule="auto"/>
        <w:jc w:val="center"/>
        <w:rPr>
          <w:rFonts w:eastAsiaTheme="minorEastAsia"/>
          <w:noProof w:val="0"/>
        </w:rPr>
      </w:pPr>
    </w:p>
    <w:p w:rsidR="00810DE4" w:rsidRPr="00137589" w:rsidRDefault="00137589" w:rsidP="00810DE4">
      <w:pPr>
        <w:spacing w:after="0" w:line="480" w:lineRule="auto"/>
        <w:jc w:val="center"/>
        <w:rPr>
          <w:rFonts w:eastAsiaTheme="minorEastAsia"/>
          <w:noProof w:val="0"/>
        </w:rPr>
      </w:pPr>
      <m:oMath>
        <m:r>
          <w:rPr>
            <w:rFonts w:ascii="Cambria Math" w:eastAsiaTheme="minorEastAsia" w:hAnsi="Cambria Math"/>
            <w:noProof w:val="0"/>
          </w:rPr>
          <m:t>ln</m:t>
        </m:r>
        <m:sSub>
          <m:sSubPr>
            <m:ctrlPr>
              <w:rPr>
                <w:rFonts w:ascii="Cambria Math" w:eastAsiaTheme="minorEastAsia" w:hAnsi="Cambria Math"/>
                <w:i/>
                <w:noProof w:val="0"/>
              </w:rPr>
            </m:ctrlPr>
          </m:sSubPr>
          <m:e>
            <m:r>
              <w:rPr>
                <w:rFonts w:ascii="Cambria Math" w:eastAsiaTheme="minorEastAsia" w:hAnsi="Cambria Math"/>
                <w:noProof w:val="0"/>
              </w:rPr>
              <m:t>IR</m:t>
            </m:r>
          </m:e>
          <m:sub>
            <m:r>
              <w:rPr>
                <w:rFonts w:ascii="Cambria Math" w:eastAsiaTheme="minorEastAsia" w:hAnsi="Cambria Math"/>
                <w:noProof w:val="0"/>
              </w:rPr>
              <m:t>it</m:t>
            </m:r>
          </m:sub>
        </m:sSub>
        <m:r>
          <w:rPr>
            <w:rFonts w:ascii="Cambria Math" w:eastAsiaTheme="minorEastAsia"/>
            <w:noProof w:val="0"/>
          </w:rPr>
          <m:t>=</m:t>
        </m:r>
        <m:r>
          <w:rPr>
            <w:rFonts w:ascii="Cambria Math" w:eastAsiaTheme="minorEastAsia" w:hAnsi="Cambria Math"/>
            <w:noProof w:val="0"/>
          </w:rPr>
          <m:t>α</m:t>
        </m:r>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β</m:t>
            </m:r>
          </m:e>
          <m:sub>
            <m:r>
              <w:rPr>
                <w:rFonts w:ascii="Cambria Math" w:eastAsiaTheme="minorEastAsia"/>
                <w:noProof w:val="0"/>
              </w:rPr>
              <m:t>1</m:t>
            </m:r>
          </m:sub>
        </m:sSub>
        <m:r>
          <w:rPr>
            <w:rFonts w:ascii="Cambria Math" w:eastAsiaTheme="minorEastAsia" w:hAnsi="Cambria Math"/>
            <w:noProof w:val="0"/>
          </w:rPr>
          <m:t>ln</m:t>
        </m:r>
        <m:sSub>
          <m:sSubPr>
            <m:ctrlPr>
              <w:rPr>
                <w:rFonts w:ascii="Cambria Math" w:eastAsiaTheme="minorEastAsia" w:hAnsi="Cambria Math"/>
                <w:i/>
                <w:noProof w:val="0"/>
              </w:rPr>
            </m:ctrlPr>
          </m:sSubPr>
          <m:e>
            <m:r>
              <w:rPr>
                <w:rFonts w:ascii="Cambria Math" w:eastAsiaTheme="minorEastAsia" w:hAnsi="Cambria Math"/>
                <w:noProof w:val="0"/>
              </w:rPr>
              <m:t>w</m:t>
            </m:r>
          </m:e>
          <m:sub>
            <m:sSub>
              <m:sSubPr>
                <m:ctrlPr>
                  <w:rPr>
                    <w:rFonts w:ascii="Cambria Math" w:eastAsiaTheme="minorEastAsia" w:hAnsi="Cambria Math"/>
                    <w:i/>
                    <w:noProof w:val="0"/>
                  </w:rPr>
                </m:ctrlPr>
              </m:sSubPr>
              <m:e>
                <m:r>
                  <w:rPr>
                    <w:rFonts w:ascii="Cambria Math" w:eastAsiaTheme="minorEastAsia" w:hAnsi="Cambria Math"/>
                    <w:noProof w:val="0"/>
                  </w:rPr>
                  <m:t>L</m:t>
                </m:r>
              </m:e>
              <m:sub>
                <m:r>
                  <w:rPr>
                    <w:rFonts w:ascii="Cambria Math" w:eastAsiaTheme="minorEastAsia" w:hAnsi="Cambria Math"/>
                    <w:noProof w:val="0"/>
                  </w:rPr>
                  <m:t>it</m:t>
                </m:r>
              </m:sub>
            </m:sSub>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β</m:t>
            </m:r>
          </m:e>
          <m:sub>
            <m:r>
              <w:rPr>
                <w:rFonts w:ascii="Cambria Math" w:eastAsiaTheme="minorEastAsia"/>
                <w:noProof w:val="0"/>
              </w:rPr>
              <m:t>2</m:t>
            </m:r>
          </m:sub>
        </m:sSub>
        <m:r>
          <w:rPr>
            <w:rFonts w:ascii="Cambria Math" w:eastAsiaTheme="minorEastAsia" w:hAnsi="Cambria Math"/>
            <w:noProof w:val="0"/>
          </w:rPr>
          <m:t>ln</m:t>
        </m:r>
        <m:sSub>
          <m:sSubPr>
            <m:ctrlPr>
              <w:rPr>
                <w:rFonts w:ascii="Cambria Math" w:eastAsiaTheme="minorEastAsia" w:hAnsi="Cambria Math"/>
                <w:i/>
                <w:noProof w:val="0"/>
              </w:rPr>
            </m:ctrlPr>
          </m:sSubPr>
          <m:e>
            <m:r>
              <w:rPr>
                <w:rFonts w:ascii="Cambria Math" w:eastAsiaTheme="minorEastAsia" w:hAnsi="Cambria Math"/>
                <w:noProof w:val="0"/>
              </w:rPr>
              <m:t>w</m:t>
            </m:r>
          </m:e>
          <m:sub>
            <m:sSub>
              <m:sSubPr>
                <m:ctrlPr>
                  <w:rPr>
                    <w:rFonts w:ascii="Cambria Math" w:eastAsiaTheme="minorEastAsia" w:hAnsi="Cambria Math"/>
                    <w:i/>
                    <w:noProof w:val="0"/>
                  </w:rPr>
                </m:ctrlPr>
              </m:sSubPr>
              <m:e>
                <m:r>
                  <w:rPr>
                    <w:rFonts w:ascii="Cambria Math" w:eastAsiaTheme="minorEastAsia" w:hAnsi="Cambria Math"/>
                    <w:noProof w:val="0"/>
                  </w:rPr>
                  <m:t>K</m:t>
                </m:r>
              </m:e>
              <m:sub>
                <m:r>
                  <w:rPr>
                    <w:rFonts w:ascii="Cambria Math" w:eastAsiaTheme="minorEastAsia" w:hAnsi="Cambria Math"/>
                    <w:noProof w:val="0"/>
                  </w:rPr>
                  <m:t>it</m:t>
                </m:r>
              </m:sub>
            </m:sSub>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β</m:t>
            </m:r>
          </m:e>
          <m:sub>
            <m:r>
              <w:rPr>
                <w:rFonts w:ascii="Cambria Math" w:eastAsiaTheme="minorEastAsia"/>
                <w:noProof w:val="0"/>
              </w:rPr>
              <m:t>3</m:t>
            </m:r>
          </m:sub>
        </m:sSub>
        <m:r>
          <w:rPr>
            <w:rFonts w:ascii="Cambria Math" w:eastAsiaTheme="minorEastAsia" w:hAnsi="Cambria Math"/>
            <w:noProof w:val="0"/>
          </w:rPr>
          <m:t>ln</m:t>
        </m:r>
        <m:sSub>
          <m:sSubPr>
            <m:ctrlPr>
              <w:rPr>
                <w:rFonts w:ascii="Cambria Math" w:eastAsiaTheme="minorEastAsia" w:hAnsi="Cambria Math"/>
                <w:i/>
                <w:noProof w:val="0"/>
              </w:rPr>
            </m:ctrlPr>
          </m:sSubPr>
          <m:e>
            <m:r>
              <w:rPr>
                <w:rFonts w:ascii="Cambria Math" w:eastAsiaTheme="minorEastAsia" w:hAnsi="Cambria Math"/>
                <w:noProof w:val="0"/>
              </w:rPr>
              <m:t>w</m:t>
            </m:r>
          </m:e>
          <m:sub>
            <m:sSub>
              <m:sSubPr>
                <m:ctrlPr>
                  <w:rPr>
                    <w:rFonts w:ascii="Cambria Math" w:eastAsiaTheme="minorEastAsia" w:hAnsi="Cambria Math"/>
                    <w:i/>
                    <w:noProof w:val="0"/>
                  </w:rPr>
                </m:ctrlPr>
              </m:sSubPr>
              <m:e>
                <m:r>
                  <w:rPr>
                    <w:rFonts w:ascii="Cambria Math" w:eastAsiaTheme="minorEastAsia" w:hAnsi="Cambria Math"/>
                    <w:noProof w:val="0"/>
                  </w:rPr>
                  <m:t>F</m:t>
                </m:r>
              </m:e>
              <m:sub>
                <m:r>
                  <w:rPr>
                    <w:rFonts w:ascii="Cambria Math" w:eastAsiaTheme="minorEastAsia" w:hAnsi="Cambria Math"/>
                    <w:noProof w:val="0"/>
                  </w:rPr>
                  <m:t>it</m:t>
                </m:r>
              </m:sub>
            </m:sSub>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γ</m:t>
            </m:r>
          </m:e>
          <m:sub>
            <m:r>
              <w:rPr>
                <w:rFonts w:ascii="Cambria Math" w:eastAsiaTheme="minorEastAsia"/>
                <w:noProof w:val="0"/>
              </w:rPr>
              <m:t>1</m:t>
            </m:r>
          </m:sub>
        </m:sSub>
        <m:r>
          <w:rPr>
            <w:rFonts w:ascii="Cambria Math" w:eastAsiaTheme="minorEastAsia" w:hAnsi="Cambria Math"/>
            <w:noProof w:val="0"/>
          </w:rPr>
          <m:t>ln</m:t>
        </m:r>
        <m:sSub>
          <m:sSubPr>
            <m:ctrlPr>
              <w:rPr>
                <w:rFonts w:ascii="Cambria Math" w:eastAsiaTheme="minorEastAsia" w:hAnsi="Cambria Math"/>
                <w:i/>
                <w:noProof w:val="0"/>
              </w:rPr>
            </m:ctrlPr>
          </m:sSubPr>
          <m:e>
            <m:r>
              <w:rPr>
                <w:rFonts w:ascii="Cambria Math" w:eastAsiaTheme="minorEastAsia" w:hAnsi="Cambria Math"/>
                <w:noProof w:val="0"/>
              </w:rPr>
              <m:t>DTD</m:t>
            </m:r>
          </m:e>
          <m:sub>
            <m:r>
              <w:rPr>
                <w:rFonts w:ascii="Cambria Math" w:eastAsiaTheme="minorEastAsia" w:hAnsi="Cambria Math"/>
                <w:noProof w:val="0"/>
              </w:rPr>
              <m:t>it</m:t>
            </m:r>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γ</m:t>
            </m:r>
          </m:e>
          <m:sub>
            <m:r>
              <w:rPr>
                <w:rFonts w:ascii="Cambria Math" w:eastAsiaTheme="minorEastAsia"/>
                <w:noProof w:val="0"/>
              </w:rPr>
              <m:t>2</m:t>
            </m:r>
          </m:sub>
        </m:sSub>
        <m:sSub>
          <m:sSubPr>
            <m:ctrlPr>
              <w:rPr>
                <w:rFonts w:ascii="Cambria Math" w:eastAsiaTheme="minorEastAsia" w:hAnsi="Cambria Math"/>
                <w:i/>
                <w:noProof w:val="0"/>
              </w:rPr>
            </m:ctrlPr>
          </m:sSubPr>
          <m:e>
            <m:r>
              <w:rPr>
                <w:rFonts w:ascii="Cambria Math" w:eastAsiaTheme="minorEastAsia" w:hAnsi="Cambria Math"/>
                <w:noProof w:val="0"/>
              </w:rPr>
              <m:t>lnLA</m:t>
            </m:r>
          </m:e>
          <m:sub>
            <m:r>
              <w:rPr>
                <w:rFonts w:ascii="Cambria Math" w:eastAsiaTheme="minorEastAsia" w:hAnsi="Cambria Math"/>
                <w:noProof w:val="0"/>
              </w:rPr>
              <m:t>it</m:t>
            </m:r>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γ</m:t>
            </m:r>
          </m:e>
          <m:sub>
            <m:r>
              <w:rPr>
                <w:rFonts w:ascii="Cambria Math" w:eastAsiaTheme="minorEastAsia"/>
                <w:noProof w:val="0"/>
              </w:rPr>
              <m:t>3</m:t>
            </m:r>
          </m:sub>
        </m:sSub>
        <m:sSub>
          <m:sSubPr>
            <m:ctrlPr>
              <w:rPr>
                <w:rFonts w:ascii="Cambria Math" w:eastAsiaTheme="minorEastAsia" w:hAnsi="Cambria Math"/>
                <w:i/>
                <w:noProof w:val="0"/>
              </w:rPr>
            </m:ctrlPr>
          </m:sSubPr>
          <m:e>
            <m:r>
              <w:rPr>
                <w:rFonts w:ascii="Cambria Math" w:eastAsiaTheme="minorEastAsia" w:hAnsi="Cambria Math"/>
                <w:noProof w:val="0"/>
              </w:rPr>
              <m:t>lnIBL</m:t>
            </m:r>
          </m:e>
          <m:sub>
            <m:r>
              <w:rPr>
                <w:rFonts w:ascii="Cambria Math" w:eastAsiaTheme="minorEastAsia" w:hAnsi="Cambria Math"/>
                <w:noProof w:val="0"/>
              </w:rPr>
              <m:t>it</m:t>
            </m:r>
          </m:sub>
        </m:sSub>
        <m:r>
          <w:rPr>
            <w:rFonts w:ascii="Cambria Math" w:eastAsiaTheme="minorEastAsia"/>
            <w:noProof w:val="0"/>
          </w:rPr>
          <m:t xml:space="preserve">+       </m:t>
        </m:r>
        <m:sSub>
          <m:sSubPr>
            <m:ctrlPr>
              <w:rPr>
                <w:rFonts w:ascii="Cambria Math" w:eastAsiaTheme="minorEastAsia" w:hAnsi="Cambria Math"/>
                <w:i/>
                <w:noProof w:val="0"/>
              </w:rPr>
            </m:ctrlPr>
          </m:sSubPr>
          <m:e>
            <m:r>
              <w:rPr>
                <w:rFonts w:ascii="Cambria Math" w:eastAsiaTheme="minorEastAsia" w:hAnsi="Cambria Math"/>
                <w:noProof w:val="0"/>
              </w:rPr>
              <m:t>γ</m:t>
            </m:r>
          </m:e>
          <m:sub>
            <m:r>
              <w:rPr>
                <w:rFonts w:ascii="Cambria Math" w:eastAsiaTheme="minorEastAsia"/>
                <w:noProof w:val="0"/>
              </w:rPr>
              <m:t>4</m:t>
            </m:r>
          </m:sub>
        </m:sSub>
        <m:sSub>
          <m:sSubPr>
            <m:ctrlPr>
              <w:rPr>
                <w:rFonts w:ascii="Cambria Math" w:eastAsiaTheme="minorEastAsia" w:hAnsi="Cambria Math"/>
                <w:i/>
                <w:noProof w:val="0"/>
              </w:rPr>
            </m:ctrlPr>
          </m:sSubPr>
          <m:e>
            <m:r>
              <w:rPr>
                <w:rFonts w:ascii="Cambria Math" w:eastAsiaTheme="minorEastAsia" w:hAnsi="Cambria Math"/>
                <w:noProof w:val="0"/>
              </w:rPr>
              <m:t>lnOBSA</m:t>
            </m:r>
          </m:e>
          <m:sub>
            <m:r>
              <w:rPr>
                <w:rFonts w:ascii="Cambria Math" w:eastAsiaTheme="minorEastAsia" w:hAnsi="Cambria Math"/>
                <w:noProof w:val="0"/>
              </w:rPr>
              <m:t>it</m:t>
            </m:r>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γ</m:t>
            </m:r>
          </m:e>
          <m:sub>
            <m:r>
              <w:rPr>
                <w:rFonts w:ascii="Cambria Math" w:eastAsiaTheme="minorEastAsia"/>
                <w:noProof w:val="0"/>
              </w:rPr>
              <m:t>5</m:t>
            </m:r>
          </m:sub>
        </m:sSub>
        <m:sSub>
          <m:sSubPr>
            <m:ctrlPr>
              <w:rPr>
                <w:rFonts w:ascii="Cambria Math" w:eastAsiaTheme="minorEastAsia" w:hAnsi="Cambria Math"/>
                <w:i/>
                <w:noProof w:val="0"/>
              </w:rPr>
            </m:ctrlPr>
          </m:sSubPr>
          <m:e>
            <m:r>
              <w:rPr>
                <w:rFonts w:ascii="Cambria Math" w:eastAsiaTheme="minorEastAsia" w:hAnsi="Cambria Math"/>
                <w:noProof w:val="0"/>
              </w:rPr>
              <m:t>lnAB</m:t>
            </m:r>
          </m:e>
          <m:sub>
            <m:r>
              <w:rPr>
                <w:rFonts w:ascii="Cambria Math" w:eastAsiaTheme="minorEastAsia" w:hAnsi="Cambria Math"/>
                <w:noProof w:val="0"/>
              </w:rPr>
              <m:t>it</m:t>
            </m:r>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γ</m:t>
            </m:r>
          </m:e>
          <m:sub>
            <m:r>
              <w:rPr>
                <w:rFonts w:ascii="Cambria Math" w:eastAsiaTheme="minorEastAsia"/>
                <w:noProof w:val="0"/>
              </w:rPr>
              <m:t>6</m:t>
            </m:r>
          </m:sub>
        </m:sSub>
        <m:sSub>
          <m:sSubPr>
            <m:ctrlPr>
              <w:rPr>
                <w:rFonts w:ascii="Cambria Math" w:eastAsiaTheme="minorEastAsia" w:hAnsi="Cambria Math"/>
                <w:i/>
                <w:noProof w:val="0"/>
              </w:rPr>
            </m:ctrlPr>
          </m:sSubPr>
          <m:e>
            <m:r>
              <w:rPr>
                <w:rFonts w:ascii="Cambria Math" w:eastAsiaTheme="minorEastAsia" w:hAnsi="Cambria Math"/>
                <w:noProof w:val="0"/>
              </w:rPr>
              <m:t>lnKA</m:t>
            </m:r>
          </m:e>
          <m:sub>
            <m:r>
              <w:rPr>
                <w:rFonts w:ascii="Cambria Math" w:eastAsiaTheme="minorEastAsia" w:hAnsi="Cambria Math"/>
                <w:noProof w:val="0"/>
              </w:rPr>
              <m:t>it</m:t>
            </m:r>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γ</m:t>
            </m:r>
          </m:e>
          <m:sub>
            <m:r>
              <w:rPr>
                <w:rFonts w:ascii="Cambria Math" w:eastAsiaTheme="minorEastAsia"/>
                <w:noProof w:val="0"/>
              </w:rPr>
              <m:t>7</m:t>
            </m:r>
          </m:sub>
        </m:sSub>
        <m:sSub>
          <m:sSubPr>
            <m:ctrlPr>
              <w:rPr>
                <w:rFonts w:ascii="Cambria Math" w:eastAsiaTheme="minorEastAsia" w:hAnsi="Cambria Math"/>
                <w:i/>
                <w:noProof w:val="0"/>
              </w:rPr>
            </m:ctrlPr>
          </m:sSubPr>
          <m:e>
            <m:r>
              <w:rPr>
                <w:rFonts w:ascii="Cambria Math" w:eastAsiaTheme="minorEastAsia" w:hAnsi="Cambria Math"/>
                <w:noProof w:val="0"/>
              </w:rPr>
              <m:t>lnOIIR</m:t>
            </m:r>
          </m:e>
          <m:sub>
            <m:r>
              <w:rPr>
                <w:rFonts w:ascii="Cambria Math" w:eastAsiaTheme="minorEastAsia" w:hAnsi="Cambria Math"/>
                <w:noProof w:val="0"/>
              </w:rPr>
              <m:t>it</m:t>
            </m:r>
          </m:sub>
        </m:sSub>
        <m:r>
          <w:rPr>
            <w:rFonts w:ascii="Cambria Math" w:eastAsiaTheme="minorEastAsia"/>
            <w:noProof w:val="0"/>
          </w:rPr>
          <m:t xml:space="preserve">+ </m:t>
        </m:r>
        <m:sSub>
          <m:sSubPr>
            <m:ctrlPr>
              <w:rPr>
                <w:rFonts w:ascii="Cambria Math" w:eastAsiaTheme="minorEastAsia" w:hAnsi="Cambria Math"/>
                <w:i/>
                <w:noProof w:val="0"/>
              </w:rPr>
            </m:ctrlPr>
          </m:sSubPr>
          <m:e>
            <m:r>
              <w:rPr>
                <w:rFonts w:ascii="Cambria Math" w:eastAsiaTheme="minorEastAsia" w:hAnsi="Cambria Math"/>
                <w:noProof w:val="0"/>
              </w:rPr>
              <m:t>ε</m:t>
            </m:r>
          </m:e>
          <m:sub>
            <m:r>
              <w:rPr>
                <w:rFonts w:ascii="Cambria Math" w:eastAsiaTheme="minorEastAsia" w:hAnsi="Cambria Math"/>
                <w:noProof w:val="0"/>
              </w:rPr>
              <m:t>it</m:t>
            </m:r>
          </m:sub>
        </m:sSub>
      </m:oMath>
      <w:r w:rsidR="00810DE4" w:rsidRPr="00137589">
        <w:rPr>
          <w:rFonts w:eastAsiaTheme="minorEastAsia"/>
          <w:noProof w:val="0"/>
        </w:rPr>
        <w:tab/>
      </w:r>
      <w:r w:rsidR="00810DE4" w:rsidRPr="00137589">
        <w:rPr>
          <w:rFonts w:eastAsiaTheme="minorEastAsia"/>
          <w:noProof w:val="0"/>
        </w:rPr>
        <w:tab/>
      </w:r>
      <w:r w:rsidR="00123687" w:rsidRPr="00137589">
        <w:rPr>
          <w:rFonts w:eastAsiaTheme="minorEastAsia"/>
          <w:noProof w:val="0"/>
        </w:rPr>
        <w:t xml:space="preserve">      </w:t>
      </w:r>
      <w:r w:rsidR="0044786B">
        <w:rPr>
          <w:rFonts w:eastAsiaTheme="minorEastAsia"/>
          <w:noProof w:val="0"/>
        </w:rPr>
        <w:t xml:space="preserve">               </w:t>
      </w:r>
      <w:r w:rsidR="00810DE4" w:rsidRPr="00137589">
        <w:rPr>
          <w:rFonts w:eastAsiaTheme="minorEastAsia"/>
          <w:noProof w:val="0"/>
        </w:rPr>
        <w:t>(3)</w:t>
      </w:r>
    </w:p>
    <w:p w:rsidR="00810DE4" w:rsidRPr="00137589" w:rsidRDefault="00810DE4" w:rsidP="00810DE4">
      <w:pPr>
        <w:spacing w:after="0" w:line="480" w:lineRule="auto"/>
        <w:jc w:val="center"/>
        <w:rPr>
          <w:rFonts w:eastAsiaTheme="minorEastAsia"/>
          <w:noProof w:val="0"/>
        </w:rPr>
      </w:pPr>
    </w:p>
    <w:p w:rsidR="0013457F" w:rsidRPr="00137589" w:rsidRDefault="0013457F" w:rsidP="0013457F">
      <w:pPr>
        <w:spacing w:after="0" w:line="480" w:lineRule="auto"/>
        <w:rPr>
          <w:rFonts w:eastAsiaTheme="minorEastAsia"/>
          <w:noProof w:val="0"/>
        </w:rPr>
      </w:pPr>
    </w:p>
    <w:p w:rsidR="0013457F" w:rsidRPr="00137589" w:rsidRDefault="0013457F" w:rsidP="0013457F">
      <w:pPr>
        <w:spacing w:after="0" w:line="480" w:lineRule="auto"/>
        <w:ind w:firstLine="567"/>
        <w:jc w:val="both"/>
        <w:rPr>
          <w:rFonts w:eastAsiaTheme="minorEastAsia"/>
          <w:noProof w:val="0"/>
        </w:rPr>
      </w:pPr>
      <w:r w:rsidRPr="00137589">
        <w:rPr>
          <w:rFonts w:eastAsiaTheme="minorEastAsia"/>
          <w:noProof w:val="0"/>
        </w:rPr>
        <w:t xml:space="preserve">The dependent variable </w:t>
      </w:r>
      <w:r w:rsidR="00762631" w:rsidRPr="00137589">
        <w:rPr>
          <w:rFonts w:eastAsiaTheme="minorEastAsia"/>
          <w:noProof w:val="0"/>
        </w:rPr>
        <w:t xml:space="preserve">in </w:t>
      </w:r>
      <w:r w:rsidR="00123687" w:rsidRPr="00137589">
        <w:rPr>
          <w:rFonts w:eastAsiaTheme="minorEastAsia"/>
          <w:noProof w:val="0"/>
        </w:rPr>
        <w:t>(2)</w:t>
      </w:r>
      <w:r w:rsidR="00762631" w:rsidRPr="00137589">
        <w:rPr>
          <w:rFonts w:eastAsiaTheme="minorEastAsia"/>
          <w:noProof w:val="0"/>
        </w:rPr>
        <w:t xml:space="preserve"> </w:t>
      </w:r>
      <w:r w:rsidRPr="00137589">
        <w:rPr>
          <w:rFonts w:eastAsiaTheme="minorEastAsia"/>
          <w:noProof w:val="0"/>
        </w:rPr>
        <w:t xml:space="preserve">is the natural logarithm of interest revenue divided by total assets </w:t>
      </w:r>
      <m:oMath>
        <m:r>
          <w:rPr>
            <w:rFonts w:ascii="Cambria Math" w:eastAsiaTheme="minorEastAsia"/>
            <w:noProof w:val="0"/>
          </w:rPr>
          <m:t>(</m:t>
        </m:r>
        <m:r>
          <w:rPr>
            <w:rFonts w:ascii="Cambria Math" w:eastAsiaTheme="minorEastAsia" w:hAnsi="Cambria Math"/>
            <w:noProof w:val="0"/>
          </w:rPr>
          <m:t>IRA</m:t>
        </m:r>
        <m:r>
          <w:rPr>
            <w:rFonts w:ascii="Cambria Math" w:eastAsiaTheme="minorEastAsia"/>
            <w:noProof w:val="0"/>
          </w:rPr>
          <m:t>)</m:t>
        </m:r>
      </m:oMath>
      <w:r w:rsidR="00123687" w:rsidRPr="00137589">
        <w:rPr>
          <w:rFonts w:eastAsiaTheme="minorEastAsia"/>
          <w:noProof w:val="0"/>
        </w:rPr>
        <w:t xml:space="preserve"> and in (3) </w:t>
      </w:r>
      <w:r w:rsidR="00093863" w:rsidRPr="00137589">
        <w:rPr>
          <w:rFonts w:eastAsiaTheme="minorEastAsia"/>
          <w:noProof w:val="0"/>
        </w:rPr>
        <w:t xml:space="preserve">is </w:t>
      </w:r>
      <w:r w:rsidR="00123687" w:rsidRPr="00137589">
        <w:rPr>
          <w:rFonts w:eastAsiaTheme="minorEastAsia"/>
          <w:noProof w:val="0"/>
        </w:rPr>
        <w:t xml:space="preserve">the natural logarithm of interest revenue not divided by total assets </w:t>
      </w:r>
      <m:oMath>
        <m:r>
          <w:rPr>
            <w:rFonts w:ascii="Cambria Math" w:eastAsiaTheme="minorEastAsia" w:hAnsi="Cambria Math"/>
            <w:noProof w:val="0"/>
          </w:rPr>
          <m:t>(IR)</m:t>
        </m:r>
      </m:oMath>
      <w:r w:rsidRPr="00137589">
        <w:rPr>
          <w:rFonts w:eastAsiaTheme="minorEastAsia"/>
          <w:noProof w:val="0"/>
        </w:rPr>
        <w:t xml:space="preserve">. </w:t>
      </w:r>
      <w:r w:rsidR="00762631" w:rsidRPr="00137589">
        <w:rPr>
          <w:rFonts w:eastAsiaTheme="minorEastAsia"/>
          <w:noProof w:val="0"/>
        </w:rPr>
        <w:lastRenderedPageBreak/>
        <w:t>A</w:t>
      </w:r>
      <w:r w:rsidRPr="00137589">
        <w:rPr>
          <w:rFonts w:eastAsiaTheme="minorEastAsia"/>
          <w:noProof w:val="0"/>
        </w:rPr>
        <w:t xml:space="preserve">s the banks’ books did not separate </w:t>
      </w:r>
      <w:r w:rsidR="00762631" w:rsidRPr="00137589">
        <w:rPr>
          <w:rFonts w:eastAsiaTheme="minorEastAsia"/>
          <w:noProof w:val="0"/>
        </w:rPr>
        <w:t xml:space="preserve">consistently throughout the period </w:t>
      </w:r>
      <w:r w:rsidRPr="00137589">
        <w:rPr>
          <w:rFonts w:eastAsiaTheme="minorEastAsia"/>
          <w:noProof w:val="0"/>
        </w:rPr>
        <w:t xml:space="preserve">interest from commissions this variable lumps the two items together. </w:t>
      </w:r>
      <m:oMath>
        <m:r>
          <w:rPr>
            <w:rFonts w:ascii="Cambria Math" w:eastAsiaTheme="minorEastAsia" w:hAnsi="Cambria Math"/>
            <w:noProof w:val="0"/>
          </w:rPr>
          <m:t>IRA</m:t>
        </m:r>
      </m:oMath>
      <w:r w:rsidRPr="00137589">
        <w:rPr>
          <w:rFonts w:eastAsiaTheme="minorEastAsia"/>
          <w:noProof w:val="0"/>
        </w:rPr>
        <w:t xml:space="preserve"> </w:t>
      </w:r>
      <w:r w:rsidR="0044786B">
        <w:rPr>
          <w:rFonts w:eastAsiaTheme="minorEastAsia"/>
          <w:noProof w:val="0"/>
        </w:rPr>
        <w:t xml:space="preserve">and </w:t>
      </w:r>
      <m:oMath>
        <m:r>
          <w:rPr>
            <w:rFonts w:ascii="Cambria Math" w:eastAsiaTheme="minorEastAsia" w:hAnsi="Cambria Math"/>
            <w:noProof w:val="0"/>
          </w:rPr>
          <m:t>IR</m:t>
        </m:r>
      </m:oMath>
      <w:r w:rsidR="0044786B">
        <w:rPr>
          <w:rFonts w:eastAsiaTheme="minorEastAsia"/>
          <w:noProof w:val="0"/>
        </w:rPr>
        <w:t xml:space="preserve"> </w:t>
      </w:r>
      <w:r w:rsidR="00762631" w:rsidRPr="00137589">
        <w:rPr>
          <w:rFonts w:eastAsiaTheme="minorEastAsia"/>
          <w:noProof w:val="0"/>
        </w:rPr>
        <w:t xml:space="preserve">should, thus, be understood as </w:t>
      </w:r>
      <w:r w:rsidR="0044786B">
        <w:rPr>
          <w:rFonts w:eastAsiaTheme="minorEastAsia"/>
          <w:noProof w:val="0"/>
        </w:rPr>
        <w:t>proxies</w:t>
      </w:r>
      <w:r w:rsidR="00762631" w:rsidRPr="00137589">
        <w:rPr>
          <w:rFonts w:eastAsiaTheme="minorEastAsia"/>
          <w:noProof w:val="0"/>
        </w:rPr>
        <w:t xml:space="preserve">. In what concerns </w:t>
      </w:r>
      <w:r w:rsidRPr="00137589">
        <w:rPr>
          <w:rFonts w:eastAsiaTheme="minorEastAsia"/>
          <w:noProof w:val="0"/>
        </w:rPr>
        <w:t>independent variables, we have first input prices</w:t>
      </w:r>
      <w:r w:rsidR="00762631" w:rsidRPr="00137589">
        <w:rPr>
          <w:rFonts w:eastAsiaTheme="minorEastAsia"/>
          <w:noProof w:val="0"/>
        </w:rPr>
        <w:t>. Data constraints also force</w:t>
      </w:r>
      <w:r w:rsidR="000511F1" w:rsidRPr="00137589">
        <w:rPr>
          <w:rFonts w:eastAsiaTheme="minorEastAsia"/>
          <w:noProof w:val="0"/>
        </w:rPr>
        <w:t>d</w:t>
      </w:r>
      <w:r w:rsidR="00762631" w:rsidRPr="00137589">
        <w:rPr>
          <w:rFonts w:eastAsiaTheme="minorEastAsia"/>
          <w:noProof w:val="0"/>
        </w:rPr>
        <w:t xml:space="preserve"> us to use</w:t>
      </w:r>
      <w:r w:rsidRPr="00137589">
        <w:rPr>
          <w:rFonts w:eastAsiaTheme="minorEastAsia"/>
          <w:noProof w:val="0"/>
        </w:rPr>
        <w:t xml:space="preserve"> proxies. The </w:t>
      </w:r>
      <w:r w:rsidR="00762631" w:rsidRPr="00137589">
        <w:rPr>
          <w:rFonts w:eastAsiaTheme="minorEastAsia"/>
          <w:noProof w:val="0"/>
        </w:rPr>
        <w:t>true</w:t>
      </w:r>
      <w:r w:rsidRPr="00137589">
        <w:rPr>
          <w:rFonts w:eastAsiaTheme="minorEastAsia"/>
          <w:noProof w:val="0"/>
        </w:rPr>
        <w:t xml:space="preserve"> wage variable </w:t>
      </w:r>
      <m:oMath>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w</m:t>
            </m:r>
          </m:e>
          <m:sub>
            <m:r>
              <w:rPr>
                <w:rFonts w:ascii="Cambria Math" w:eastAsiaTheme="minorEastAsia" w:hAnsi="Cambria Math"/>
                <w:noProof w:val="0"/>
              </w:rPr>
              <m:t>L</m:t>
            </m:r>
          </m:sub>
        </m:sSub>
        <m:r>
          <w:rPr>
            <w:rFonts w:ascii="Cambria Math" w:eastAsiaTheme="minorEastAsia"/>
            <w:noProof w:val="0"/>
          </w:rPr>
          <m:t xml:space="preserve">) </m:t>
        </m:r>
      </m:oMath>
      <w:r w:rsidRPr="00137589">
        <w:rPr>
          <w:rFonts w:eastAsiaTheme="minorEastAsia"/>
          <w:noProof w:val="0"/>
        </w:rPr>
        <w:t xml:space="preserve"> would have been average wage, i.e. total wage expenditure divided by the total number of workers, but information on the number of workers is not </w:t>
      </w:r>
      <w:r w:rsidR="00762631" w:rsidRPr="00137589">
        <w:rPr>
          <w:rFonts w:eastAsiaTheme="minorEastAsia"/>
          <w:noProof w:val="0"/>
        </w:rPr>
        <w:t xml:space="preserve">always </w:t>
      </w:r>
      <w:r w:rsidRPr="00137589">
        <w:rPr>
          <w:rFonts w:eastAsiaTheme="minorEastAsia"/>
          <w:noProof w:val="0"/>
        </w:rPr>
        <w:t xml:space="preserve">available in the banks’ accounts. </w:t>
      </w:r>
      <w:r w:rsidR="00762631" w:rsidRPr="00137589">
        <w:rPr>
          <w:rFonts w:eastAsiaTheme="minorEastAsia"/>
          <w:noProof w:val="0"/>
        </w:rPr>
        <w:t>The proxy used was</w:t>
      </w:r>
      <w:r w:rsidRPr="00137589">
        <w:rPr>
          <w:rFonts w:eastAsiaTheme="minorEastAsia"/>
          <w:noProof w:val="0"/>
        </w:rPr>
        <w:t xml:space="preserve"> the ratio of total wage expenditure to total assets. Similar limitations exist concerning the price of capital </w:t>
      </w:r>
      <m:oMath>
        <m:d>
          <m:dPr>
            <m:ctrlPr>
              <w:rPr>
                <w:rFonts w:ascii="Cambria Math" w:eastAsiaTheme="minorEastAsia" w:hAnsi="Cambria Math"/>
                <w:i/>
                <w:noProof w:val="0"/>
              </w:rPr>
            </m:ctrlPr>
          </m:dPr>
          <m:e>
            <m:sSub>
              <m:sSubPr>
                <m:ctrlPr>
                  <w:rPr>
                    <w:rFonts w:ascii="Cambria Math" w:eastAsiaTheme="minorEastAsia" w:hAnsi="Cambria Math"/>
                    <w:i/>
                    <w:noProof w:val="0"/>
                  </w:rPr>
                </m:ctrlPr>
              </m:sSubPr>
              <m:e>
                <m:r>
                  <w:rPr>
                    <w:rFonts w:ascii="Cambria Math" w:eastAsiaTheme="minorEastAsia" w:hAnsi="Cambria Math"/>
                    <w:noProof w:val="0"/>
                  </w:rPr>
                  <m:t>w</m:t>
                </m:r>
              </m:e>
              <m:sub>
                <m:r>
                  <w:rPr>
                    <w:rFonts w:ascii="Cambria Math" w:eastAsiaTheme="minorEastAsia" w:hAnsi="Cambria Math"/>
                    <w:noProof w:val="0"/>
                  </w:rPr>
                  <m:t>K</m:t>
                </m:r>
              </m:sub>
            </m:sSub>
          </m:e>
        </m:d>
      </m:oMath>
      <w:r w:rsidR="00762631" w:rsidRPr="00137589">
        <w:rPr>
          <w:rFonts w:eastAsiaTheme="minorEastAsia"/>
          <w:noProof w:val="0"/>
        </w:rPr>
        <w:t>.</w:t>
      </w:r>
      <w:r w:rsidRPr="00137589">
        <w:rPr>
          <w:rFonts w:eastAsiaTheme="minorEastAsia"/>
          <w:noProof w:val="0"/>
        </w:rPr>
        <w:t xml:space="preserve"> </w:t>
      </w:r>
      <w:r w:rsidR="00762631" w:rsidRPr="00137589">
        <w:rPr>
          <w:rFonts w:eastAsiaTheme="minorEastAsia"/>
          <w:noProof w:val="0"/>
        </w:rPr>
        <w:t>In the absence of</w:t>
      </w:r>
      <w:r w:rsidRPr="00137589">
        <w:rPr>
          <w:rFonts w:eastAsiaTheme="minorEastAsia"/>
          <w:noProof w:val="0"/>
        </w:rPr>
        <w:t xml:space="preserve"> straight information on the capital expenditure associated with the capital assets used by the banks for production</w:t>
      </w:r>
      <w:r w:rsidR="00762631" w:rsidRPr="00137589">
        <w:rPr>
          <w:rFonts w:eastAsiaTheme="minorEastAsia"/>
          <w:noProof w:val="0"/>
        </w:rPr>
        <w:t>, w</w:t>
      </w:r>
      <w:r w:rsidRPr="00137589">
        <w:rPr>
          <w:rFonts w:eastAsiaTheme="minorEastAsia"/>
          <w:noProof w:val="0"/>
        </w:rPr>
        <w:t>e proxied th</w:t>
      </w:r>
      <w:r w:rsidR="00762631" w:rsidRPr="00137589">
        <w:rPr>
          <w:rFonts w:eastAsiaTheme="minorEastAsia"/>
          <w:noProof w:val="0"/>
        </w:rPr>
        <w:t>e</w:t>
      </w:r>
      <w:r w:rsidRPr="00137589">
        <w:rPr>
          <w:rFonts w:eastAsiaTheme="minorEastAsia"/>
          <w:noProof w:val="0"/>
        </w:rPr>
        <w:t xml:space="preserve"> variable with the ratio of the banks’ expenditures excluding interest and wages to fixed assets. The proxy for the average funding cost </w:t>
      </w:r>
      <m:oMath>
        <m:d>
          <m:dPr>
            <m:ctrlPr>
              <w:rPr>
                <w:rFonts w:ascii="Cambria Math" w:eastAsiaTheme="minorEastAsia" w:hAnsi="Cambria Math"/>
                <w:i/>
                <w:noProof w:val="0"/>
              </w:rPr>
            </m:ctrlPr>
          </m:dPr>
          <m:e>
            <m:sSub>
              <m:sSubPr>
                <m:ctrlPr>
                  <w:rPr>
                    <w:rFonts w:ascii="Cambria Math" w:eastAsiaTheme="minorEastAsia" w:hAnsi="Cambria Math"/>
                    <w:i/>
                    <w:noProof w:val="0"/>
                  </w:rPr>
                </m:ctrlPr>
              </m:sSubPr>
              <m:e>
                <m:r>
                  <w:rPr>
                    <w:rFonts w:ascii="Cambria Math" w:eastAsiaTheme="minorEastAsia" w:hAnsi="Cambria Math"/>
                    <w:noProof w:val="0"/>
                  </w:rPr>
                  <m:t>w</m:t>
                </m:r>
              </m:e>
              <m:sub>
                <m:r>
                  <w:rPr>
                    <w:rFonts w:ascii="Cambria Math" w:eastAsiaTheme="minorEastAsia" w:hAnsi="Cambria Math"/>
                    <w:noProof w:val="0"/>
                  </w:rPr>
                  <m:t>F</m:t>
                </m:r>
              </m:sub>
            </m:sSub>
          </m:e>
        </m:d>
        <m:r>
          <w:rPr>
            <w:rFonts w:ascii="Cambria Math" w:eastAsiaTheme="minorEastAsia"/>
            <w:noProof w:val="0"/>
          </w:rPr>
          <m:t xml:space="preserve"> </m:t>
        </m:r>
      </m:oMath>
      <w:r w:rsidRPr="00137589">
        <w:rPr>
          <w:rFonts w:eastAsiaTheme="minorEastAsia"/>
          <w:noProof w:val="0"/>
        </w:rPr>
        <w:t xml:space="preserve">is the closest to the true variable, as it corresponds to the ratio of interest paid to interest bearing debt. The H-statistic is equal to the sum of the coefficients of the three variables: </w:t>
      </w:r>
      <m:oMath>
        <m:d>
          <m:dPr>
            <m:ctrlPr>
              <w:rPr>
                <w:rFonts w:ascii="Cambria Math" w:eastAsiaTheme="minorEastAsia" w:hAnsi="Cambria Math"/>
                <w:i/>
                <w:noProof w:val="0"/>
              </w:rPr>
            </m:ctrlPr>
          </m:dPr>
          <m:e>
            <m:sSub>
              <m:sSubPr>
                <m:ctrlPr>
                  <w:rPr>
                    <w:rFonts w:ascii="Cambria Math" w:eastAsiaTheme="minorEastAsia" w:hAnsi="Cambria Math"/>
                    <w:i/>
                    <w:noProof w:val="0"/>
                  </w:rPr>
                </m:ctrlPr>
              </m:sSubPr>
              <m:e>
                <m:r>
                  <w:rPr>
                    <w:rFonts w:ascii="Cambria Math" w:eastAsiaTheme="minorEastAsia" w:hAnsi="Cambria Math"/>
                    <w:noProof w:val="0"/>
                  </w:rPr>
                  <m:t>β</m:t>
                </m:r>
              </m:e>
              <m:sub>
                <m:r>
                  <w:rPr>
                    <w:rFonts w:ascii="Cambria Math" w:eastAsiaTheme="minorEastAsia"/>
                    <w:noProof w:val="0"/>
                  </w:rPr>
                  <m:t>1</m:t>
                </m:r>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β</m:t>
                </m:r>
              </m:e>
              <m:sub>
                <m:r>
                  <w:rPr>
                    <w:rFonts w:ascii="Cambria Math" w:eastAsiaTheme="minorEastAsia"/>
                    <w:noProof w:val="0"/>
                  </w:rPr>
                  <m:t>2</m:t>
                </m:r>
              </m:sub>
            </m:sSub>
            <m:r>
              <w:rPr>
                <w:rFonts w:ascii="Cambria Math" w:eastAsiaTheme="minorEastAsia"/>
                <w:noProof w:val="0"/>
              </w:rPr>
              <m:t>+</m:t>
            </m:r>
            <m:sSub>
              <m:sSubPr>
                <m:ctrlPr>
                  <w:rPr>
                    <w:rFonts w:ascii="Cambria Math" w:eastAsiaTheme="minorEastAsia" w:hAnsi="Cambria Math"/>
                    <w:i/>
                    <w:noProof w:val="0"/>
                  </w:rPr>
                </m:ctrlPr>
              </m:sSubPr>
              <m:e>
                <m:r>
                  <w:rPr>
                    <w:rFonts w:ascii="Cambria Math" w:eastAsiaTheme="minorEastAsia" w:hAnsi="Cambria Math"/>
                    <w:noProof w:val="0"/>
                  </w:rPr>
                  <m:t>β</m:t>
                </m:r>
              </m:e>
              <m:sub>
                <m:r>
                  <w:rPr>
                    <w:rFonts w:ascii="Cambria Math" w:eastAsiaTheme="minorEastAsia"/>
                    <w:noProof w:val="0"/>
                  </w:rPr>
                  <m:t>3</m:t>
                </m:r>
              </m:sub>
            </m:sSub>
          </m:e>
        </m:d>
        <m:r>
          <w:rPr>
            <w:rFonts w:ascii="Cambria Math" w:eastAsiaTheme="minorEastAsia"/>
            <w:noProof w:val="0"/>
          </w:rPr>
          <m:t>.</m:t>
        </m:r>
      </m:oMath>
    </w:p>
    <w:p w:rsidR="0013457F" w:rsidRPr="00137589" w:rsidRDefault="0013457F" w:rsidP="0013457F">
      <w:pPr>
        <w:spacing w:after="0" w:line="480" w:lineRule="auto"/>
        <w:ind w:firstLine="567"/>
        <w:jc w:val="both"/>
        <w:rPr>
          <w:rFonts w:eastAsiaTheme="minorEastAsia"/>
          <w:noProof w:val="0"/>
        </w:rPr>
      </w:pPr>
      <w:r w:rsidRPr="00137589">
        <w:rPr>
          <w:rFonts w:eastAsiaTheme="minorEastAsia"/>
          <w:noProof w:val="0"/>
        </w:rPr>
        <w:t xml:space="preserve">Besides input prices, we have a set of exogenous variables to account for differences between banks in terms of cost, risk, and structure. One of these is the funding mix, which is measured by the ratio of demand deposits to total debt </w:t>
      </w:r>
      <m:oMath>
        <m:r>
          <w:rPr>
            <w:rFonts w:ascii="Cambria Math" w:eastAsiaTheme="minorEastAsia"/>
            <w:noProof w:val="0"/>
          </w:rPr>
          <m:t>(</m:t>
        </m:r>
        <m:r>
          <w:rPr>
            <w:rFonts w:ascii="Cambria Math" w:eastAsiaTheme="minorEastAsia" w:hAnsi="Cambria Math"/>
            <w:noProof w:val="0"/>
          </w:rPr>
          <m:t>DTD</m:t>
        </m:r>
        <m:r>
          <w:rPr>
            <w:rFonts w:ascii="Cambria Math" w:eastAsiaTheme="minorEastAsia"/>
            <w:noProof w:val="0"/>
          </w:rPr>
          <m:t>)</m:t>
        </m:r>
      </m:oMath>
      <w:r w:rsidRPr="00137589">
        <w:rPr>
          <w:rFonts w:eastAsiaTheme="minorEastAsia"/>
          <w:noProof w:val="0"/>
        </w:rPr>
        <w:t xml:space="preserve">. Another is the importance of loans in the total composition of assets, which is measured by the ratio of loans to total assets </w:t>
      </w:r>
      <m:oMath>
        <m:r>
          <w:rPr>
            <w:rFonts w:ascii="Cambria Math" w:eastAsiaTheme="minorEastAsia"/>
            <w:noProof w:val="0"/>
          </w:rPr>
          <m:t>(</m:t>
        </m:r>
        <m:r>
          <w:rPr>
            <w:rFonts w:ascii="Cambria Math" w:eastAsiaTheme="minorEastAsia" w:hAnsi="Cambria Math"/>
            <w:noProof w:val="0"/>
          </w:rPr>
          <m:t>LA</m:t>
        </m:r>
        <m:r>
          <w:rPr>
            <w:rFonts w:ascii="Cambria Math" w:eastAsiaTheme="minorEastAsia"/>
            <w:noProof w:val="0"/>
          </w:rPr>
          <m:t>)</m:t>
        </m:r>
      </m:oMath>
      <w:r w:rsidRPr="00137589">
        <w:rPr>
          <w:rFonts w:eastAsiaTheme="minorEastAsia"/>
          <w:noProof w:val="0"/>
        </w:rPr>
        <w:t xml:space="preserve">, and can be understood as a measure of credit risk. Still another is the credit mix, measured by the ratio of interbank deposits to loans </w:t>
      </w:r>
      <m:oMath>
        <m:r>
          <w:rPr>
            <w:rFonts w:ascii="Cambria Math" w:eastAsiaTheme="minorEastAsia"/>
            <w:noProof w:val="0"/>
          </w:rPr>
          <m:t>(</m:t>
        </m:r>
        <m:r>
          <w:rPr>
            <w:rFonts w:ascii="Cambria Math" w:eastAsiaTheme="minorEastAsia" w:hAnsi="Cambria Math"/>
            <w:noProof w:val="0"/>
          </w:rPr>
          <m:t>IBL</m:t>
        </m:r>
        <m:r>
          <w:rPr>
            <w:rFonts w:ascii="Cambria Math" w:eastAsiaTheme="minorEastAsia"/>
            <w:noProof w:val="0"/>
          </w:rPr>
          <m:t>)</m:t>
        </m:r>
      </m:oMath>
      <w:r w:rsidRPr="00137589">
        <w:rPr>
          <w:rFonts w:eastAsiaTheme="minorEastAsia"/>
          <w:noProof w:val="0"/>
        </w:rPr>
        <w:t xml:space="preserve">. One further variable is the ratio of off-balance sheet activity to total assets </w:t>
      </w:r>
      <m:oMath>
        <m:r>
          <w:rPr>
            <w:rFonts w:ascii="Cambria Math" w:eastAsiaTheme="minorEastAsia"/>
            <w:noProof w:val="0"/>
          </w:rPr>
          <m:t>(</m:t>
        </m:r>
        <m:r>
          <w:rPr>
            <w:rFonts w:ascii="Cambria Math" w:eastAsiaTheme="minorEastAsia" w:hAnsi="Cambria Math"/>
            <w:noProof w:val="0"/>
          </w:rPr>
          <m:t>OBSA</m:t>
        </m:r>
        <m:r>
          <w:rPr>
            <w:rFonts w:ascii="Cambria Math" w:eastAsiaTheme="minorEastAsia"/>
            <w:noProof w:val="0"/>
          </w:rPr>
          <m:t>)</m:t>
        </m:r>
      </m:oMath>
      <w:r w:rsidRPr="00137589">
        <w:rPr>
          <w:rFonts w:eastAsiaTheme="minorEastAsia"/>
          <w:noProof w:val="0"/>
        </w:rPr>
        <w:t xml:space="preserve">, in order to capture the importance of the banks’ activities going beyond mere financial intermediation. Branching is measured by the ratio of total assets to total branches </w:t>
      </w:r>
      <m:oMath>
        <m:r>
          <w:rPr>
            <w:rFonts w:ascii="Cambria Math" w:eastAsiaTheme="minorEastAsia"/>
            <w:noProof w:val="0"/>
          </w:rPr>
          <m:t>(</m:t>
        </m:r>
        <m:r>
          <w:rPr>
            <w:rFonts w:ascii="Cambria Math" w:eastAsiaTheme="minorEastAsia" w:hAnsi="Cambria Math"/>
            <w:noProof w:val="0"/>
          </w:rPr>
          <m:t>AB</m:t>
        </m:r>
        <m:r>
          <w:rPr>
            <w:rFonts w:ascii="Cambria Math" w:eastAsiaTheme="minorEastAsia"/>
            <w:noProof w:val="0"/>
          </w:rPr>
          <m:t>)</m:t>
        </m:r>
      </m:oMath>
      <w:r w:rsidRPr="00137589">
        <w:rPr>
          <w:rFonts w:eastAsiaTheme="minorEastAsia"/>
          <w:noProof w:val="0"/>
        </w:rPr>
        <w:t xml:space="preserve">. The capital-assets ratio </w:t>
      </w:r>
      <m:oMath>
        <m:r>
          <w:rPr>
            <w:rFonts w:ascii="Cambria Math" w:eastAsiaTheme="minorEastAsia"/>
            <w:noProof w:val="0"/>
          </w:rPr>
          <m:t>(</m:t>
        </m:r>
        <m:r>
          <w:rPr>
            <w:rFonts w:ascii="Cambria Math" w:eastAsiaTheme="minorEastAsia" w:hAnsi="Cambria Math"/>
            <w:noProof w:val="0"/>
          </w:rPr>
          <m:t>KA</m:t>
        </m:r>
        <m:r>
          <w:rPr>
            <w:rFonts w:ascii="Cambria Math" w:eastAsiaTheme="minorEastAsia"/>
            <w:noProof w:val="0"/>
          </w:rPr>
          <m:t>)</m:t>
        </m:r>
      </m:oMath>
      <w:r w:rsidRPr="00137589">
        <w:rPr>
          <w:rFonts w:eastAsiaTheme="minorEastAsia"/>
          <w:noProof w:val="0"/>
        </w:rPr>
        <w:t xml:space="preserve">, or leverage, is used here as a general measure of the risk assumed by the banks. We also use the the ratio of other revenue to interest revenue </w:t>
      </w:r>
      <m:oMath>
        <m:r>
          <w:rPr>
            <w:rFonts w:ascii="Cambria Math" w:eastAsiaTheme="minorEastAsia"/>
            <w:noProof w:val="0"/>
          </w:rPr>
          <m:t>(</m:t>
        </m:r>
        <m:r>
          <w:rPr>
            <w:rFonts w:ascii="Cambria Math" w:eastAsiaTheme="minorEastAsia" w:hAnsi="Cambria Math"/>
            <w:noProof w:val="0"/>
          </w:rPr>
          <m:t>OIIR</m:t>
        </m:r>
        <m:r>
          <w:rPr>
            <w:rFonts w:ascii="Cambria Math" w:eastAsiaTheme="minorEastAsia"/>
            <w:noProof w:val="0"/>
          </w:rPr>
          <m:t>)</m:t>
        </m:r>
      </m:oMath>
      <w:r w:rsidRPr="00137589">
        <w:rPr>
          <w:rFonts w:eastAsiaTheme="minorEastAsia"/>
          <w:noProof w:val="0"/>
        </w:rPr>
        <w:t xml:space="preserve">. The problem of the separation between interest and commissions repeats here. Our variable corresponds to the difference between income from interest and commissions lumped together and other types of income that are reported in the banks’ books, e.g. return on foreign exchange operations, return on stock, and an item that lumps together various other types of income without distinguishing them. </w:t>
      </w:r>
      <w:r w:rsidRPr="00137589">
        <w:rPr>
          <w:rFonts w:eastAsiaTheme="minorEastAsia"/>
          <w:noProof w:val="0"/>
        </w:rPr>
        <w:lastRenderedPageBreak/>
        <w:t xml:space="preserve">Finally, </w:t>
      </w:r>
      <m:oMath>
        <m:r>
          <w:rPr>
            <w:rFonts w:ascii="Cambria Math" w:eastAsiaTheme="minorEastAsia" w:hAnsi="Cambria Math"/>
            <w:noProof w:val="0"/>
          </w:rPr>
          <m:t>ε</m:t>
        </m:r>
      </m:oMath>
      <w:r w:rsidRPr="00137589">
        <w:rPr>
          <w:rFonts w:eastAsiaTheme="minorEastAsia"/>
          <w:noProof w:val="0"/>
        </w:rPr>
        <w:t xml:space="preserve"> is an error term.</w:t>
      </w:r>
      <w:r w:rsidR="00123687" w:rsidRPr="00137589">
        <w:rPr>
          <w:rFonts w:eastAsiaTheme="minorEastAsia"/>
          <w:noProof w:val="0"/>
        </w:rPr>
        <w:t xml:space="preserve"> We implement these tests for the three periods 1960-1975, 1975-1989, and 1989-2015.</w:t>
      </w:r>
    </w:p>
    <w:p w:rsidR="0013457F" w:rsidRPr="00137589" w:rsidRDefault="006F0774" w:rsidP="0013457F">
      <w:pPr>
        <w:spacing w:after="0" w:line="480" w:lineRule="auto"/>
        <w:ind w:firstLine="567"/>
        <w:jc w:val="both"/>
        <w:rPr>
          <w:rFonts w:eastAsiaTheme="minorEastAsia"/>
          <w:noProof w:val="0"/>
        </w:rPr>
      </w:pPr>
      <w:r w:rsidRPr="00137589">
        <w:rPr>
          <w:rFonts w:eastAsiaTheme="minorEastAsia"/>
          <w:noProof w:val="0"/>
        </w:rPr>
        <w:t>W</w:t>
      </w:r>
      <w:r w:rsidR="0013457F" w:rsidRPr="00137589">
        <w:rPr>
          <w:rFonts w:eastAsiaTheme="minorEastAsia"/>
          <w:noProof w:val="0"/>
        </w:rPr>
        <w:t xml:space="preserve">e </w:t>
      </w:r>
      <w:r w:rsidRPr="00137589">
        <w:rPr>
          <w:rFonts w:eastAsiaTheme="minorEastAsia"/>
          <w:noProof w:val="0"/>
        </w:rPr>
        <w:t xml:space="preserve">also </w:t>
      </w:r>
      <w:r w:rsidR="0013457F" w:rsidRPr="00137589">
        <w:rPr>
          <w:rFonts w:eastAsiaTheme="minorEastAsia"/>
          <w:noProof w:val="0"/>
        </w:rPr>
        <w:t>performed the same tests using total revenue</w:t>
      </w:r>
      <w:r w:rsidR="00123687" w:rsidRPr="00137589">
        <w:rPr>
          <w:rFonts w:eastAsiaTheme="minorEastAsia"/>
          <w:noProof w:val="0"/>
        </w:rPr>
        <w:t>, divided by total assets</w:t>
      </w:r>
      <w:r w:rsidR="0013457F" w:rsidRPr="00137589">
        <w:rPr>
          <w:rFonts w:eastAsiaTheme="minorEastAsia"/>
          <w:noProof w:val="0"/>
        </w:rPr>
        <w:t xml:space="preserve"> </w:t>
      </w:r>
      <m:oMath>
        <m:r>
          <w:rPr>
            <w:rFonts w:ascii="Cambria Math" w:eastAsiaTheme="minorEastAsia"/>
            <w:noProof w:val="0"/>
          </w:rPr>
          <m:t>(</m:t>
        </m:r>
        <m:r>
          <w:rPr>
            <w:rFonts w:ascii="Cambria Math" w:eastAsiaTheme="minorEastAsia" w:hAnsi="Cambria Math"/>
            <w:noProof w:val="0"/>
          </w:rPr>
          <m:t>TRA</m:t>
        </m:r>
        <m:r>
          <w:rPr>
            <w:rFonts w:ascii="Cambria Math" w:eastAsiaTheme="minorEastAsia"/>
            <w:noProof w:val="0"/>
          </w:rPr>
          <m:t>)</m:t>
        </m:r>
      </m:oMath>
      <w:r w:rsidR="0013457F" w:rsidRPr="00137589">
        <w:rPr>
          <w:rFonts w:eastAsiaTheme="minorEastAsia"/>
          <w:noProof w:val="0"/>
        </w:rPr>
        <w:t xml:space="preserve"> </w:t>
      </w:r>
      <w:r w:rsidR="00123687" w:rsidRPr="00137589">
        <w:rPr>
          <w:rFonts w:eastAsiaTheme="minorEastAsia"/>
          <w:noProof w:val="0"/>
        </w:rPr>
        <w:t xml:space="preserve">and not divided by total assets </w:t>
      </w:r>
      <m:oMath>
        <m:r>
          <w:rPr>
            <w:rFonts w:ascii="Cambria Math" w:eastAsiaTheme="minorEastAsia" w:hAnsi="Cambria Math"/>
            <w:noProof w:val="0"/>
          </w:rPr>
          <m:t>(TR)</m:t>
        </m:r>
      </m:oMath>
      <w:r w:rsidR="00123687" w:rsidRPr="00137589">
        <w:rPr>
          <w:rFonts w:eastAsiaTheme="minorEastAsia"/>
          <w:noProof w:val="0"/>
        </w:rPr>
        <w:t xml:space="preserve">, </w:t>
      </w:r>
      <w:r w:rsidR="0013457F" w:rsidRPr="00137589">
        <w:rPr>
          <w:rFonts w:eastAsiaTheme="minorEastAsia"/>
          <w:noProof w:val="0"/>
        </w:rPr>
        <w:t>as the dependent variable. Total revenue includes not only revenue coming from interest, fees, and commissions, but also from other sources, namely those mentioned above (return on foreign exchange operations, return on stock, and some more other varied types of operations). The same caveats as above apply.</w:t>
      </w:r>
    </w:p>
    <w:p w:rsidR="0013457F" w:rsidRPr="00137589" w:rsidRDefault="00123687" w:rsidP="0013457F">
      <w:pPr>
        <w:spacing w:after="0" w:line="480" w:lineRule="auto"/>
        <w:ind w:firstLine="567"/>
        <w:jc w:val="both"/>
        <w:rPr>
          <w:noProof w:val="0"/>
        </w:rPr>
      </w:pPr>
      <w:r w:rsidRPr="00137589">
        <w:rPr>
          <w:rFonts w:eastAsiaTheme="minorEastAsia"/>
          <w:noProof w:val="0"/>
        </w:rPr>
        <w:t xml:space="preserve">The issue of the use of total assets </w:t>
      </w:r>
      <w:r w:rsidR="0039030B">
        <w:rPr>
          <w:rFonts w:eastAsiaTheme="minorEastAsia"/>
          <w:noProof w:val="0"/>
        </w:rPr>
        <w:t>as a denominator in the dependent variable</w:t>
      </w:r>
      <w:r w:rsidRPr="00137589">
        <w:rPr>
          <w:rFonts w:eastAsiaTheme="minorEastAsia"/>
          <w:noProof w:val="0"/>
        </w:rPr>
        <w:t xml:space="preserve"> has been a bone of contention in the literature</w:t>
      </w:r>
      <w:r w:rsidR="00093863" w:rsidRPr="00137589">
        <w:rPr>
          <w:rFonts w:eastAsiaTheme="minorEastAsia"/>
          <w:noProof w:val="0"/>
        </w:rPr>
        <w:t xml:space="preserve"> </w:t>
      </w:r>
      <w:r w:rsidR="00AD31A6" w:rsidRPr="00137589">
        <w:rPr>
          <w:rFonts w:eastAsiaTheme="minorEastAsia"/>
          <w:noProof w:val="0"/>
        </w:rPr>
        <w:t>on</w:t>
      </w:r>
      <w:r w:rsidR="00093863" w:rsidRPr="00137589">
        <w:rPr>
          <w:rFonts w:eastAsiaTheme="minorEastAsia"/>
          <w:noProof w:val="0"/>
        </w:rPr>
        <w:t xml:space="preserve"> Panzar-Rosse tests</w:t>
      </w:r>
      <w:r w:rsidRPr="00137589">
        <w:rPr>
          <w:rFonts w:eastAsiaTheme="minorEastAsia"/>
          <w:noProof w:val="0"/>
        </w:rPr>
        <w:t>.</w:t>
      </w:r>
      <w:r w:rsidR="0013457F" w:rsidRPr="00137589">
        <w:rPr>
          <w:rFonts w:eastAsiaTheme="minorEastAsia"/>
          <w:noProof w:val="0"/>
        </w:rPr>
        <w:t xml:space="preserve"> The idea </w:t>
      </w:r>
      <w:r w:rsidRPr="00137589">
        <w:rPr>
          <w:rFonts w:eastAsiaTheme="minorEastAsia"/>
          <w:noProof w:val="0"/>
        </w:rPr>
        <w:t xml:space="preserve">underlying the practice of dividing the dependent variable (interest or total revenue) by total assets </w:t>
      </w:r>
      <w:r w:rsidR="0013457F" w:rsidRPr="00137589">
        <w:rPr>
          <w:rFonts w:eastAsiaTheme="minorEastAsia"/>
          <w:noProof w:val="0"/>
        </w:rPr>
        <w:t xml:space="preserve">is that the size of banks should be controlled for and that total assets provide a measure of size. But Jacob </w:t>
      </w:r>
      <w:r w:rsidR="0013457F" w:rsidRPr="00137589">
        <w:rPr>
          <w:noProof w:val="0"/>
        </w:rPr>
        <w:t>Bikker, Laura Spierdijk, and Paull Finnie</w:t>
      </w:r>
      <w:r w:rsidR="00EE7680" w:rsidRPr="00137589">
        <w:rPr>
          <w:noProof w:val="0"/>
        </w:rPr>
        <w:t xml:space="preserve"> (Bikker </w:t>
      </w:r>
      <w:r w:rsidR="00EE7680" w:rsidRPr="00137589">
        <w:rPr>
          <w:i/>
          <w:noProof w:val="0"/>
        </w:rPr>
        <w:t>et al.</w:t>
      </w:r>
      <w:r w:rsidR="00EE7680" w:rsidRPr="00137589">
        <w:rPr>
          <w:noProof w:val="0"/>
        </w:rPr>
        <w:t>, 2007)</w:t>
      </w:r>
      <w:r w:rsidR="0013457F" w:rsidRPr="00137589">
        <w:rPr>
          <w:noProof w:val="0"/>
        </w:rPr>
        <w:t xml:space="preserve"> raised doubts concerning this specification, namely that a scaled dependent variable (i.e. a dependent variable divided by total assets) is consistent with a price equation but not with a revenue equation</w:t>
      </w:r>
      <w:r w:rsidR="00093863" w:rsidRPr="00137589">
        <w:rPr>
          <w:noProof w:val="0"/>
        </w:rPr>
        <w:t>.</w:t>
      </w:r>
      <w:r w:rsidR="0013457F" w:rsidRPr="00137589">
        <w:rPr>
          <w:noProof w:val="0"/>
        </w:rPr>
        <w:t xml:space="preserve"> </w:t>
      </w:r>
      <w:r w:rsidRPr="00137589">
        <w:rPr>
          <w:noProof w:val="0"/>
        </w:rPr>
        <w:t>This interpretation, although initially contentious</w:t>
      </w:r>
      <w:r w:rsidR="009A4064" w:rsidRPr="00137589">
        <w:rPr>
          <w:noProof w:val="0"/>
        </w:rPr>
        <w:t xml:space="preserve">, has become standard, as shown in Bikker </w:t>
      </w:r>
      <w:r w:rsidR="009A4064" w:rsidRPr="00137589">
        <w:rPr>
          <w:i/>
          <w:noProof w:val="0"/>
        </w:rPr>
        <w:t>et al</w:t>
      </w:r>
      <w:r w:rsidR="009A4064" w:rsidRPr="00137589">
        <w:rPr>
          <w:noProof w:val="0"/>
        </w:rPr>
        <w:t>. (2012). We adhere to it in this paper.</w:t>
      </w:r>
    </w:p>
    <w:p w:rsidR="009A4064" w:rsidRPr="00137589" w:rsidRDefault="009A4064" w:rsidP="0013457F">
      <w:pPr>
        <w:spacing w:after="0" w:line="480" w:lineRule="auto"/>
        <w:ind w:firstLine="567"/>
        <w:jc w:val="both"/>
        <w:rPr>
          <w:noProof w:val="0"/>
        </w:rPr>
      </w:pPr>
      <w:r w:rsidRPr="00137589">
        <w:rPr>
          <w:noProof w:val="0"/>
        </w:rPr>
        <w:t xml:space="preserve">The validity of Panzar-Rosse tests has recently been questioned, sometimes by the exact same </w:t>
      </w:r>
      <w:r w:rsidR="00093863" w:rsidRPr="00137589">
        <w:rPr>
          <w:noProof w:val="0"/>
        </w:rPr>
        <w:t>authors</w:t>
      </w:r>
      <w:r w:rsidRPr="00137589">
        <w:rPr>
          <w:noProof w:val="0"/>
        </w:rPr>
        <w:t xml:space="preserve"> that have pioneered their use. Bikker </w:t>
      </w:r>
      <w:r w:rsidRPr="00137589">
        <w:rPr>
          <w:i/>
          <w:noProof w:val="0"/>
        </w:rPr>
        <w:t>et al</w:t>
      </w:r>
      <w:r w:rsidRPr="00137589">
        <w:rPr>
          <w:noProof w:val="0"/>
        </w:rPr>
        <w:t>. (2012) have suggested</w:t>
      </w:r>
      <w:r w:rsidR="0037354E" w:rsidRPr="00137589">
        <w:rPr>
          <w:noProof w:val="0"/>
        </w:rPr>
        <w:t xml:space="preserve"> that negative values of the H-statistic, which in principle would reveal the presence of </w:t>
      </w:r>
      <w:r w:rsidR="00AD31A6" w:rsidRPr="00137589">
        <w:rPr>
          <w:noProof w:val="0"/>
        </w:rPr>
        <w:t xml:space="preserve">a </w:t>
      </w:r>
      <w:r w:rsidR="0037354E" w:rsidRPr="00137589">
        <w:rPr>
          <w:noProof w:val="0"/>
        </w:rPr>
        <w:t>monopoly or of a colluding oligopoly, can be consistent</w:t>
      </w:r>
      <w:r w:rsidR="006E7C5F" w:rsidRPr="00137589">
        <w:rPr>
          <w:noProof w:val="0"/>
        </w:rPr>
        <w:t xml:space="preserve"> with short-run competition, although not long-run competition. By contrast, positive values of the H-statistic cannot occur under a monopoly or</w:t>
      </w:r>
      <w:r w:rsidR="00CB6F82" w:rsidRPr="00137589">
        <w:rPr>
          <w:noProof w:val="0"/>
        </w:rPr>
        <w:t xml:space="preserve"> </w:t>
      </w:r>
      <w:r w:rsidR="006E7C5F" w:rsidRPr="00137589">
        <w:rPr>
          <w:noProof w:val="0"/>
        </w:rPr>
        <w:t>a colluding oligopoly. More recently, Shaffer and Spierdijk (2015) have even questioned the latter conclusion, finding five theoretical scenarios where positive values of the H-statistic might appear in the presence of monopoly or a colluding oligopoly – to note is the fact that these scenarios are theoretical, not empirical.</w:t>
      </w:r>
    </w:p>
    <w:p w:rsidR="006E7C5F" w:rsidRPr="00137589" w:rsidRDefault="006E7C5F" w:rsidP="0013457F">
      <w:pPr>
        <w:spacing w:after="0" w:line="480" w:lineRule="auto"/>
        <w:ind w:firstLine="567"/>
        <w:jc w:val="both"/>
        <w:rPr>
          <w:noProof w:val="0"/>
        </w:rPr>
      </w:pPr>
      <w:r w:rsidRPr="00137589">
        <w:rPr>
          <w:noProof w:val="0"/>
        </w:rPr>
        <w:t xml:space="preserve">In the face of such doubts, these authors have proposed an alternative method to Panzar-Rosse tests in order to measure the degree of competition in a market. Their preferred measure is now the Lerner Index (Shaffer and Spierdijk, 2013 and 2015). But the Lerner Index suffers from </w:t>
      </w:r>
      <w:r w:rsidRPr="00137589">
        <w:rPr>
          <w:noProof w:val="0"/>
        </w:rPr>
        <w:lastRenderedPageBreak/>
        <w:t>equally serious problems o</w:t>
      </w:r>
      <w:r w:rsidR="0039030B">
        <w:rPr>
          <w:noProof w:val="0"/>
        </w:rPr>
        <w:t>f implementation (or even worse</w:t>
      </w:r>
      <w:r w:rsidRPr="00137589">
        <w:rPr>
          <w:noProof w:val="0"/>
        </w:rPr>
        <w:t>). The starting point of the Lerner Index is that, in perfect competition, price equals marginal cost. The farther one</w:t>
      </w:r>
      <w:r w:rsidR="0044786B">
        <w:rPr>
          <w:noProof w:val="0"/>
        </w:rPr>
        <w:t xml:space="preserve"> is</w:t>
      </w:r>
      <w:r w:rsidRPr="00137589">
        <w:rPr>
          <w:noProof w:val="0"/>
        </w:rPr>
        <w:t xml:space="preserve"> from the other, the farther the companies in a market would be from a situation of perfect competition.</w:t>
      </w:r>
      <w:r w:rsidRPr="00137589">
        <w:rPr>
          <w:rStyle w:val="EndnoteReference"/>
          <w:noProof w:val="0"/>
        </w:rPr>
        <w:endnoteReference w:id="2"/>
      </w:r>
      <w:r w:rsidR="005C0810" w:rsidRPr="00137589">
        <w:rPr>
          <w:noProof w:val="0"/>
        </w:rPr>
        <w:t xml:space="preserve"> The first problem with the Lerner Index is that, if it measures anything, it measures </w:t>
      </w:r>
      <w:r w:rsidR="00CB6F82" w:rsidRPr="00137589">
        <w:rPr>
          <w:noProof w:val="0"/>
        </w:rPr>
        <w:t xml:space="preserve">only </w:t>
      </w:r>
      <w:r w:rsidR="005C0810" w:rsidRPr="00137589">
        <w:rPr>
          <w:noProof w:val="0"/>
        </w:rPr>
        <w:t>the effects of market power on price, and not on all other non-price forms of competition (Léon, 2014). This means you can have a high divergence between price and marginal cost while competition is present in the market, as long as firms compete on such things as product variation, advertising or (in the case of banks) branching. More seriously still, some authors have shown that price-cost margins might increase while competition is also increasing (Léon, 2014) and that price-cost margins might decrease while market power increases (Léon, 2014, and Boone, 2008). As noted by Roberts (2014), prices can be high in a certain market because companies face a high sunk cost which they need to recoup, even when the market is highly competitive. On the other hand, a company may engage in predatory pricing in order to exclude competitors,</w:t>
      </w:r>
      <w:r w:rsidR="0025694A" w:rsidRPr="00137589">
        <w:rPr>
          <w:noProof w:val="0"/>
        </w:rPr>
        <w:t xml:space="preserve"> </w:t>
      </w:r>
      <w:r w:rsidR="005C0810" w:rsidRPr="00137589">
        <w:rPr>
          <w:noProof w:val="0"/>
        </w:rPr>
        <w:t>even with high marginal costs.</w:t>
      </w:r>
      <w:r w:rsidR="0025694A" w:rsidRPr="00137589">
        <w:rPr>
          <w:noProof w:val="0"/>
        </w:rPr>
        <w:t xml:space="preserve"> Most fundamentally, the Lerner Index is based upon an unobservable variable: marginal cost. Since the variable is not observable, calculation</w:t>
      </w:r>
      <w:r w:rsidR="0044786B">
        <w:rPr>
          <w:noProof w:val="0"/>
        </w:rPr>
        <w:t>s</w:t>
      </w:r>
      <w:r w:rsidR="0025694A" w:rsidRPr="00137589">
        <w:rPr>
          <w:noProof w:val="0"/>
        </w:rPr>
        <w:t xml:space="preserve"> of Lerner indices </w:t>
      </w:r>
      <w:r w:rsidR="0044786B">
        <w:rPr>
          <w:noProof w:val="0"/>
        </w:rPr>
        <w:t>are</w:t>
      </w:r>
      <w:r w:rsidR="0025694A" w:rsidRPr="00137589">
        <w:rPr>
          <w:noProof w:val="0"/>
        </w:rPr>
        <w:t xml:space="preserve"> based on econometric exercises involving a large degree of arbitrariness: results vary widely depending on the assumptions and methods used.</w:t>
      </w:r>
    </w:p>
    <w:p w:rsidR="0025694A" w:rsidRPr="00137589" w:rsidRDefault="0025694A" w:rsidP="0013457F">
      <w:pPr>
        <w:spacing w:after="0" w:line="480" w:lineRule="auto"/>
        <w:ind w:firstLine="567"/>
        <w:jc w:val="both"/>
        <w:rPr>
          <w:noProof w:val="0"/>
        </w:rPr>
      </w:pPr>
      <w:r w:rsidRPr="00137589">
        <w:rPr>
          <w:noProof w:val="0"/>
        </w:rPr>
        <w:t xml:space="preserve">Perhaps the most promising new way of measuring competition is the Boone indicator (Boone, 2008). But it is again a measure with many issues. First, and particularly important for economic historians, </w:t>
      </w:r>
      <w:r w:rsidR="00AD31A6" w:rsidRPr="00137589">
        <w:rPr>
          <w:noProof w:val="0"/>
        </w:rPr>
        <w:t xml:space="preserve">who </w:t>
      </w:r>
      <w:r w:rsidRPr="00137589">
        <w:rPr>
          <w:noProof w:val="0"/>
        </w:rPr>
        <w:t xml:space="preserve">always </w:t>
      </w:r>
      <w:r w:rsidR="00AD31A6" w:rsidRPr="00137589">
        <w:rPr>
          <w:noProof w:val="0"/>
        </w:rPr>
        <w:t xml:space="preserve">have to </w:t>
      </w:r>
      <w:r w:rsidRPr="00137589">
        <w:rPr>
          <w:noProof w:val="0"/>
        </w:rPr>
        <w:t xml:space="preserve">deal with questions of data scarcity, it is </w:t>
      </w:r>
      <w:r w:rsidR="004B6348" w:rsidRPr="00137589">
        <w:rPr>
          <w:noProof w:val="0"/>
        </w:rPr>
        <w:t xml:space="preserve">much </w:t>
      </w:r>
      <w:r w:rsidRPr="00137589">
        <w:rPr>
          <w:noProof w:val="0"/>
        </w:rPr>
        <w:t xml:space="preserve">more data intensive than the Panzar-Rosse and Lerner Index </w:t>
      </w:r>
      <w:r w:rsidR="00AD31A6" w:rsidRPr="00137589">
        <w:rPr>
          <w:noProof w:val="0"/>
        </w:rPr>
        <w:t>tests</w:t>
      </w:r>
      <w:r w:rsidRPr="00137589">
        <w:rPr>
          <w:noProof w:val="0"/>
        </w:rPr>
        <w:t>. Second, as in the case of the two previous tests, it cannot produce a measure that can be interpreted unambiguously, as</w:t>
      </w:r>
      <w:r w:rsidR="00833A89" w:rsidRPr="00137589">
        <w:rPr>
          <w:noProof w:val="0"/>
        </w:rPr>
        <w:t xml:space="preserve"> it is possible to interpret</w:t>
      </w:r>
      <w:r w:rsidRPr="00137589">
        <w:rPr>
          <w:noProof w:val="0"/>
        </w:rPr>
        <w:t xml:space="preserve"> higher or lower values of it</w:t>
      </w:r>
      <w:r w:rsidR="00833A89" w:rsidRPr="00137589">
        <w:rPr>
          <w:noProof w:val="0"/>
        </w:rPr>
        <w:t xml:space="preserve"> in different senses (higher or lower competition) (Léon, 2014).</w:t>
      </w:r>
    </w:p>
    <w:p w:rsidR="0025694A" w:rsidRPr="009E4B63" w:rsidRDefault="0025694A" w:rsidP="0013457F">
      <w:pPr>
        <w:spacing w:after="0" w:line="480" w:lineRule="auto"/>
        <w:ind w:firstLine="567"/>
        <w:jc w:val="both"/>
        <w:rPr>
          <w:rFonts w:eastAsiaTheme="minorEastAsia"/>
          <w:noProof w:val="0"/>
        </w:rPr>
      </w:pPr>
      <w:r w:rsidRPr="00137589">
        <w:rPr>
          <w:noProof w:val="0"/>
        </w:rPr>
        <w:t>This leaves us at a point</w:t>
      </w:r>
      <w:r w:rsidR="00AD31A6" w:rsidRPr="00137589">
        <w:rPr>
          <w:noProof w:val="0"/>
        </w:rPr>
        <w:t xml:space="preserve"> where using one measure over the </w:t>
      </w:r>
      <w:r w:rsidRPr="00137589">
        <w:rPr>
          <w:noProof w:val="0"/>
        </w:rPr>
        <w:t>other does not impinge on preferring a better measure for a worse one. Rather, it impinges on using each of them signalling the necessary caveats. A fruitful line of inquiry in an agenda for future research would be to use different measures and then compare in order to try and extract regularities (or not). This paper uses the Panzar-Rosse H-stat</w:t>
      </w:r>
      <w:r w:rsidR="0044786B">
        <w:rPr>
          <w:noProof w:val="0"/>
        </w:rPr>
        <w:t>istic, with all its limitations</w:t>
      </w:r>
      <w:r w:rsidRPr="00137589">
        <w:rPr>
          <w:noProof w:val="0"/>
        </w:rPr>
        <w:t>.</w:t>
      </w:r>
    </w:p>
    <w:p w:rsidR="007705E9" w:rsidRPr="009E4B63" w:rsidRDefault="007705E9" w:rsidP="00C111D4">
      <w:pPr>
        <w:spacing w:after="0" w:line="480" w:lineRule="auto"/>
        <w:ind w:firstLine="567"/>
        <w:jc w:val="both"/>
        <w:rPr>
          <w:rFonts w:eastAsiaTheme="minorEastAsia"/>
          <w:noProof w:val="0"/>
        </w:rPr>
      </w:pPr>
    </w:p>
    <w:p w:rsidR="007705E9" w:rsidRPr="009E4B63" w:rsidRDefault="007705E9" w:rsidP="00035D78">
      <w:pPr>
        <w:pStyle w:val="ListParagraph"/>
        <w:numPr>
          <w:ilvl w:val="0"/>
          <w:numId w:val="4"/>
        </w:numPr>
        <w:spacing w:after="0" w:line="480" w:lineRule="auto"/>
        <w:jc w:val="both"/>
        <w:rPr>
          <w:rFonts w:eastAsiaTheme="minorEastAsia"/>
          <w:b/>
          <w:noProof w:val="0"/>
        </w:rPr>
      </w:pPr>
      <w:r w:rsidRPr="009E4B63">
        <w:rPr>
          <w:rFonts w:eastAsiaTheme="minorEastAsia"/>
          <w:b/>
          <w:noProof w:val="0"/>
        </w:rPr>
        <w:t>The data</w:t>
      </w:r>
    </w:p>
    <w:p w:rsidR="00685A63" w:rsidRPr="00137589" w:rsidRDefault="007705E9" w:rsidP="00C111D4">
      <w:pPr>
        <w:spacing w:after="0" w:line="480" w:lineRule="auto"/>
        <w:ind w:firstLine="567"/>
        <w:jc w:val="both"/>
        <w:rPr>
          <w:rFonts w:eastAsiaTheme="minorEastAsia"/>
          <w:noProof w:val="0"/>
        </w:rPr>
      </w:pPr>
      <w:r w:rsidRPr="00137589">
        <w:rPr>
          <w:rFonts w:eastAsiaTheme="minorEastAsia"/>
          <w:noProof w:val="0"/>
        </w:rPr>
        <w:t>The data used in the tests mentioned above were obtained in the banks’ balance sheets, presented in the annual reports</w:t>
      </w:r>
      <w:r w:rsidR="009165A0" w:rsidRPr="00137589">
        <w:rPr>
          <w:rFonts w:eastAsiaTheme="minorEastAsia"/>
          <w:noProof w:val="0"/>
        </w:rPr>
        <w:t>, whose references</w:t>
      </w:r>
      <w:r w:rsidRPr="00137589">
        <w:rPr>
          <w:rFonts w:eastAsiaTheme="minorEastAsia"/>
          <w:noProof w:val="0"/>
        </w:rPr>
        <w:t xml:space="preserve"> </w:t>
      </w:r>
      <w:r w:rsidR="00842E85" w:rsidRPr="00137589">
        <w:rPr>
          <w:rFonts w:eastAsiaTheme="minorEastAsia"/>
          <w:noProof w:val="0"/>
        </w:rPr>
        <w:t xml:space="preserve">are </w:t>
      </w:r>
      <w:r w:rsidR="009165A0" w:rsidRPr="00137589">
        <w:rPr>
          <w:rFonts w:eastAsiaTheme="minorEastAsia"/>
          <w:noProof w:val="0"/>
        </w:rPr>
        <w:t xml:space="preserve">given </w:t>
      </w:r>
      <w:r w:rsidRPr="00137589">
        <w:rPr>
          <w:rFonts w:eastAsiaTheme="minorEastAsia"/>
          <w:noProof w:val="0"/>
        </w:rPr>
        <w:t xml:space="preserve">in the bibliography. </w:t>
      </w:r>
      <w:r w:rsidR="00F406AE" w:rsidRPr="00137589">
        <w:rPr>
          <w:rFonts w:eastAsiaTheme="minorEastAsia"/>
          <w:noProof w:val="0"/>
        </w:rPr>
        <w:t>It was not possible to find data for the following 10 banks: ABN Amro, Banc</w:t>
      </w:r>
      <w:r w:rsidR="00BC7B6B" w:rsidRPr="00137589">
        <w:rPr>
          <w:rFonts w:eastAsiaTheme="minorEastAsia"/>
          <w:noProof w:val="0"/>
        </w:rPr>
        <w:t xml:space="preserve">o </w:t>
      </w:r>
      <w:r w:rsidR="00F406AE" w:rsidRPr="00137589">
        <w:rPr>
          <w:rFonts w:eastAsiaTheme="minorEastAsia"/>
          <w:noProof w:val="0"/>
        </w:rPr>
        <w:t>Argentaria</w:t>
      </w:r>
      <w:r w:rsidR="00BC7B6B" w:rsidRPr="00137589">
        <w:rPr>
          <w:rFonts w:eastAsiaTheme="minorEastAsia"/>
          <w:noProof w:val="0"/>
        </w:rPr>
        <w:t xml:space="preserve">, </w:t>
      </w:r>
      <w:r w:rsidR="009165A0" w:rsidRPr="00137589">
        <w:rPr>
          <w:rFonts w:eastAsiaTheme="minorEastAsia"/>
          <w:noProof w:val="0"/>
        </w:rPr>
        <w:t>Caja de Ahorros de Galícia, Caj</w:t>
      </w:r>
      <w:r w:rsidR="00BC7B6B" w:rsidRPr="00137589">
        <w:rPr>
          <w:rFonts w:eastAsiaTheme="minorEastAsia"/>
          <w:noProof w:val="0"/>
        </w:rPr>
        <w:t>a de A</w:t>
      </w:r>
      <w:r w:rsidR="009165A0" w:rsidRPr="00137589">
        <w:rPr>
          <w:rFonts w:eastAsiaTheme="minorEastAsia"/>
          <w:noProof w:val="0"/>
        </w:rPr>
        <w:t>h</w:t>
      </w:r>
      <w:r w:rsidR="00BC7B6B" w:rsidRPr="00137589">
        <w:rPr>
          <w:rFonts w:eastAsiaTheme="minorEastAsia"/>
          <w:noProof w:val="0"/>
        </w:rPr>
        <w:t xml:space="preserve">orros de </w:t>
      </w:r>
      <w:r w:rsidR="009165A0" w:rsidRPr="00137589">
        <w:rPr>
          <w:rFonts w:eastAsiaTheme="minorEastAsia"/>
          <w:noProof w:val="0"/>
        </w:rPr>
        <w:t xml:space="preserve">Pontevedra, </w:t>
      </w:r>
      <w:r w:rsidR="00BC7B6B" w:rsidRPr="00137589">
        <w:rPr>
          <w:rFonts w:eastAsiaTheme="minorEastAsia"/>
          <w:noProof w:val="0"/>
        </w:rPr>
        <w:t>Vigo</w:t>
      </w:r>
      <w:r w:rsidR="009165A0" w:rsidRPr="00137589">
        <w:rPr>
          <w:rFonts w:eastAsiaTheme="minorEastAsia"/>
          <w:noProof w:val="0"/>
        </w:rPr>
        <w:t xml:space="preserve"> y</w:t>
      </w:r>
      <w:r w:rsidR="00BC7B6B" w:rsidRPr="00137589">
        <w:rPr>
          <w:rFonts w:eastAsiaTheme="minorEastAsia"/>
          <w:noProof w:val="0"/>
        </w:rPr>
        <w:t xml:space="preserve"> Ourense,</w:t>
      </w:r>
      <w:r w:rsidR="004B6348" w:rsidRPr="00137589">
        <w:rPr>
          <w:rFonts w:eastAsiaTheme="minorEastAsia"/>
          <w:noProof w:val="0"/>
        </w:rPr>
        <w:t xml:space="preserve"> Chase Manhattan, Citibank, Gene</w:t>
      </w:r>
      <w:r w:rsidR="00BC7B6B" w:rsidRPr="00137589">
        <w:rPr>
          <w:rFonts w:eastAsiaTheme="minorEastAsia"/>
          <w:noProof w:val="0"/>
        </w:rPr>
        <w:t xml:space="preserve">rale </w:t>
      </w:r>
      <w:r w:rsidR="0005424B" w:rsidRPr="00137589">
        <w:rPr>
          <w:rFonts w:eastAsiaTheme="minorEastAsia"/>
          <w:noProof w:val="0"/>
        </w:rPr>
        <w:t>Bank, Loyds Bank, Banco Sabadell, and Banco Universo.</w:t>
      </w:r>
      <w:r w:rsidR="000A4E71" w:rsidRPr="00137589">
        <w:rPr>
          <w:rFonts w:eastAsiaTheme="minorEastAsia"/>
          <w:noProof w:val="0"/>
        </w:rPr>
        <w:t xml:space="preserve"> Most of these banks are foreign and started operating on various dates only after the late 1980s. Some have meanwhile closed, others have existed only for a few years, all of them are of small dimension.</w:t>
      </w:r>
      <w:r w:rsidR="005B7CAF" w:rsidRPr="00137589">
        <w:rPr>
          <w:rFonts w:eastAsiaTheme="minorEastAsia"/>
          <w:noProof w:val="0"/>
        </w:rPr>
        <w:t xml:space="preserve"> The fact that these institutions do not appear in our sample, although relevant, should not be critical to the results, due to their relatively small importance in the market.</w:t>
      </w:r>
      <w:r w:rsidRPr="00137589">
        <w:rPr>
          <w:rFonts w:eastAsiaTheme="minorEastAsia"/>
          <w:noProof w:val="0"/>
        </w:rPr>
        <w:t xml:space="preserve"> </w:t>
      </w:r>
      <w:r w:rsidR="005B7CAF" w:rsidRPr="00137589">
        <w:rPr>
          <w:rFonts w:eastAsiaTheme="minorEastAsia"/>
          <w:noProof w:val="0"/>
        </w:rPr>
        <w:t xml:space="preserve">Additionally, the fact </w:t>
      </w:r>
      <w:r w:rsidR="00AA2ADA" w:rsidRPr="00137589">
        <w:rPr>
          <w:rFonts w:eastAsiaTheme="minorEastAsia"/>
          <w:noProof w:val="0"/>
        </w:rPr>
        <w:t xml:space="preserve">that </w:t>
      </w:r>
      <w:r w:rsidR="005B7CAF" w:rsidRPr="00137589">
        <w:rPr>
          <w:rFonts w:eastAsiaTheme="minorEastAsia"/>
          <w:noProof w:val="0"/>
        </w:rPr>
        <w:t>they were small means all of them were “price-takers”</w:t>
      </w:r>
      <w:r w:rsidR="009165A0" w:rsidRPr="00137589">
        <w:rPr>
          <w:rFonts w:eastAsiaTheme="minorEastAsia"/>
          <w:noProof w:val="0"/>
        </w:rPr>
        <w:t>, mostly being affected by the market rather than affec</w:t>
      </w:r>
      <w:r w:rsidR="00685A63" w:rsidRPr="00137589">
        <w:rPr>
          <w:rFonts w:eastAsiaTheme="minorEastAsia"/>
          <w:noProof w:val="0"/>
        </w:rPr>
        <w:t>t</w:t>
      </w:r>
      <w:r w:rsidR="001D36B1" w:rsidRPr="00137589">
        <w:rPr>
          <w:rFonts w:eastAsiaTheme="minorEastAsia"/>
          <w:noProof w:val="0"/>
        </w:rPr>
        <w:t>ing</w:t>
      </w:r>
      <w:r w:rsidR="00685A63" w:rsidRPr="00137589">
        <w:rPr>
          <w:rFonts w:eastAsiaTheme="minorEastAsia"/>
          <w:noProof w:val="0"/>
        </w:rPr>
        <w:t xml:space="preserve"> it</w:t>
      </w:r>
      <w:r w:rsidR="005B7CAF" w:rsidRPr="00137589">
        <w:rPr>
          <w:rFonts w:eastAsiaTheme="minorEastAsia"/>
          <w:noProof w:val="0"/>
        </w:rPr>
        <w:t>.</w:t>
      </w:r>
    </w:p>
    <w:p w:rsidR="00C111D4" w:rsidRPr="009E4B63" w:rsidRDefault="007705E9" w:rsidP="00C111D4">
      <w:pPr>
        <w:spacing w:after="0" w:line="480" w:lineRule="auto"/>
        <w:ind w:firstLine="567"/>
        <w:jc w:val="both"/>
        <w:rPr>
          <w:rFonts w:eastAsiaTheme="minorEastAsia"/>
          <w:noProof w:val="0"/>
        </w:rPr>
      </w:pPr>
      <w:r w:rsidRPr="00137589">
        <w:rPr>
          <w:rFonts w:eastAsiaTheme="minorEastAsia"/>
          <w:noProof w:val="0"/>
        </w:rPr>
        <w:t>All</w:t>
      </w:r>
      <w:r w:rsidR="00842E85" w:rsidRPr="00137589">
        <w:rPr>
          <w:rFonts w:eastAsiaTheme="minorEastAsia"/>
          <w:noProof w:val="0"/>
        </w:rPr>
        <w:t xml:space="preserve"> </w:t>
      </w:r>
      <w:r w:rsidRPr="00137589">
        <w:rPr>
          <w:rFonts w:eastAsiaTheme="minorEastAsia"/>
          <w:noProof w:val="0"/>
        </w:rPr>
        <w:t xml:space="preserve">money variables were translated into euros at the 1999 exchange rate (when the euro was created) and deflated using a GDP deflator having 2011 as </w:t>
      </w:r>
      <w:r w:rsidR="00842E85" w:rsidRPr="00137589">
        <w:rPr>
          <w:rFonts w:eastAsiaTheme="minorEastAsia"/>
          <w:noProof w:val="0"/>
        </w:rPr>
        <w:t xml:space="preserve">the </w:t>
      </w:r>
      <w:r w:rsidRPr="00137589">
        <w:rPr>
          <w:rFonts w:eastAsiaTheme="minorEastAsia"/>
          <w:noProof w:val="0"/>
        </w:rPr>
        <w:t>base year</w:t>
      </w:r>
      <w:r w:rsidR="0055025E" w:rsidRPr="00137589">
        <w:rPr>
          <w:rFonts w:eastAsiaTheme="minorEastAsia"/>
          <w:noProof w:val="0"/>
        </w:rPr>
        <w:t xml:space="preserve"> </w:t>
      </w:r>
      <w:r w:rsidR="001D36B1" w:rsidRPr="00137589">
        <w:rPr>
          <w:rFonts w:eastAsiaTheme="minorEastAsia"/>
          <w:noProof w:val="0"/>
        </w:rPr>
        <w:t>(from Pordata.pt, see bibliography)</w:t>
      </w:r>
      <w:r w:rsidRPr="00137589">
        <w:rPr>
          <w:rFonts w:eastAsiaTheme="minorEastAsia"/>
          <w:noProof w:val="0"/>
        </w:rPr>
        <w:t xml:space="preserve">. We could thus obtain an unbalanced panel of yearly data with </w:t>
      </w:r>
      <w:r w:rsidR="005B7CAF" w:rsidRPr="00137589">
        <w:rPr>
          <w:rFonts w:eastAsiaTheme="minorEastAsia"/>
          <w:noProof w:val="0"/>
        </w:rPr>
        <w:t>12,552</w:t>
      </w:r>
      <w:r w:rsidRPr="00137589">
        <w:rPr>
          <w:rFonts w:eastAsiaTheme="minorEastAsia"/>
          <w:noProof w:val="0"/>
        </w:rPr>
        <w:t xml:space="preserve"> observations. An OLS regression was used to estimate the model. </w:t>
      </w:r>
      <w:r w:rsidR="00245B9D" w:rsidRPr="00137589">
        <w:rPr>
          <w:rFonts w:eastAsiaTheme="minorEastAsia"/>
          <w:noProof w:val="0"/>
        </w:rPr>
        <w:t xml:space="preserve">In order to deal with factors that are specific to each bank and are unobserved we used a model with </w:t>
      </w:r>
      <w:r w:rsidR="009A00B8">
        <w:rPr>
          <w:rFonts w:eastAsiaTheme="minorEastAsia"/>
          <w:noProof w:val="0"/>
        </w:rPr>
        <w:t xml:space="preserve">time-invariant </w:t>
      </w:r>
      <w:r w:rsidR="00245B9D" w:rsidRPr="00137589">
        <w:rPr>
          <w:rFonts w:eastAsiaTheme="minorEastAsia"/>
          <w:noProof w:val="0"/>
        </w:rPr>
        <w:t xml:space="preserve">bank-fixed effects. </w:t>
      </w:r>
      <w:r w:rsidRPr="00137589">
        <w:rPr>
          <w:rFonts w:eastAsiaTheme="minorEastAsia"/>
          <w:noProof w:val="0"/>
        </w:rPr>
        <w:t>Descriptive st</w:t>
      </w:r>
      <w:r w:rsidR="00326D81" w:rsidRPr="00137589">
        <w:rPr>
          <w:rFonts w:eastAsiaTheme="minorEastAsia"/>
          <w:noProof w:val="0"/>
        </w:rPr>
        <w:t>ati</w:t>
      </w:r>
      <w:r w:rsidR="00685A63" w:rsidRPr="00137589">
        <w:rPr>
          <w:rFonts w:eastAsiaTheme="minorEastAsia"/>
          <w:noProof w:val="0"/>
        </w:rPr>
        <w:t xml:space="preserve">stics are presented in Table </w:t>
      </w:r>
      <w:r w:rsidR="009A00B8">
        <w:rPr>
          <w:rFonts w:eastAsiaTheme="minorEastAsia"/>
          <w:noProof w:val="0"/>
        </w:rPr>
        <w:t>II</w:t>
      </w:r>
      <w:r w:rsidR="00326D81" w:rsidRPr="00137589">
        <w:rPr>
          <w:rFonts w:eastAsiaTheme="minorEastAsia"/>
          <w:noProof w:val="0"/>
        </w:rPr>
        <w:t>.</w:t>
      </w:r>
    </w:p>
    <w:p w:rsidR="005211A3" w:rsidRPr="009E4B63" w:rsidRDefault="005211A3" w:rsidP="00C111D4">
      <w:pPr>
        <w:spacing w:after="0" w:line="480" w:lineRule="auto"/>
        <w:ind w:firstLine="567"/>
        <w:jc w:val="both"/>
        <w:rPr>
          <w:rFonts w:eastAsiaTheme="minorEastAsia"/>
          <w:noProof w:val="0"/>
        </w:rPr>
      </w:pPr>
    </w:p>
    <w:p w:rsidR="005211A3" w:rsidRPr="009E4B63" w:rsidRDefault="005211A3" w:rsidP="00035D78">
      <w:pPr>
        <w:pStyle w:val="ListParagraph"/>
        <w:numPr>
          <w:ilvl w:val="0"/>
          <w:numId w:val="4"/>
        </w:numPr>
        <w:spacing w:after="0" w:line="480" w:lineRule="auto"/>
        <w:jc w:val="both"/>
        <w:rPr>
          <w:rFonts w:eastAsiaTheme="minorEastAsia"/>
          <w:b/>
          <w:noProof w:val="0"/>
        </w:rPr>
      </w:pPr>
      <w:r w:rsidRPr="009E4B63">
        <w:rPr>
          <w:rFonts w:eastAsiaTheme="minorEastAsia"/>
          <w:b/>
          <w:noProof w:val="0"/>
        </w:rPr>
        <w:t>The results</w:t>
      </w:r>
    </w:p>
    <w:p w:rsidR="000511F1" w:rsidRPr="00137589" w:rsidRDefault="000511F1" w:rsidP="000511F1">
      <w:pPr>
        <w:spacing w:after="0" w:line="480" w:lineRule="auto"/>
        <w:ind w:firstLine="567"/>
        <w:jc w:val="both"/>
        <w:rPr>
          <w:rFonts w:eastAsiaTheme="minorEastAsia"/>
          <w:noProof w:val="0"/>
        </w:rPr>
      </w:pPr>
      <w:r w:rsidRPr="00137589">
        <w:rPr>
          <w:rFonts w:eastAsiaTheme="minorEastAsia"/>
          <w:noProof w:val="0"/>
        </w:rPr>
        <w:t>As noted by Panzar and Rosse (1987), the test is effective only if the market is in long-run equilibrium. Shaf</w:t>
      </w:r>
      <w:r w:rsidR="00CB6F82" w:rsidRPr="00137589">
        <w:rPr>
          <w:rFonts w:eastAsiaTheme="minorEastAsia"/>
          <w:noProof w:val="0"/>
        </w:rPr>
        <w:t>f</w:t>
      </w:r>
      <w:r w:rsidRPr="00137589">
        <w:rPr>
          <w:rFonts w:eastAsiaTheme="minorEastAsia"/>
          <w:noProof w:val="0"/>
        </w:rPr>
        <w:t xml:space="preserve">er (1982) and Molyneux </w:t>
      </w:r>
      <w:r w:rsidRPr="00137589">
        <w:rPr>
          <w:rFonts w:eastAsiaTheme="minorEastAsia"/>
          <w:i/>
          <w:noProof w:val="0"/>
        </w:rPr>
        <w:t>et al.</w:t>
      </w:r>
      <w:r w:rsidRPr="00137589">
        <w:rPr>
          <w:rFonts w:eastAsiaTheme="minorEastAsia"/>
          <w:noProof w:val="0"/>
        </w:rPr>
        <w:t xml:space="preserve"> (1994) have proposed to control for this condition by running the equation above with the return on assets (ROA) of the banks as the dependent variable, testing if the resulting H-statistic is significantly different from zero or not. In the latter case we can assume that the market is in long-run equilibrium, the idea being that in long-run equilibrium rates of return are uncorrela</w:t>
      </w:r>
      <w:r w:rsidR="00685A63" w:rsidRPr="00137589">
        <w:rPr>
          <w:rFonts w:eastAsiaTheme="minorEastAsia"/>
          <w:noProof w:val="0"/>
        </w:rPr>
        <w:t xml:space="preserve">ted with input prices. </w:t>
      </w:r>
      <w:r w:rsidR="009A00B8">
        <w:rPr>
          <w:rFonts w:eastAsiaTheme="minorEastAsia"/>
          <w:noProof w:val="0"/>
        </w:rPr>
        <w:t xml:space="preserve">The first four rows in </w:t>
      </w:r>
      <w:r w:rsidR="00685A63" w:rsidRPr="00137589">
        <w:rPr>
          <w:rFonts w:eastAsiaTheme="minorEastAsia"/>
          <w:noProof w:val="0"/>
        </w:rPr>
        <w:t xml:space="preserve">Table </w:t>
      </w:r>
      <w:r w:rsidR="009A00B8">
        <w:rPr>
          <w:rFonts w:eastAsiaTheme="minorEastAsia"/>
          <w:noProof w:val="0"/>
        </w:rPr>
        <w:t>III</w:t>
      </w:r>
      <w:r w:rsidRPr="00137589">
        <w:rPr>
          <w:rFonts w:eastAsiaTheme="minorEastAsia"/>
          <w:noProof w:val="0"/>
        </w:rPr>
        <w:t xml:space="preserve"> displays the results for the </w:t>
      </w:r>
      <w:r w:rsidRPr="00137589">
        <w:rPr>
          <w:rFonts w:eastAsiaTheme="minorEastAsia"/>
          <w:noProof w:val="0"/>
        </w:rPr>
        <w:lastRenderedPageBreak/>
        <w:t xml:space="preserve">overall period and the three sub-periods. In all of them the H-statistic </w:t>
      </w:r>
      <w:r w:rsidR="00CC1509" w:rsidRPr="00137589">
        <w:rPr>
          <w:rFonts w:eastAsiaTheme="minorEastAsia"/>
          <w:noProof w:val="0"/>
        </w:rPr>
        <w:t>is not significantly different from zero,</w:t>
      </w:r>
      <w:r w:rsidR="008E4A2F" w:rsidRPr="00137589">
        <w:rPr>
          <w:rFonts w:eastAsiaTheme="minorEastAsia"/>
          <w:noProof w:val="0"/>
        </w:rPr>
        <w:t xml:space="preserve"> </w:t>
      </w:r>
      <w:r w:rsidR="00CC1509" w:rsidRPr="00137589">
        <w:rPr>
          <w:rFonts w:eastAsiaTheme="minorEastAsia"/>
          <w:noProof w:val="0"/>
        </w:rPr>
        <w:t>meaning we can assum</w:t>
      </w:r>
      <w:r w:rsidR="008E4A2F" w:rsidRPr="00137589">
        <w:rPr>
          <w:rFonts w:eastAsiaTheme="minorEastAsia"/>
          <w:noProof w:val="0"/>
        </w:rPr>
        <w:t>e long-run equilibrium.</w:t>
      </w:r>
    </w:p>
    <w:p w:rsidR="00936A0C" w:rsidRPr="00137589" w:rsidRDefault="005211A3" w:rsidP="00815C38">
      <w:pPr>
        <w:spacing w:after="0" w:line="480" w:lineRule="auto"/>
        <w:ind w:firstLine="567"/>
        <w:jc w:val="both"/>
        <w:rPr>
          <w:rFonts w:eastAsiaTheme="minorEastAsia"/>
          <w:noProof w:val="0"/>
        </w:rPr>
      </w:pPr>
      <w:r w:rsidRPr="00137589">
        <w:rPr>
          <w:rFonts w:eastAsiaTheme="minorEastAsia"/>
          <w:noProof w:val="0"/>
        </w:rPr>
        <w:t xml:space="preserve">We </w:t>
      </w:r>
      <w:r w:rsidR="00822114" w:rsidRPr="00137589">
        <w:rPr>
          <w:rFonts w:eastAsiaTheme="minorEastAsia"/>
          <w:noProof w:val="0"/>
        </w:rPr>
        <w:t xml:space="preserve">can thus proceed to </w:t>
      </w:r>
      <w:r w:rsidRPr="00137589">
        <w:rPr>
          <w:rFonts w:eastAsiaTheme="minorEastAsia"/>
          <w:noProof w:val="0"/>
        </w:rPr>
        <w:t>investigate the behaviour of the market in the three sub-periods defined above: 1960-1975, 1975-1989 and 1989-2014. Table</w:t>
      </w:r>
      <w:r w:rsidR="00685A63" w:rsidRPr="00137589">
        <w:rPr>
          <w:rFonts w:eastAsiaTheme="minorEastAsia"/>
          <w:noProof w:val="0"/>
        </w:rPr>
        <w:t xml:space="preserve"> </w:t>
      </w:r>
      <w:r w:rsidR="009A00B8">
        <w:rPr>
          <w:rFonts w:eastAsiaTheme="minorEastAsia"/>
          <w:noProof w:val="0"/>
        </w:rPr>
        <w:t>III</w:t>
      </w:r>
      <w:r w:rsidRPr="00137589">
        <w:rPr>
          <w:rFonts w:eastAsiaTheme="minorEastAsia"/>
          <w:noProof w:val="0"/>
        </w:rPr>
        <w:t xml:space="preserve"> presents the various tests. </w:t>
      </w:r>
      <w:r w:rsidR="00822114" w:rsidRPr="00137589">
        <w:rPr>
          <w:rFonts w:eastAsiaTheme="minorEastAsia"/>
          <w:noProof w:val="0"/>
        </w:rPr>
        <w:t xml:space="preserve">We tested for monopoly or for a perfectly colluding oligopoly with a one-sided test in which the null hypothesis was </w:t>
      </w:r>
      <w:r w:rsidR="00822114" w:rsidRPr="00137589">
        <w:rPr>
          <w:rFonts w:eastAsiaTheme="minorEastAsia"/>
          <w:i/>
          <w:noProof w:val="0"/>
        </w:rPr>
        <w:t>H≤0</w:t>
      </w:r>
      <w:r w:rsidR="00822114" w:rsidRPr="00137589">
        <w:rPr>
          <w:rFonts w:eastAsiaTheme="minorEastAsia"/>
          <w:noProof w:val="0"/>
        </w:rPr>
        <w:t xml:space="preserve"> and the alternative hypothesis was </w:t>
      </w:r>
      <w:r w:rsidR="00822114" w:rsidRPr="00137589">
        <w:rPr>
          <w:rFonts w:eastAsiaTheme="minorEastAsia"/>
          <w:i/>
          <w:noProof w:val="0"/>
        </w:rPr>
        <w:t>H&gt;0</w:t>
      </w:r>
      <w:r w:rsidR="00822114" w:rsidRPr="00137589">
        <w:rPr>
          <w:rFonts w:eastAsiaTheme="minorEastAsia"/>
          <w:noProof w:val="0"/>
        </w:rPr>
        <w:t xml:space="preserve">. We also tested for perfect competition, or a null hypothesis of </w:t>
      </w:r>
      <w:r w:rsidR="00822114" w:rsidRPr="00137589">
        <w:rPr>
          <w:rFonts w:eastAsiaTheme="minorEastAsia"/>
          <w:i/>
          <w:noProof w:val="0"/>
        </w:rPr>
        <w:t>H=1</w:t>
      </w:r>
      <w:r w:rsidR="00822114" w:rsidRPr="00137589">
        <w:rPr>
          <w:rFonts w:eastAsiaTheme="minorEastAsia"/>
          <w:noProof w:val="0"/>
        </w:rPr>
        <w:t xml:space="preserve"> versus </w:t>
      </w:r>
      <w:r w:rsidR="00822114" w:rsidRPr="00137589">
        <w:rPr>
          <w:rFonts w:eastAsiaTheme="minorEastAsia"/>
          <w:i/>
          <w:noProof w:val="0"/>
        </w:rPr>
        <w:t>H≠1</w:t>
      </w:r>
      <w:r w:rsidR="00936A0C" w:rsidRPr="00137589">
        <w:rPr>
          <w:rFonts w:eastAsiaTheme="minorEastAsia"/>
          <w:noProof w:val="0"/>
        </w:rPr>
        <w:t>, with a two-sided test.</w:t>
      </w:r>
    </w:p>
    <w:p w:rsidR="001D36B1" w:rsidRPr="00137589" w:rsidRDefault="009E0E91" w:rsidP="00815C38">
      <w:pPr>
        <w:spacing w:after="0" w:line="480" w:lineRule="auto"/>
        <w:ind w:firstLine="567"/>
        <w:jc w:val="both"/>
        <w:rPr>
          <w:rFonts w:eastAsiaTheme="minorEastAsia"/>
          <w:noProof w:val="0"/>
        </w:rPr>
      </w:pPr>
      <w:r w:rsidRPr="00137589">
        <w:rPr>
          <w:rFonts w:eastAsiaTheme="minorEastAsia"/>
          <w:noProof w:val="0"/>
        </w:rPr>
        <w:t xml:space="preserve">The results do not always coincide in the various specifications. </w:t>
      </w:r>
      <w:r w:rsidR="005211A3" w:rsidRPr="00137589">
        <w:rPr>
          <w:rFonts w:eastAsiaTheme="minorEastAsia"/>
          <w:noProof w:val="0"/>
        </w:rPr>
        <w:t>In the case of the specification</w:t>
      </w:r>
      <w:r w:rsidRPr="00137589">
        <w:rPr>
          <w:rFonts w:eastAsiaTheme="minorEastAsia"/>
          <w:noProof w:val="0"/>
        </w:rPr>
        <w:t>s</w:t>
      </w:r>
      <w:r w:rsidR="005211A3" w:rsidRPr="00137589">
        <w:rPr>
          <w:rFonts w:eastAsiaTheme="minorEastAsia"/>
          <w:noProof w:val="0"/>
        </w:rPr>
        <w:t xml:space="preserve"> with interest revenue </w:t>
      </w:r>
      <w:r w:rsidRPr="00137589">
        <w:rPr>
          <w:rFonts w:eastAsiaTheme="minorEastAsia"/>
          <w:noProof w:val="0"/>
        </w:rPr>
        <w:t xml:space="preserve">and total revenue </w:t>
      </w:r>
      <w:r w:rsidR="005211A3" w:rsidRPr="00137589">
        <w:rPr>
          <w:rFonts w:eastAsiaTheme="minorEastAsia"/>
          <w:noProof w:val="0"/>
        </w:rPr>
        <w:t xml:space="preserve">scaled by total assets, </w:t>
      </w:r>
      <w:r w:rsidR="00B3409F" w:rsidRPr="00137589">
        <w:rPr>
          <w:rFonts w:eastAsiaTheme="minorEastAsia"/>
          <w:noProof w:val="0"/>
        </w:rPr>
        <w:t xml:space="preserve">it is possible to reject </w:t>
      </w:r>
      <w:r w:rsidR="00936A0C" w:rsidRPr="00137589">
        <w:rPr>
          <w:rFonts w:eastAsiaTheme="minorEastAsia"/>
          <w:noProof w:val="0"/>
        </w:rPr>
        <w:t>the null hypothese</w:t>
      </w:r>
      <w:r w:rsidR="005211A3" w:rsidRPr="00137589">
        <w:rPr>
          <w:rFonts w:eastAsiaTheme="minorEastAsia"/>
          <w:noProof w:val="0"/>
        </w:rPr>
        <w:t xml:space="preserve">s for monopoly and </w:t>
      </w:r>
      <w:r w:rsidR="00936A0C" w:rsidRPr="00137589">
        <w:rPr>
          <w:rFonts w:eastAsiaTheme="minorEastAsia"/>
          <w:noProof w:val="0"/>
        </w:rPr>
        <w:t xml:space="preserve">for </w:t>
      </w:r>
      <w:r w:rsidR="005211A3" w:rsidRPr="00137589">
        <w:rPr>
          <w:rFonts w:eastAsiaTheme="minorEastAsia"/>
          <w:noProof w:val="0"/>
        </w:rPr>
        <w:t xml:space="preserve">perfect competition </w:t>
      </w:r>
      <w:r w:rsidR="00B3409F" w:rsidRPr="00137589">
        <w:rPr>
          <w:rFonts w:eastAsiaTheme="minorEastAsia"/>
          <w:noProof w:val="0"/>
        </w:rPr>
        <w:t>for the three periods</w:t>
      </w:r>
      <w:r w:rsidR="005F7E0E" w:rsidRPr="00137589">
        <w:rPr>
          <w:rFonts w:eastAsiaTheme="minorEastAsia"/>
          <w:noProof w:val="0"/>
        </w:rPr>
        <w:t xml:space="preserve"> </w:t>
      </w:r>
      <w:r w:rsidR="00685A63" w:rsidRPr="00137589">
        <w:rPr>
          <w:rFonts w:eastAsiaTheme="minorEastAsia"/>
          <w:noProof w:val="0"/>
        </w:rPr>
        <w:t>(</w:t>
      </w:r>
      <w:r w:rsidR="005F7E0E" w:rsidRPr="00137589">
        <w:rPr>
          <w:rFonts w:eastAsiaTheme="minorEastAsia"/>
          <w:noProof w:val="0"/>
        </w:rPr>
        <w:t xml:space="preserve">Table </w:t>
      </w:r>
      <w:r w:rsidR="009A00B8">
        <w:rPr>
          <w:rFonts w:eastAsiaTheme="minorEastAsia"/>
          <w:noProof w:val="0"/>
        </w:rPr>
        <w:t>III</w:t>
      </w:r>
      <w:r w:rsidR="005F7E0E" w:rsidRPr="00137589">
        <w:rPr>
          <w:rFonts w:eastAsiaTheme="minorEastAsia"/>
          <w:noProof w:val="0"/>
        </w:rPr>
        <w:t>, rows 5 to 10)</w:t>
      </w:r>
      <w:r w:rsidR="00B3409F" w:rsidRPr="00137589">
        <w:rPr>
          <w:rFonts w:eastAsiaTheme="minorEastAsia"/>
          <w:noProof w:val="0"/>
        </w:rPr>
        <w:t>. This means that, according to these tests, despite the drastic institutional changes during those years, the Portuguese commercial banking market functioned consistently under monopolistic competition.</w:t>
      </w:r>
      <w:r w:rsidR="00D120A8" w:rsidRPr="00137589">
        <w:rPr>
          <w:rFonts w:eastAsiaTheme="minorEastAsia"/>
          <w:noProof w:val="0"/>
        </w:rPr>
        <w:t xml:space="preserve"> Following the now conventional interpretation of Panzar-Rosse tests with the dependent variable normalised by total assets, which makes it correspond to a price equation, this means that the various institutional shocks did not have an impact on the ability of Portuguese banks to set prices</w:t>
      </w:r>
      <w:r w:rsidR="0039030B">
        <w:rPr>
          <w:rFonts w:eastAsiaTheme="minorEastAsia"/>
          <w:noProof w:val="0"/>
        </w:rPr>
        <w:t>, i.e</w:t>
      </w:r>
      <w:r w:rsidR="00D120A8" w:rsidRPr="00137589">
        <w:rPr>
          <w:rFonts w:eastAsiaTheme="minorEastAsia"/>
          <w:noProof w:val="0"/>
        </w:rPr>
        <w:t>. banks always competed moderately making use of their ability to price their products</w:t>
      </w:r>
      <w:r w:rsidR="0039030B">
        <w:rPr>
          <w:rFonts w:eastAsiaTheme="minorEastAsia"/>
          <w:noProof w:val="0"/>
        </w:rPr>
        <w:t xml:space="preserve"> from 1960 to 2015</w:t>
      </w:r>
      <w:r w:rsidR="00D120A8" w:rsidRPr="00137589">
        <w:rPr>
          <w:rFonts w:eastAsiaTheme="minorEastAsia"/>
          <w:noProof w:val="0"/>
        </w:rPr>
        <w:t>.</w:t>
      </w:r>
    </w:p>
    <w:p w:rsidR="00815C38" w:rsidRPr="00137589" w:rsidRDefault="00D120A8" w:rsidP="00815C38">
      <w:pPr>
        <w:spacing w:after="0" w:line="480" w:lineRule="auto"/>
        <w:ind w:firstLine="567"/>
        <w:jc w:val="both"/>
        <w:rPr>
          <w:rFonts w:eastAsiaTheme="minorEastAsia"/>
          <w:noProof w:val="0"/>
        </w:rPr>
      </w:pPr>
      <w:r w:rsidRPr="00137589">
        <w:rPr>
          <w:rFonts w:eastAsiaTheme="minorEastAsia"/>
          <w:noProof w:val="0"/>
        </w:rPr>
        <w:t>But competition through pricing is just one form of competition. And the actual extent to which Portuguese banks competed can only be assessed by the equations where</w:t>
      </w:r>
      <w:r w:rsidR="00815C38" w:rsidRPr="00137589">
        <w:rPr>
          <w:rFonts w:eastAsiaTheme="minorEastAsia"/>
          <w:noProof w:val="0"/>
        </w:rPr>
        <w:t xml:space="preserve"> the dependent variables are not scaled by total assets</w:t>
      </w:r>
      <w:r w:rsidRPr="00137589">
        <w:rPr>
          <w:rFonts w:eastAsiaTheme="minorEastAsia"/>
          <w:noProof w:val="0"/>
        </w:rPr>
        <w:t>. And in those cases</w:t>
      </w:r>
      <w:r w:rsidR="00815C38" w:rsidRPr="00137589">
        <w:rPr>
          <w:rFonts w:eastAsiaTheme="minorEastAsia"/>
          <w:noProof w:val="0"/>
        </w:rPr>
        <w:t xml:space="preserve"> the results are different. </w:t>
      </w:r>
      <w:r w:rsidR="005F7E0E" w:rsidRPr="00137589">
        <w:rPr>
          <w:rFonts w:eastAsiaTheme="minorEastAsia"/>
          <w:noProof w:val="0"/>
        </w:rPr>
        <w:t>Irrespective</w:t>
      </w:r>
      <w:r w:rsidR="002E5858" w:rsidRPr="00137589">
        <w:rPr>
          <w:rFonts w:eastAsiaTheme="minorEastAsia"/>
          <w:noProof w:val="0"/>
        </w:rPr>
        <w:t xml:space="preserve"> of the dependent variable being</w:t>
      </w:r>
      <w:r w:rsidR="00815C38" w:rsidRPr="00137589">
        <w:rPr>
          <w:rFonts w:eastAsiaTheme="minorEastAsia"/>
          <w:noProof w:val="0"/>
        </w:rPr>
        <w:t xml:space="preserve"> interest revenue</w:t>
      </w:r>
      <w:r w:rsidR="002E5858" w:rsidRPr="00137589">
        <w:rPr>
          <w:rFonts w:eastAsiaTheme="minorEastAsia"/>
          <w:noProof w:val="0"/>
        </w:rPr>
        <w:t xml:space="preserve"> or total revenue</w:t>
      </w:r>
      <w:r w:rsidR="00815C38" w:rsidRPr="00137589">
        <w:rPr>
          <w:rFonts w:eastAsiaTheme="minorEastAsia"/>
          <w:noProof w:val="0"/>
        </w:rPr>
        <w:t xml:space="preserve">, it is not possible to reject </w:t>
      </w:r>
      <w:r w:rsidR="002E5858" w:rsidRPr="00137589">
        <w:rPr>
          <w:rFonts w:eastAsiaTheme="minorEastAsia"/>
          <w:noProof w:val="0"/>
        </w:rPr>
        <w:t xml:space="preserve">the null hypothesis of </w:t>
      </w:r>
      <w:r w:rsidR="00815C38" w:rsidRPr="00137589">
        <w:rPr>
          <w:rFonts w:eastAsiaTheme="minorEastAsia"/>
          <w:noProof w:val="0"/>
        </w:rPr>
        <w:t>perfect competition for the 1960-1975 period</w:t>
      </w:r>
      <w:r w:rsidR="005F7E0E" w:rsidRPr="00137589">
        <w:rPr>
          <w:rFonts w:eastAsiaTheme="minorEastAsia"/>
          <w:noProof w:val="0"/>
        </w:rPr>
        <w:t xml:space="preserve"> (Table </w:t>
      </w:r>
      <w:r w:rsidR="009A00B8">
        <w:rPr>
          <w:rFonts w:eastAsiaTheme="minorEastAsia"/>
          <w:noProof w:val="0"/>
        </w:rPr>
        <w:t>III</w:t>
      </w:r>
      <w:r w:rsidR="005F7E0E" w:rsidRPr="00137589">
        <w:rPr>
          <w:rFonts w:eastAsiaTheme="minorEastAsia"/>
          <w:noProof w:val="0"/>
        </w:rPr>
        <w:t xml:space="preserve">, rows 11 </w:t>
      </w:r>
      <w:r w:rsidR="00685A63" w:rsidRPr="00137589">
        <w:rPr>
          <w:rFonts w:eastAsiaTheme="minorEastAsia"/>
          <w:noProof w:val="0"/>
        </w:rPr>
        <w:t>and</w:t>
      </w:r>
      <w:r w:rsidR="005F7E0E" w:rsidRPr="00137589">
        <w:rPr>
          <w:rFonts w:eastAsiaTheme="minorEastAsia"/>
          <w:noProof w:val="0"/>
        </w:rPr>
        <w:t xml:space="preserve"> 14)</w:t>
      </w:r>
      <w:r w:rsidR="00815C38" w:rsidRPr="00137589">
        <w:rPr>
          <w:rFonts w:eastAsiaTheme="minorEastAsia"/>
          <w:noProof w:val="0"/>
        </w:rPr>
        <w:t xml:space="preserve">. </w:t>
      </w:r>
      <w:r w:rsidR="002E5858" w:rsidRPr="00137589">
        <w:rPr>
          <w:rFonts w:eastAsiaTheme="minorEastAsia"/>
          <w:noProof w:val="0"/>
        </w:rPr>
        <w:t>In the 1975-1989 period it is possible t</w:t>
      </w:r>
      <w:r w:rsidR="00936A0C" w:rsidRPr="00137589">
        <w:rPr>
          <w:rFonts w:eastAsiaTheme="minorEastAsia"/>
          <w:noProof w:val="0"/>
        </w:rPr>
        <w:t xml:space="preserve">o reject </w:t>
      </w:r>
      <w:r w:rsidR="005F7E0E" w:rsidRPr="00137589">
        <w:rPr>
          <w:rFonts w:eastAsiaTheme="minorEastAsia"/>
          <w:noProof w:val="0"/>
        </w:rPr>
        <w:t>clearly</w:t>
      </w:r>
      <w:r w:rsidR="00936A0C" w:rsidRPr="00137589">
        <w:rPr>
          <w:rFonts w:eastAsiaTheme="minorEastAsia"/>
          <w:noProof w:val="0"/>
        </w:rPr>
        <w:t xml:space="preserve"> the null hypothes</w:t>
      </w:r>
      <w:r w:rsidR="005F7E0E" w:rsidRPr="00137589">
        <w:rPr>
          <w:rFonts w:eastAsiaTheme="minorEastAsia"/>
          <w:noProof w:val="0"/>
        </w:rPr>
        <w:t>i</w:t>
      </w:r>
      <w:r w:rsidR="002E5858" w:rsidRPr="00137589">
        <w:rPr>
          <w:rFonts w:eastAsiaTheme="minorEastAsia"/>
          <w:noProof w:val="0"/>
        </w:rPr>
        <w:t xml:space="preserve">s of </w:t>
      </w:r>
      <w:r w:rsidR="005F7E0E" w:rsidRPr="00137589">
        <w:rPr>
          <w:rFonts w:eastAsiaTheme="minorEastAsia"/>
          <w:noProof w:val="0"/>
        </w:rPr>
        <w:t>a</w:t>
      </w:r>
      <w:r w:rsidR="002E5858" w:rsidRPr="00137589">
        <w:rPr>
          <w:rFonts w:eastAsiaTheme="minorEastAsia"/>
          <w:noProof w:val="0"/>
        </w:rPr>
        <w:t xml:space="preserve"> colluding oligopoly</w:t>
      </w:r>
      <w:r w:rsidR="00685A63" w:rsidRPr="00137589">
        <w:rPr>
          <w:rFonts w:eastAsiaTheme="minorEastAsia"/>
          <w:noProof w:val="0"/>
        </w:rPr>
        <w:t xml:space="preserve"> but not that </w:t>
      </w:r>
      <w:r w:rsidR="005F7E0E" w:rsidRPr="00137589">
        <w:rPr>
          <w:rFonts w:eastAsiaTheme="minorEastAsia"/>
          <w:noProof w:val="0"/>
        </w:rPr>
        <w:t>of perfect competition</w:t>
      </w:r>
      <w:r w:rsidR="00685A63" w:rsidRPr="00137589">
        <w:rPr>
          <w:rFonts w:eastAsiaTheme="minorEastAsia"/>
          <w:noProof w:val="0"/>
        </w:rPr>
        <w:t>,</w:t>
      </w:r>
      <w:r w:rsidR="00E670AD" w:rsidRPr="00137589">
        <w:rPr>
          <w:rFonts w:eastAsiaTheme="minorEastAsia"/>
          <w:noProof w:val="0"/>
        </w:rPr>
        <w:t xml:space="preserve"> </w:t>
      </w:r>
      <w:r w:rsidR="00685A63" w:rsidRPr="00137589">
        <w:rPr>
          <w:rFonts w:eastAsiaTheme="minorEastAsia"/>
          <w:noProof w:val="0"/>
        </w:rPr>
        <w:t>even if the significance of the figures is</w:t>
      </w:r>
      <w:r w:rsidR="00E670AD" w:rsidRPr="00137589">
        <w:rPr>
          <w:rFonts w:eastAsiaTheme="minorEastAsia"/>
          <w:noProof w:val="0"/>
        </w:rPr>
        <w:t xml:space="preserve"> marginal (p-values of 0.060 and 0.070) (Table </w:t>
      </w:r>
      <w:r w:rsidR="009A00B8">
        <w:rPr>
          <w:rFonts w:eastAsiaTheme="minorEastAsia"/>
          <w:noProof w:val="0"/>
        </w:rPr>
        <w:t>III</w:t>
      </w:r>
      <w:r w:rsidR="00E670AD" w:rsidRPr="00137589">
        <w:rPr>
          <w:rFonts w:eastAsiaTheme="minorEastAsia"/>
          <w:noProof w:val="0"/>
        </w:rPr>
        <w:t>, rows 12 and 15)</w:t>
      </w:r>
      <w:r w:rsidR="002E5858" w:rsidRPr="00137589">
        <w:rPr>
          <w:rFonts w:eastAsiaTheme="minorEastAsia"/>
          <w:noProof w:val="0"/>
        </w:rPr>
        <w:t xml:space="preserve">. </w:t>
      </w:r>
      <w:r w:rsidR="00936A0C" w:rsidRPr="00137589">
        <w:rPr>
          <w:rFonts w:eastAsiaTheme="minorEastAsia"/>
          <w:noProof w:val="0"/>
        </w:rPr>
        <w:t>As for the 1989 to 2015</w:t>
      </w:r>
      <w:r w:rsidR="00326D81" w:rsidRPr="00137589">
        <w:rPr>
          <w:rFonts w:eastAsiaTheme="minorEastAsia"/>
          <w:noProof w:val="0"/>
        </w:rPr>
        <w:t xml:space="preserve"> period, </w:t>
      </w:r>
      <w:r w:rsidR="00317AEA" w:rsidRPr="00137589">
        <w:rPr>
          <w:rFonts w:eastAsiaTheme="minorEastAsia"/>
          <w:noProof w:val="0"/>
        </w:rPr>
        <w:t xml:space="preserve">it is not possible to reject the null hypothesis of </w:t>
      </w:r>
      <w:r w:rsidR="002E5858" w:rsidRPr="00137589">
        <w:rPr>
          <w:rFonts w:eastAsiaTheme="minorEastAsia"/>
          <w:noProof w:val="0"/>
        </w:rPr>
        <w:t>a colluding oligopoly</w:t>
      </w:r>
      <w:r w:rsidR="00E670AD" w:rsidRPr="00137589">
        <w:rPr>
          <w:rFonts w:eastAsiaTheme="minorEastAsia"/>
          <w:noProof w:val="0"/>
        </w:rPr>
        <w:t xml:space="preserve"> in </w:t>
      </w:r>
      <w:r w:rsidR="005F2E0A">
        <w:rPr>
          <w:rFonts w:eastAsiaTheme="minorEastAsia"/>
          <w:noProof w:val="0"/>
        </w:rPr>
        <w:t>the two</w:t>
      </w:r>
      <w:r w:rsidR="00E670AD" w:rsidRPr="00137589">
        <w:rPr>
          <w:rFonts w:eastAsiaTheme="minorEastAsia"/>
          <w:noProof w:val="0"/>
        </w:rPr>
        <w:t xml:space="preserve"> tests (Table </w:t>
      </w:r>
      <w:r w:rsidR="009A00B8">
        <w:rPr>
          <w:rFonts w:eastAsiaTheme="minorEastAsia"/>
          <w:noProof w:val="0"/>
        </w:rPr>
        <w:t>III</w:t>
      </w:r>
      <w:r w:rsidR="00E670AD" w:rsidRPr="00137589">
        <w:rPr>
          <w:rFonts w:eastAsiaTheme="minorEastAsia"/>
          <w:noProof w:val="0"/>
        </w:rPr>
        <w:t>, rows 13 and 16)</w:t>
      </w:r>
      <w:r w:rsidR="00936A0C" w:rsidRPr="00137589">
        <w:rPr>
          <w:rFonts w:eastAsiaTheme="minorEastAsia"/>
          <w:noProof w:val="0"/>
        </w:rPr>
        <w:t>.</w:t>
      </w:r>
    </w:p>
    <w:p w:rsidR="009A00B8" w:rsidRDefault="00AD31A6" w:rsidP="009A00B8">
      <w:pPr>
        <w:spacing w:after="0" w:line="480" w:lineRule="auto"/>
        <w:ind w:firstLine="567"/>
        <w:jc w:val="both"/>
        <w:rPr>
          <w:rFonts w:eastAsiaTheme="minorEastAsia"/>
          <w:noProof w:val="0"/>
        </w:rPr>
      </w:pPr>
      <w:r w:rsidRPr="00137589">
        <w:rPr>
          <w:rFonts w:eastAsiaTheme="minorEastAsia"/>
          <w:noProof w:val="0"/>
        </w:rPr>
        <w:lastRenderedPageBreak/>
        <w:t>T</w:t>
      </w:r>
      <w:r w:rsidR="00685A63" w:rsidRPr="00137589">
        <w:rPr>
          <w:rFonts w:eastAsiaTheme="minorEastAsia"/>
          <w:noProof w:val="0"/>
        </w:rPr>
        <w:t xml:space="preserve">hese </w:t>
      </w:r>
      <w:r w:rsidR="00822114" w:rsidRPr="00137589">
        <w:rPr>
          <w:rFonts w:eastAsiaTheme="minorEastAsia"/>
          <w:noProof w:val="0"/>
        </w:rPr>
        <w:t xml:space="preserve">results are </w:t>
      </w:r>
      <w:r w:rsidR="00685A63" w:rsidRPr="00137589">
        <w:rPr>
          <w:rFonts w:eastAsiaTheme="minorEastAsia"/>
          <w:noProof w:val="0"/>
        </w:rPr>
        <w:t xml:space="preserve">quite </w:t>
      </w:r>
      <w:r w:rsidR="00822114" w:rsidRPr="00137589">
        <w:rPr>
          <w:rFonts w:eastAsiaTheme="minorEastAsia"/>
          <w:noProof w:val="0"/>
        </w:rPr>
        <w:t>surprising. First,</w:t>
      </w:r>
      <w:r w:rsidR="00936A0C" w:rsidRPr="00137589">
        <w:rPr>
          <w:rFonts w:eastAsiaTheme="minorEastAsia"/>
          <w:noProof w:val="0"/>
        </w:rPr>
        <w:t xml:space="preserve"> we have the case of</w:t>
      </w:r>
      <w:r w:rsidR="00822114" w:rsidRPr="00137589">
        <w:rPr>
          <w:rFonts w:eastAsiaTheme="minorEastAsia"/>
          <w:noProof w:val="0"/>
        </w:rPr>
        <w:t xml:space="preserve"> the possibility of existence of perfect competition in the 1960-1975 period, </w:t>
      </w:r>
      <w:r w:rsidR="00936A0C" w:rsidRPr="00137589">
        <w:rPr>
          <w:rFonts w:eastAsiaTheme="minorEastAsia"/>
          <w:noProof w:val="0"/>
        </w:rPr>
        <w:t xml:space="preserve">according to the non-scaled tests, </w:t>
      </w:r>
      <w:r w:rsidR="00822114" w:rsidRPr="00137589">
        <w:rPr>
          <w:rFonts w:eastAsiaTheme="minorEastAsia"/>
          <w:noProof w:val="0"/>
        </w:rPr>
        <w:t>although this</w:t>
      </w:r>
      <w:r w:rsidR="00676FE2" w:rsidRPr="00137589">
        <w:rPr>
          <w:rFonts w:eastAsiaTheme="minorEastAsia"/>
          <w:noProof w:val="0"/>
        </w:rPr>
        <w:t xml:space="preserve"> </w:t>
      </w:r>
      <w:r w:rsidR="00E670AD" w:rsidRPr="00137589">
        <w:rPr>
          <w:rFonts w:eastAsiaTheme="minorEastAsia"/>
          <w:noProof w:val="0"/>
        </w:rPr>
        <w:t xml:space="preserve">is a point that </w:t>
      </w:r>
      <w:r w:rsidR="00822114" w:rsidRPr="00137589">
        <w:rPr>
          <w:rFonts w:eastAsiaTheme="minorEastAsia"/>
          <w:noProof w:val="0"/>
        </w:rPr>
        <w:t xml:space="preserve">had already been </w:t>
      </w:r>
      <w:r w:rsidR="00E670AD" w:rsidRPr="00137589">
        <w:rPr>
          <w:rFonts w:eastAsiaTheme="minorEastAsia"/>
          <w:noProof w:val="0"/>
        </w:rPr>
        <w:t>raised</w:t>
      </w:r>
      <w:r w:rsidR="00822114" w:rsidRPr="00137589">
        <w:rPr>
          <w:rFonts w:eastAsiaTheme="minorEastAsia"/>
          <w:noProof w:val="0"/>
        </w:rPr>
        <w:t xml:space="preserve"> by Amaral (2015</w:t>
      </w:r>
      <w:r w:rsidR="00160CD9" w:rsidRPr="00137589">
        <w:rPr>
          <w:rFonts w:eastAsiaTheme="minorEastAsia"/>
          <w:noProof w:val="0"/>
        </w:rPr>
        <w:t>a</w:t>
      </w:r>
      <w:r w:rsidR="00822114" w:rsidRPr="00137589">
        <w:rPr>
          <w:rFonts w:eastAsiaTheme="minorEastAsia"/>
          <w:noProof w:val="0"/>
        </w:rPr>
        <w:t xml:space="preserve">). Second, </w:t>
      </w:r>
      <w:r w:rsidR="00936A0C" w:rsidRPr="00137589">
        <w:rPr>
          <w:rFonts w:eastAsiaTheme="minorEastAsia"/>
          <w:noProof w:val="0"/>
        </w:rPr>
        <w:t xml:space="preserve">we have also </w:t>
      </w:r>
      <w:r w:rsidR="00676FE2" w:rsidRPr="00137589">
        <w:rPr>
          <w:rFonts w:eastAsiaTheme="minorEastAsia"/>
          <w:noProof w:val="0"/>
        </w:rPr>
        <w:t>the</w:t>
      </w:r>
      <w:r w:rsidR="00822114" w:rsidRPr="00137589">
        <w:rPr>
          <w:rFonts w:eastAsiaTheme="minorEastAsia"/>
          <w:noProof w:val="0"/>
        </w:rPr>
        <w:t xml:space="preserve"> somewhat surprising </w:t>
      </w:r>
      <w:r w:rsidR="00676FE2" w:rsidRPr="00137589">
        <w:rPr>
          <w:rFonts w:eastAsiaTheme="minorEastAsia"/>
          <w:noProof w:val="0"/>
        </w:rPr>
        <w:t xml:space="preserve">fact </w:t>
      </w:r>
      <w:r w:rsidR="00822114" w:rsidRPr="00137589">
        <w:rPr>
          <w:rFonts w:eastAsiaTheme="minorEastAsia"/>
          <w:noProof w:val="0"/>
        </w:rPr>
        <w:t>that the market did not present the features of a perfectly colluding oligopoly in the 1975-1989 period, when banks were owned by the State. Monopolistic competition in this period is the most consistent result of all the tests</w:t>
      </w:r>
      <w:r w:rsidR="00F16AF9" w:rsidRPr="00137589">
        <w:rPr>
          <w:rFonts w:eastAsiaTheme="minorEastAsia"/>
          <w:noProof w:val="0"/>
        </w:rPr>
        <w:t xml:space="preserve"> (for the scaled and non-scaled specifications)</w:t>
      </w:r>
      <w:r w:rsidR="00676FE2" w:rsidRPr="00137589">
        <w:rPr>
          <w:rFonts w:eastAsiaTheme="minorEastAsia"/>
          <w:noProof w:val="0"/>
        </w:rPr>
        <w:t xml:space="preserve">, </w:t>
      </w:r>
      <w:r w:rsidR="00E670AD" w:rsidRPr="00137589">
        <w:rPr>
          <w:rFonts w:eastAsiaTheme="minorEastAsia"/>
          <w:noProof w:val="0"/>
        </w:rPr>
        <w:t>with some results marginally</w:t>
      </w:r>
      <w:r w:rsidR="00685A63" w:rsidRPr="00137589">
        <w:rPr>
          <w:rFonts w:eastAsiaTheme="minorEastAsia"/>
          <w:noProof w:val="0"/>
        </w:rPr>
        <w:t xml:space="preserve"> in favour of perfect competition</w:t>
      </w:r>
      <w:r w:rsidR="00676FE2" w:rsidRPr="00137589">
        <w:rPr>
          <w:rFonts w:eastAsiaTheme="minorEastAsia"/>
          <w:noProof w:val="0"/>
        </w:rPr>
        <w:t xml:space="preserve">. Finally, </w:t>
      </w:r>
      <w:r w:rsidR="00F16AF9" w:rsidRPr="00137589">
        <w:rPr>
          <w:rFonts w:eastAsiaTheme="minorEastAsia"/>
          <w:noProof w:val="0"/>
        </w:rPr>
        <w:t xml:space="preserve">we have </w:t>
      </w:r>
      <w:r w:rsidR="00676FE2" w:rsidRPr="00137589">
        <w:rPr>
          <w:rFonts w:eastAsiaTheme="minorEastAsia"/>
          <w:noProof w:val="0"/>
        </w:rPr>
        <w:t xml:space="preserve">the </w:t>
      </w:r>
      <w:r w:rsidR="00F16AF9" w:rsidRPr="00137589">
        <w:rPr>
          <w:rFonts w:eastAsiaTheme="minorEastAsia"/>
          <w:noProof w:val="0"/>
        </w:rPr>
        <w:t>equally</w:t>
      </w:r>
      <w:r w:rsidR="00676FE2" w:rsidRPr="00137589">
        <w:rPr>
          <w:rFonts w:eastAsiaTheme="minorEastAsia"/>
          <w:noProof w:val="0"/>
        </w:rPr>
        <w:t xml:space="preserve"> surprising fact that competition did not increase in the 1989-2015 period and might even have approached the nature of a colluding oligopoly</w:t>
      </w:r>
      <w:r w:rsidR="00F16AF9" w:rsidRPr="00137589">
        <w:rPr>
          <w:rFonts w:eastAsiaTheme="minorEastAsia"/>
          <w:noProof w:val="0"/>
        </w:rPr>
        <w:t xml:space="preserve"> (according to </w:t>
      </w:r>
      <w:r w:rsidR="007548C6" w:rsidRPr="00137589">
        <w:rPr>
          <w:rFonts w:eastAsiaTheme="minorEastAsia"/>
          <w:noProof w:val="0"/>
        </w:rPr>
        <w:t>the non-scaled</w:t>
      </w:r>
      <w:r w:rsidR="00F16AF9" w:rsidRPr="00137589">
        <w:rPr>
          <w:rFonts w:eastAsiaTheme="minorEastAsia"/>
          <w:noProof w:val="0"/>
        </w:rPr>
        <w:t xml:space="preserve"> tests)</w:t>
      </w:r>
      <w:r w:rsidR="00676FE2" w:rsidRPr="00137589">
        <w:rPr>
          <w:rFonts w:eastAsiaTheme="minorEastAsia"/>
          <w:noProof w:val="0"/>
        </w:rPr>
        <w:t>, despite privatisation and the adoption of liberalising norms.</w:t>
      </w:r>
      <w:r w:rsidR="009A00B8">
        <w:rPr>
          <w:rFonts w:eastAsiaTheme="minorEastAsia"/>
          <w:noProof w:val="0"/>
        </w:rPr>
        <w:t xml:space="preserve"> </w:t>
      </w:r>
      <w:r w:rsidR="00676FE2" w:rsidRPr="00137589">
        <w:rPr>
          <w:rFonts w:eastAsiaTheme="minorEastAsia"/>
          <w:noProof w:val="0"/>
        </w:rPr>
        <w:t xml:space="preserve">Such results require some discussion, which we provide </w:t>
      </w:r>
      <w:r w:rsidR="009A00B8">
        <w:rPr>
          <w:rFonts w:eastAsiaTheme="minorEastAsia"/>
          <w:noProof w:val="0"/>
        </w:rPr>
        <w:t>next.</w:t>
      </w:r>
    </w:p>
    <w:p w:rsidR="00512553" w:rsidRDefault="00512553" w:rsidP="00C111D4">
      <w:pPr>
        <w:spacing w:after="0" w:line="480" w:lineRule="auto"/>
        <w:ind w:firstLine="567"/>
        <w:jc w:val="both"/>
        <w:rPr>
          <w:rFonts w:eastAsiaTheme="minorEastAsia"/>
          <w:noProof w:val="0"/>
        </w:rPr>
      </w:pPr>
    </w:p>
    <w:p w:rsidR="000778EA" w:rsidRPr="009E4B63" w:rsidRDefault="000778EA" w:rsidP="00C111D4">
      <w:pPr>
        <w:spacing w:after="0" w:line="480" w:lineRule="auto"/>
        <w:ind w:firstLine="567"/>
        <w:jc w:val="both"/>
        <w:rPr>
          <w:rFonts w:eastAsiaTheme="minorEastAsia"/>
          <w:noProof w:val="0"/>
        </w:rPr>
      </w:pPr>
    </w:p>
    <w:p w:rsidR="00035D78" w:rsidRPr="009E4B63" w:rsidRDefault="00035D78" w:rsidP="00035D78">
      <w:pPr>
        <w:pStyle w:val="ListParagraph"/>
        <w:numPr>
          <w:ilvl w:val="0"/>
          <w:numId w:val="4"/>
        </w:numPr>
        <w:spacing w:after="0" w:line="480" w:lineRule="auto"/>
        <w:jc w:val="both"/>
        <w:rPr>
          <w:rFonts w:eastAsiaTheme="minorEastAsia"/>
          <w:b/>
          <w:noProof w:val="0"/>
        </w:rPr>
      </w:pPr>
      <w:r w:rsidRPr="009E4B63">
        <w:rPr>
          <w:rFonts w:eastAsiaTheme="minorEastAsia"/>
          <w:b/>
          <w:noProof w:val="0"/>
        </w:rPr>
        <w:t>Some comments and future research</w:t>
      </w:r>
    </w:p>
    <w:p w:rsidR="00545F97" w:rsidRPr="00137589" w:rsidRDefault="007F3BDE" w:rsidP="00C111D4">
      <w:pPr>
        <w:spacing w:after="0" w:line="480" w:lineRule="auto"/>
        <w:ind w:firstLine="567"/>
        <w:jc w:val="both"/>
        <w:rPr>
          <w:rFonts w:eastAsiaTheme="minorEastAsia"/>
          <w:noProof w:val="0"/>
        </w:rPr>
      </w:pPr>
      <w:r w:rsidRPr="00137589">
        <w:rPr>
          <w:rFonts w:eastAsiaTheme="minorEastAsia"/>
          <w:noProof w:val="0"/>
        </w:rPr>
        <w:t xml:space="preserve">Various conclusions can be extracted </w:t>
      </w:r>
      <w:r w:rsidR="00545F97" w:rsidRPr="00137589">
        <w:rPr>
          <w:rFonts w:eastAsiaTheme="minorEastAsia"/>
          <w:noProof w:val="0"/>
        </w:rPr>
        <w:t>from the results above.</w:t>
      </w:r>
      <w:r w:rsidRPr="00137589">
        <w:rPr>
          <w:rFonts w:eastAsiaTheme="minorEastAsia"/>
          <w:noProof w:val="0"/>
        </w:rPr>
        <w:t xml:space="preserve"> </w:t>
      </w:r>
      <w:r w:rsidR="00545F97" w:rsidRPr="00137589">
        <w:rPr>
          <w:rFonts w:eastAsiaTheme="minorEastAsia"/>
          <w:noProof w:val="0"/>
        </w:rPr>
        <w:t xml:space="preserve">In what concerns the first period (1960-1975) we </w:t>
      </w:r>
      <w:r w:rsidRPr="00137589">
        <w:rPr>
          <w:rFonts w:eastAsiaTheme="minorEastAsia"/>
          <w:noProof w:val="0"/>
        </w:rPr>
        <w:t>can</w:t>
      </w:r>
      <w:r w:rsidR="00545F97" w:rsidRPr="00137589">
        <w:rPr>
          <w:rFonts w:eastAsiaTheme="minorEastAsia"/>
          <w:noProof w:val="0"/>
        </w:rPr>
        <w:t xml:space="preserve"> see that, despite the highly restrictive legislation, the market displayed some form of competition, a reality that had already been captured by Amaral (2013 and 2015</w:t>
      </w:r>
      <w:r w:rsidR="00160CD9" w:rsidRPr="00137589">
        <w:rPr>
          <w:rFonts w:eastAsiaTheme="minorEastAsia"/>
          <w:noProof w:val="0"/>
        </w:rPr>
        <w:t>a</w:t>
      </w:r>
      <w:r w:rsidR="00545F97" w:rsidRPr="00137589">
        <w:rPr>
          <w:rFonts w:eastAsiaTheme="minorEastAsia"/>
          <w:noProof w:val="0"/>
        </w:rPr>
        <w:t xml:space="preserve">). The main question is: </w:t>
      </w:r>
      <w:r w:rsidRPr="00137589">
        <w:rPr>
          <w:rFonts w:eastAsiaTheme="minorEastAsia"/>
          <w:noProof w:val="0"/>
        </w:rPr>
        <w:t xml:space="preserve">why </w:t>
      </w:r>
      <w:r w:rsidR="00545F97" w:rsidRPr="00137589">
        <w:rPr>
          <w:rFonts w:eastAsiaTheme="minorEastAsia"/>
          <w:noProof w:val="0"/>
        </w:rPr>
        <w:t xml:space="preserve">a system so apparently restrictive </w:t>
      </w:r>
      <w:r w:rsidR="004B6348" w:rsidRPr="00137589">
        <w:rPr>
          <w:rFonts w:eastAsiaTheme="minorEastAsia"/>
          <w:noProof w:val="0"/>
        </w:rPr>
        <w:t xml:space="preserve">was </w:t>
      </w:r>
      <w:r w:rsidR="00545F97" w:rsidRPr="00137589">
        <w:rPr>
          <w:rFonts w:eastAsiaTheme="minorEastAsia"/>
          <w:noProof w:val="0"/>
        </w:rPr>
        <w:t>able to generate a degree of c</w:t>
      </w:r>
      <w:r w:rsidR="00BC68F9" w:rsidRPr="00137589">
        <w:rPr>
          <w:rFonts w:eastAsiaTheme="minorEastAsia"/>
          <w:noProof w:val="0"/>
        </w:rPr>
        <w:t>ompetition of some significance?</w:t>
      </w:r>
      <w:r w:rsidR="00545F97" w:rsidRPr="00137589">
        <w:rPr>
          <w:rFonts w:eastAsiaTheme="minorEastAsia"/>
          <w:noProof w:val="0"/>
        </w:rPr>
        <w:t xml:space="preserve"> Maybe, as noted again by Amaral (2013 and 2015</w:t>
      </w:r>
      <w:r w:rsidR="00160CD9" w:rsidRPr="00137589">
        <w:rPr>
          <w:rFonts w:eastAsiaTheme="minorEastAsia"/>
          <w:noProof w:val="0"/>
        </w:rPr>
        <w:t>a</w:t>
      </w:r>
      <w:r w:rsidR="00545F97" w:rsidRPr="00137589">
        <w:rPr>
          <w:rFonts w:eastAsiaTheme="minorEastAsia"/>
          <w:noProof w:val="0"/>
        </w:rPr>
        <w:t xml:space="preserve">), and in a somewhat paradoxical way, the sort of regulation imposed by the legislation allowed for an approximate replication of one of the most important </w:t>
      </w:r>
      <w:r w:rsidR="00BC68F9" w:rsidRPr="00137589">
        <w:rPr>
          <w:rFonts w:eastAsiaTheme="minorEastAsia"/>
          <w:noProof w:val="0"/>
        </w:rPr>
        <w:t>conse</w:t>
      </w:r>
      <w:r w:rsidR="0001569D" w:rsidRPr="00137589">
        <w:rPr>
          <w:rFonts w:eastAsiaTheme="minorEastAsia"/>
          <w:noProof w:val="0"/>
        </w:rPr>
        <w:t>q</w:t>
      </w:r>
      <w:r w:rsidR="00BC68F9" w:rsidRPr="00137589">
        <w:rPr>
          <w:rFonts w:eastAsiaTheme="minorEastAsia"/>
          <w:noProof w:val="0"/>
        </w:rPr>
        <w:t>u</w:t>
      </w:r>
      <w:r w:rsidR="0001569D" w:rsidRPr="00137589">
        <w:rPr>
          <w:rFonts w:eastAsiaTheme="minorEastAsia"/>
          <w:noProof w:val="0"/>
        </w:rPr>
        <w:t>ences</w:t>
      </w:r>
      <w:r w:rsidR="00545F97" w:rsidRPr="00137589">
        <w:rPr>
          <w:rFonts w:eastAsiaTheme="minorEastAsia"/>
          <w:noProof w:val="0"/>
        </w:rPr>
        <w:t xml:space="preserve"> of strong competition: low profits. Banks’ margins (on both interest and credit) were low and almost entirely set by the Government, and banks were not free to look for alternative ways of obtaining higher returns (such as stock). As some degree of contestability existed in the market, this may have led them to compete, as the expectation of driving competitors out of business (or being driven out of business by competitors) was legitimate to a certain extent. </w:t>
      </w:r>
      <w:r w:rsidR="00D120A8" w:rsidRPr="00137589">
        <w:rPr>
          <w:rFonts w:eastAsiaTheme="minorEastAsia"/>
          <w:noProof w:val="0"/>
        </w:rPr>
        <w:t>We should note that, in comparative terms, Portugal had a kind of market regulation not differ</w:t>
      </w:r>
      <w:r w:rsidR="004B6348" w:rsidRPr="00137589">
        <w:rPr>
          <w:rFonts w:eastAsiaTheme="minorEastAsia"/>
          <w:noProof w:val="0"/>
        </w:rPr>
        <w:t>ing</w:t>
      </w:r>
      <w:r w:rsidR="00D120A8" w:rsidRPr="00137589">
        <w:rPr>
          <w:rFonts w:eastAsiaTheme="minorEastAsia"/>
          <w:noProof w:val="0"/>
        </w:rPr>
        <w:t xml:space="preserve"> much from </w:t>
      </w:r>
      <w:r w:rsidR="004B6348" w:rsidRPr="00137589">
        <w:rPr>
          <w:rFonts w:eastAsiaTheme="minorEastAsia"/>
          <w:noProof w:val="0"/>
        </w:rPr>
        <w:t>several</w:t>
      </w:r>
      <w:r w:rsidR="00D120A8" w:rsidRPr="00137589">
        <w:rPr>
          <w:rFonts w:eastAsiaTheme="minorEastAsia"/>
          <w:noProof w:val="0"/>
        </w:rPr>
        <w:t xml:space="preserve"> Western countries in the period (AAVV, 1994, Cassis </w:t>
      </w:r>
      <w:r w:rsidR="00D120A8" w:rsidRPr="00137589">
        <w:rPr>
          <w:rFonts w:eastAsiaTheme="minorEastAsia"/>
          <w:i/>
          <w:noProof w:val="0"/>
        </w:rPr>
        <w:t>et al</w:t>
      </w:r>
      <w:r w:rsidR="00D120A8" w:rsidRPr="00137589">
        <w:rPr>
          <w:rFonts w:eastAsiaTheme="minorEastAsia"/>
          <w:noProof w:val="0"/>
        </w:rPr>
        <w:t>., eds, 1995, Battilossi and Cassis, eds., 2002, and Amaral, 2013 and 2015a)</w:t>
      </w:r>
      <w:r w:rsidR="00B02DE0" w:rsidRPr="00137589">
        <w:rPr>
          <w:rFonts w:eastAsiaTheme="minorEastAsia"/>
          <w:noProof w:val="0"/>
        </w:rPr>
        <w:t xml:space="preserve">. In some </w:t>
      </w:r>
      <w:r w:rsidR="004B6348" w:rsidRPr="00137589">
        <w:rPr>
          <w:rFonts w:eastAsiaTheme="minorEastAsia"/>
          <w:noProof w:val="0"/>
        </w:rPr>
        <w:lastRenderedPageBreak/>
        <w:t>countries</w:t>
      </w:r>
      <w:r w:rsidR="00B02DE0" w:rsidRPr="00137589">
        <w:rPr>
          <w:rFonts w:eastAsiaTheme="minorEastAsia"/>
          <w:noProof w:val="0"/>
        </w:rPr>
        <w:t xml:space="preserve">, regulation was even </w:t>
      </w:r>
      <w:r w:rsidR="004B6348" w:rsidRPr="00137589">
        <w:rPr>
          <w:rFonts w:eastAsiaTheme="minorEastAsia"/>
          <w:noProof w:val="0"/>
        </w:rPr>
        <w:t>stricter</w:t>
      </w:r>
      <w:r w:rsidR="00B02DE0" w:rsidRPr="00137589">
        <w:rPr>
          <w:rFonts w:eastAsiaTheme="minorEastAsia"/>
          <w:noProof w:val="0"/>
        </w:rPr>
        <w:t>, as in France, for instance, where the largest commercial banks had been nationalised in 1945 and the whole financial system was put under a heavily discretionary official mechanism (Wyploz, 1999, Quenouëlle-Corre, 2005, and Monnet, 2012). Furthermore, Portuguese banks were then free from a practice widely spread in Western Europe in those days: that of holding large amounts of public debt among their assets (Wyploz, 1999, and Battilossi and Cassis, eds., 2002). This was due to the fact that the Portuguese government followed a quite orthodox fiscal policy,</w:t>
      </w:r>
      <w:r w:rsidR="00CB6F82" w:rsidRPr="00137589">
        <w:rPr>
          <w:rFonts w:eastAsiaTheme="minorEastAsia"/>
          <w:noProof w:val="0"/>
        </w:rPr>
        <w:t xml:space="preserve"> </w:t>
      </w:r>
      <w:r w:rsidR="00B02DE0" w:rsidRPr="00137589">
        <w:rPr>
          <w:rFonts w:eastAsiaTheme="minorEastAsia"/>
          <w:noProof w:val="0"/>
        </w:rPr>
        <w:t>with persistent budget balance</w:t>
      </w:r>
      <w:r w:rsidR="00175775" w:rsidRPr="00137589">
        <w:rPr>
          <w:rFonts w:eastAsiaTheme="minorEastAsia"/>
          <w:noProof w:val="0"/>
        </w:rPr>
        <w:t xml:space="preserve">, contrary to the majority of European countries then. Despite the fact that heavy regulation of different guises was rather common in Europe up to the 1970s, various studies point to the existence of some competition in various countries: Battilossi (2000), looking at Europe in general, Bordo </w:t>
      </w:r>
      <w:r w:rsidR="00175775" w:rsidRPr="00137589">
        <w:rPr>
          <w:rFonts w:eastAsiaTheme="minorEastAsia"/>
          <w:i/>
          <w:noProof w:val="0"/>
        </w:rPr>
        <w:t>et al</w:t>
      </w:r>
      <w:r w:rsidR="00175775" w:rsidRPr="00137589">
        <w:rPr>
          <w:rFonts w:eastAsiaTheme="minorEastAsia"/>
          <w:noProof w:val="0"/>
        </w:rPr>
        <w:t>. (1994), for Canada, Capie and Billings (2004), for the UK, or Pons (2002) and Pueyo (2003), for Spain. If this is true for those countries it is not surprising that similar results (or results pointing to an even higher level of competition) are registered in the case of Portugal. Still,</w:t>
      </w:r>
      <w:r w:rsidR="00545F97" w:rsidRPr="00137589">
        <w:rPr>
          <w:rFonts w:eastAsiaTheme="minorEastAsia"/>
          <w:noProof w:val="0"/>
        </w:rPr>
        <w:t xml:space="preserve"> more research is needed on this period.</w:t>
      </w:r>
    </w:p>
    <w:p w:rsidR="00545F97" w:rsidRPr="00137589" w:rsidRDefault="004B6348" w:rsidP="00C111D4">
      <w:pPr>
        <w:spacing w:after="0" w:line="480" w:lineRule="auto"/>
        <w:ind w:firstLine="567"/>
        <w:jc w:val="both"/>
        <w:rPr>
          <w:rFonts w:eastAsiaTheme="minorEastAsia"/>
          <w:noProof w:val="0"/>
        </w:rPr>
      </w:pPr>
      <w:r w:rsidRPr="00137589">
        <w:rPr>
          <w:rFonts w:eastAsiaTheme="minorEastAsia"/>
          <w:noProof w:val="0"/>
        </w:rPr>
        <w:t>Even m</w:t>
      </w:r>
      <w:r w:rsidR="00545F97" w:rsidRPr="00137589">
        <w:rPr>
          <w:rFonts w:eastAsiaTheme="minorEastAsia"/>
          <w:noProof w:val="0"/>
        </w:rPr>
        <w:t xml:space="preserve">ore interesting is the next period, when generalised public ownership of banks and the imposition of administrative mergers </w:t>
      </w:r>
      <w:r w:rsidR="00BC68F9" w:rsidRPr="00137589">
        <w:rPr>
          <w:rFonts w:eastAsiaTheme="minorEastAsia"/>
          <w:noProof w:val="0"/>
        </w:rPr>
        <w:t xml:space="preserve">still delivered </w:t>
      </w:r>
      <w:r w:rsidR="00545F97" w:rsidRPr="00137589">
        <w:rPr>
          <w:rFonts w:eastAsiaTheme="minorEastAsia"/>
          <w:noProof w:val="0"/>
        </w:rPr>
        <w:t xml:space="preserve">monopolistic competition. Why did this happen? </w:t>
      </w:r>
      <w:r w:rsidR="0001569D" w:rsidRPr="00137589">
        <w:rPr>
          <w:rFonts w:eastAsiaTheme="minorEastAsia"/>
          <w:noProof w:val="0"/>
        </w:rPr>
        <w:t xml:space="preserve">Unfortunately, </w:t>
      </w:r>
      <w:r w:rsidR="00BC68F9" w:rsidRPr="00137589">
        <w:rPr>
          <w:rFonts w:eastAsiaTheme="minorEastAsia"/>
          <w:noProof w:val="0"/>
        </w:rPr>
        <w:t>there are no</w:t>
      </w:r>
      <w:r w:rsidR="0001569D" w:rsidRPr="00137589">
        <w:rPr>
          <w:rFonts w:eastAsiaTheme="minorEastAsia"/>
          <w:noProof w:val="0"/>
        </w:rPr>
        <w:t xml:space="preserve"> studies dedicated specifically to this period, equivalent to Amaral (2013 and 2015</w:t>
      </w:r>
      <w:r w:rsidR="00160CD9" w:rsidRPr="00137589">
        <w:rPr>
          <w:rFonts w:eastAsiaTheme="minorEastAsia"/>
          <w:noProof w:val="0"/>
        </w:rPr>
        <w:t>a</w:t>
      </w:r>
      <w:r w:rsidR="0001569D" w:rsidRPr="00137589">
        <w:rPr>
          <w:rFonts w:eastAsiaTheme="minorEastAsia"/>
          <w:noProof w:val="0"/>
        </w:rPr>
        <w:t>) for the previous one. Consequently, we ca</w:t>
      </w:r>
      <w:r w:rsidR="00DE4863" w:rsidRPr="00137589">
        <w:rPr>
          <w:rFonts w:eastAsiaTheme="minorEastAsia"/>
          <w:noProof w:val="0"/>
        </w:rPr>
        <w:t>n only put forth a few hypothese</w:t>
      </w:r>
      <w:r w:rsidR="0001569D" w:rsidRPr="00137589">
        <w:rPr>
          <w:rFonts w:eastAsiaTheme="minorEastAsia"/>
          <w:noProof w:val="0"/>
        </w:rPr>
        <w:t xml:space="preserve">s in the expectation </w:t>
      </w:r>
      <w:r w:rsidR="00DE4863" w:rsidRPr="00137589">
        <w:rPr>
          <w:rFonts w:eastAsiaTheme="minorEastAsia"/>
          <w:noProof w:val="0"/>
        </w:rPr>
        <w:t>of</w:t>
      </w:r>
      <w:r w:rsidR="0001569D" w:rsidRPr="00137589">
        <w:rPr>
          <w:rFonts w:eastAsiaTheme="minorEastAsia"/>
          <w:noProof w:val="0"/>
        </w:rPr>
        <w:t xml:space="preserve"> some future detailed research: w</w:t>
      </w:r>
      <w:r w:rsidR="00545F97" w:rsidRPr="00137589">
        <w:rPr>
          <w:rFonts w:eastAsiaTheme="minorEastAsia"/>
          <w:noProof w:val="0"/>
        </w:rPr>
        <w:t>as the autonomy granted to</w:t>
      </w:r>
      <w:r w:rsidR="007F3BDE" w:rsidRPr="00137589">
        <w:rPr>
          <w:rFonts w:eastAsiaTheme="minorEastAsia"/>
          <w:noProof w:val="0"/>
        </w:rPr>
        <w:t xml:space="preserve"> each bank</w:t>
      </w:r>
      <w:r w:rsidR="0001569D" w:rsidRPr="00137589">
        <w:rPr>
          <w:rFonts w:eastAsiaTheme="minorEastAsia"/>
          <w:noProof w:val="0"/>
        </w:rPr>
        <w:t xml:space="preserve"> under the State-owned enterprise statute</w:t>
      </w:r>
      <w:r w:rsidR="007F3BDE" w:rsidRPr="00137589">
        <w:rPr>
          <w:rFonts w:eastAsiaTheme="minorEastAsia"/>
          <w:noProof w:val="0"/>
        </w:rPr>
        <w:t>, as noted in Section 1</w:t>
      </w:r>
      <w:r w:rsidR="00545F97" w:rsidRPr="00137589">
        <w:rPr>
          <w:rFonts w:eastAsiaTheme="minorEastAsia"/>
          <w:noProof w:val="0"/>
        </w:rPr>
        <w:t xml:space="preserve">, enough for </w:t>
      </w:r>
      <w:r w:rsidR="0001569D" w:rsidRPr="00137589">
        <w:rPr>
          <w:rFonts w:eastAsiaTheme="minorEastAsia"/>
          <w:noProof w:val="0"/>
        </w:rPr>
        <w:t>banks to</w:t>
      </w:r>
      <w:r w:rsidR="00545F97" w:rsidRPr="00137589">
        <w:rPr>
          <w:rFonts w:eastAsiaTheme="minorEastAsia"/>
          <w:noProof w:val="0"/>
        </w:rPr>
        <w:t xml:space="preserve"> compete with each other? </w:t>
      </w:r>
      <w:r w:rsidR="0001569D" w:rsidRPr="00137589">
        <w:rPr>
          <w:rFonts w:eastAsiaTheme="minorEastAsia"/>
          <w:noProof w:val="0"/>
        </w:rPr>
        <w:t>This might even be more significant as</w:t>
      </w:r>
      <w:r w:rsidR="00545F97" w:rsidRPr="00137589">
        <w:rPr>
          <w:rFonts w:eastAsiaTheme="minorEastAsia"/>
          <w:noProof w:val="0"/>
        </w:rPr>
        <w:t xml:space="preserve"> they were given new targets </w:t>
      </w:r>
      <w:r w:rsidR="00C24B1E" w:rsidRPr="00137589">
        <w:rPr>
          <w:rFonts w:eastAsiaTheme="minorEastAsia"/>
          <w:noProof w:val="0"/>
        </w:rPr>
        <w:t xml:space="preserve">in order </w:t>
      </w:r>
      <w:r w:rsidR="00545F97" w:rsidRPr="00137589">
        <w:rPr>
          <w:rFonts w:eastAsiaTheme="minorEastAsia"/>
          <w:noProof w:val="0"/>
        </w:rPr>
        <w:t xml:space="preserve">to attract </w:t>
      </w:r>
      <w:r w:rsidR="00C24B1E" w:rsidRPr="00137589">
        <w:rPr>
          <w:rFonts w:eastAsiaTheme="minorEastAsia"/>
          <w:noProof w:val="0"/>
        </w:rPr>
        <w:t>clients</w:t>
      </w:r>
      <w:r w:rsidR="00545F97" w:rsidRPr="00137589">
        <w:rPr>
          <w:rFonts w:eastAsiaTheme="minorEastAsia"/>
          <w:noProof w:val="0"/>
        </w:rPr>
        <w:t>: emigrants’ remittances, foreign currency deposits, medium- to long-run-credit.</w:t>
      </w:r>
      <w:r w:rsidR="00C24B1E" w:rsidRPr="00137589">
        <w:rPr>
          <w:rFonts w:eastAsiaTheme="minorEastAsia"/>
          <w:noProof w:val="0"/>
        </w:rPr>
        <w:t xml:space="preserve"> </w:t>
      </w:r>
      <w:r w:rsidR="00BC68F9" w:rsidRPr="00137589">
        <w:rPr>
          <w:rFonts w:eastAsiaTheme="minorEastAsia"/>
          <w:noProof w:val="0"/>
        </w:rPr>
        <w:t>Another possibility i</w:t>
      </w:r>
      <w:r w:rsidR="0001569D" w:rsidRPr="00137589">
        <w:rPr>
          <w:rFonts w:eastAsiaTheme="minorEastAsia"/>
          <w:noProof w:val="0"/>
        </w:rPr>
        <w:t>s that the new financial institutions created after 1979 (leasing companies, investment companies, regional development societies) did compete to a certain extent with commercial banks. Since private capital could not enter in commercial banking, it was in these institutions that we could find more dynamism</w:t>
      </w:r>
      <w:r w:rsidR="00BC68F9" w:rsidRPr="00137589">
        <w:rPr>
          <w:rFonts w:eastAsiaTheme="minorEastAsia"/>
          <w:noProof w:val="0"/>
        </w:rPr>
        <w:t xml:space="preserve">. </w:t>
      </w:r>
      <w:r w:rsidR="002D48B0" w:rsidRPr="00137589">
        <w:rPr>
          <w:rFonts w:eastAsiaTheme="minorEastAsia"/>
          <w:noProof w:val="0"/>
        </w:rPr>
        <w:t>These are just suggestions. What we need is an in-depth analysis into one of the least known periods in Portuguese economic history.</w:t>
      </w:r>
    </w:p>
    <w:p w:rsidR="00175775" w:rsidRPr="00137589" w:rsidRDefault="00175775" w:rsidP="00C111D4">
      <w:pPr>
        <w:spacing w:after="0" w:line="480" w:lineRule="auto"/>
        <w:ind w:firstLine="567"/>
        <w:jc w:val="both"/>
        <w:rPr>
          <w:rFonts w:eastAsiaTheme="minorEastAsia"/>
          <w:noProof w:val="0"/>
        </w:rPr>
      </w:pPr>
      <w:r w:rsidRPr="00137589">
        <w:rPr>
          <w:rFonts w:eastAsiaTheme="minorEastAsia"/>
          <w:noProof w:val="0"/>
        </w:rPr>
        <w:lastRenderedPageBreak/>
        <w:t xml:space="preserve">At this moment in history, Portugal followed against the liberalising trend that started in the 1970s and deepened in the 1980s in Europe and </w:t>
      </w:r>
      <w:r w:rsidR="00E62903" w:rsidRPr="00137589">
        <w:rPr>
          <w:rFonts w:eastAsiaTheme="minorEastAsia"/>
          <w:noProof w:val="0"/>
        </w:rPr>
        <w:t xml:space="preserve">North America (AAVV, 1994, Cassis </w:t>
      </w:r>
      <w:r w:rsidR="00E62903" w:rsidRPr="00137589">
        <w:rPr>
          <w:rFonts w:eastAsiaTheme="minorEastAsia"/>
          <w:i/>
          <w:noProof w:val="0"/>
        </w:rPr>
        <w:t>et al</w:t>
      </w:r>
      <w:r w:rsidR="00E62903" w:rsidRPr="00137589">
        <w:rPr>
          <w:rFonts w:eastAsiaTheme="minorEastAsia"/>
          <w:noProof w:val="0"/>
        </w:rPr>
        <w:t>., eds, 1995, Wyploz, 1999, Battilossi, 2000, Bat</w:t>
      </w:r>
      <w:r w:rsidR="00AD31A6" w:rsidRPr="00137589">
        <w:rPr>
          <w:rFonts w:eastAsiaTheme="minorEastAsia"/>
          <w:noProof w:val="0"/>
        </w:rPr>
        <w:t>tilossi and Cassis, eds., 2002),</w:t>
      </w:r>
      <w:r w:rsidR="00E62903" w:rsidRPr="00137589">
        <w:rPr>
          <w:rFonts w:eastAsiaTheme="minorEastAsia"/>
          <w:noProof w:val="0"/>
        </w:rPr>
        <w:t xml:space="preserve"> </w:t>
      </w:r>
      <w:r w:rsidR="00AD31A6" w:rsidRPr="00137589">
        <w:rPr>
          <w:rFonts w:eastAsiaTheme="minorEastAsia"/>
          <w:noProof w:val="0"/>
        </w:rPr>
        <w:t>something that</w:t>
      </w:r>
      <w:r w:rsidR="00E62903" w:rsidRPr="00137589">
        <w:rPr>
          <w:rFonts w:eastAsiaTheme="minorEastAsia"/>
          <w:noProof w:val="0"/>
        </w:rPr>
        <w:t xml:space="preserve"> included an important contribution to finance Government spending, which moved from the orthodoxy of the previous period into fast expansion </w:t>
      </w:r>
      <w:r w:rsidR="004B6348" w:rsidRPr="00137589">
        <w:rPr>
          <w:rFonts w:eastAsiaTheme="minorEastAsia"/>
          <w:noProof w:val="0"/>
        </w:rPr>
        <w:t>and</w:t>
      </w:r>
      <w:r w:rsidR="00E62903" w:rsidRPr="00137589">
        <w:rPr>
          <w:rFonts w:eastAsiaTheme="minorEastAsia"/>
          <w:noProof w:val="0"/>
        </w:rPr>
        <w:t xml:space="preserve"> persistent bud</w:t>
      </w:r>
      <w:r w:rsidR="00AD31A6" w:rsidRPr="00137589">
        <w:rPr>
          <w:rFonts w:eastAsiaTheme="minorEastAsia"/>
          <w:noProof w:val="0"/>
        </w:rPr>
        <w:t>get imbalance</w:t>
      </w:r>
      <w:r w:rsidR="00E62903" w:rsidRPr="00137589">
        <w:rPr>
          <w:rFonts w:eastAsiaTheme="minorEastAsia"/>
          <w:noProof w:val="0"/>
        </w:rPr>
        <w:t xml:space="preserve">. Commercial banks were involved in this, in manners similar to those existing in other European countries. The particular method adopted in Portugal consisted in the imposition of credit ceilings to banks at a level below the amount of resources they could gather in deposits, thus forcing them to use the amount above the ceiling in public debt (Beleza and Macedo, 1988, and Mexia and Leite, 1992). This seems to have lowered the degree of competition in the Portuguese banking market (as shown by the results above) but, interestingly enough, not to the point of making it vanish altogether. The level of competition among Portuguese banking seems to have been not too dissimilar to that found in other countries: although not using Panzar-Rosse tests, Bordo </w:t>
      </w:r>
      <w:r w:rsidR="00E62903" w:rsidRPr="00137589">
        <w:rPr>
          <w:rFonts w:eastAsiaTheme="minorEastAsia"/>
          <w:i/>
          <w:noProof w:val="0"/>
        </w:rPr>
        <w:t>et al</w:t>
      </w:r>
      <w:r w:rsidR="00E62903" w:rsidRPr="00137589">
        <w:rPr>
          <w:rFonts w:eastAsiaTheme="minorEastAsia"/>
          <w:noProof w:val="0"/>
        </w:rPr>
        <w:t xml:space="preserve">. (1994), Capie and Billings (2004), and Pons (2002) (and also Pueyo, </w:t>
      </w:r>
      <w:r w:rsidR="007710FC" w:rsidRPr="00137589">
        <w:rPr>
          <w:rFonts w:eastAsiaTheme="minorEastAsia"/>
          <w:noProof w:val="0"/>
        </w:rPr>
        <w:t xml:space="preserve">2003) find signs of competition in Canada, the UK, and Spain, respectively. The same kind of conclusion can be reached when comparing with works that use Panzar-Rosse tests: Nathan and Neave (1989) have found perfect competition in the Canadian banking system in 1982, but monopolistic competition in 1983 and 1984, Molyneaux </w:t>
      </w:r>
      <w:r w:rsidR="007710FC" w:rsidRPr="00137589">
        <w:rPr>
          <w:rFonts w:eastAsiaTheme="minorEastAsia"/>
          <w:i/>
          <w:noProof w:val="0"/>
        </w:rPr>
        <w:t>et al</w:t>
      </w:r>
      <w:r w:rsidR="007710FC" w:rsidRPr="00137589">
        <w:rPr>
          <w:rFonts w:eastAsiaTheme="minorEastAsia"/>
          <w:noProof w:val="0"/>
        </w:rPr>
        <w:t>. (1994) have found a perfectly colluding oligopoly in Italy between 1986 and 1989 but monopolistic competition in France, Germany, Spain, and the UK. Vesala (1995) has found monopolistic competition in Finland between 1985 and 1992.</w:t>
      </w:r>
    </w:p>
    <w:p w:rsidR="00C24B1E" w:rsidRPr="00137589" w:rsidRDefault="00C24B1E" w:rsidP="00C111D4">
      <w:pPr>
        <w:spacing w:after="0" w:line="480" w:lineRule="auto"/>
        <w:ind w:firstLine="567"/>
        <w:jc w:val="both"/>
        <w:rPr>
          <w:rFonts w:eastAsiaTheme="minorEastAsia"/>
          <w:noProof w:val="0"/>
        </w:rPr>
      </w:pPr>
      <w:r w:rsidRPr="00137589">
        <w:rPr>
          <w:rFonts w:eastAsiaTheme="minorEastAsia"/>
          <w:noProof w:val="0"/>
        </w:rPr>
        <w:t>Interesting is also the fact that the introduction of highly favourable legislation</w:t>
      </w:r>
      <w:r w:rsidR="00D874AA" w:rsidRPr="00137589">
        <w:rPr>
          <w:rFonts w:eastAsiaTheme="minorEastAsia"/>
          <w:noProof w:val="0"/>
        </w:rPr>
        <w:t xml:space="preserve"> to competition in the late-1980</w:t>
      </w:r>
      <w:r w:rsidRPr="00137589">
        <w:rPr>
          <w:rFonts w:eastAsiaTheme="minorEastAsia"/>
          <w:noProof w:val="0"/>
        </w:rPr>
        <w:t>s and early-1990s was not enough to truly increase it</w:t>
      </w:r>
      <w:r w:rsidR="00BC68F9" w:rsidRPr="00137589">
        <w:rPr>
          <w:rFonts w:eastAsiaTheme="minorEastAsia"/>
          <w:noProof w:val="0"/>
        </w:rPr>
        <w:t>, and might even</w:t>
      </w:r>
      <w:r w:rsidR="00E7499E" w:rsidRPr="00137589">
        <w:rPr>
          <w:rFonts w:eastAsiaTheme="minorEastAsia"/>
          <w:noProof w:val="0"/>
        </w:rPr>
        <w:t xml:space="preserve"> have</w:t>
      </w:r>
      <w:r w:rsidR="00BC68F9" w:rsidRPr="00137589">
        <w:rPr>
          <w:rFonts w:eastAsiaTheme="minorEastAsia"/>
          <w:noProof w:val="0"/>
        </w:rPr>
        <w:t xml:space="preserve"> made it decline</w:t>
      </w:r>
      <w:r w:rsidRPr="00137589">
        <w:rPr>
          <w:rFonts w:eastAsiaTheme="minorEastAsia"/>
          <w:noProof w:val="0"/>
        </w:rPr>
        <w:t xml:space="preserve">. </w:t>
      </w:r>
      <w:r w:rsidR="002D48B0" w:rsidRPr="00137589">
        <w:rPr>
          <w:rFonts w:eastAsiaTheme="minorEastAsia"/>
          <w:noProof w:val="0"/>
        </w:rPr>
        <w:t xml:space="preserve">Although we </w:t>
      </w:r>
      <w:r w:rsidR="0038199A" w:rsidRPr="00137589">
        <w:rPr>
          <w:rFonts w:eastAsiaTheme="minorEastAsia"/>
          <w:noProof w:val="0"/>
        </w:rPr>
        <w:t xml:space="preserve">do not know much about the specifics of the functioning of the market, we have a few more studies available for this period, some of them even using the same technique </w:t>
      </w:r>
      <w:r w:rsidR="00E7499E" w:rsidRPr="00137589">
        <w:rPr>
          <w:rFonts w:eastAsiaTheme="minorEastAsia"/>
          <w:noProof w:val="0"/>
        </w:rPr>
        <w:t>of</w:t>
      </w:r>
      <w:r w:rsidR="0038199A" w:rsidRPr="00137589">
        <w:rPr>
          <w:rFonts w:eastAsiaTheme="minorEastAsia"/>
          <w:noProof w:val="0"/>
        </w:rPr>
        <w:t xml:space="preserve"> this paper. That is the case of Bikker and Haaf (2002), Bikker </w:t>
      </w:r>
      <w:r w:rsidR="0038199A" w:rsidRPr="00137589">
        <w:rPr>
          <w:rFonts w:eastAsiaTheme="minorEastAsia"/>
          <w:i/>
          <w:noProof w:val="0"/>
        </w:rPr>
        <w:t>et al.</w:t>
      </w:r>
      <w:r w:rsidR="0038199A" w:rsidRPr="00137589">
        <w:rPr>
          <w:rFonts w:eastAsiaTheme="minorEastAsia"/>
          <w:noProof w:val="0"/>
        </w:rPr>
        <w:t xml:space="preserve"> (2007), and Boucinha and Ribeiro (2009). The first and the last of these papers p</w:t>
      </w:r>
      <w:r w:rsidR="00E7499E" w:rsidRPr="00137589">
        <w:rPr>
          <w:rFonts w:eastAsiaTheme="minorEastAsia"/>
          <w:noProof w:val="0"/>
        </w:rPr>
        <w:t>o</w:t>
      </w:r>
      <w:r w:rsidR="0038199A" w:rsidRPr="00137589">
        <w:rPr>
          <w:rFonts w:eastAsiaTheme="minorEastAsia"/>
          <w:noProof w:val="0"/>
        </w:rPr>
        <w:t>int to the existence of monopolistic competition in the period 1991-1998 and 1991-2004, respectively.</w:t>
      </w:r>
      <w:r w:rsidR="00B44F1D" w:rsidRPr="00137589">
        <w:rPr>
          <w:rFonts w:eastAsiaTheme="minorEastAsia"/>
          <w:noProof w:val="0"/>
        </w:rPr>
        <w:t xml:space="preserve"> These tests raise some questions, however, </w:t>
      </w:r>
      <w:r w:rsidR="00927571" w:rsidRPr="00137589">
        <w:rPr>
          <w:rFonts w:eastAsiaTheme="minorEastAsia"/>
          <w:noProof w:val="0"/>
        </w:rPr>
        <w:t xml:space="preserve">as </w:t>
      </w:r>
      <w:r w:rsidR="00927571" w:rsidRPr="00137589">
        <w:rPr>
          <w:rFonts w:eastAsiaTheme="minorEastAsia"/>
          <w:noProof w:val="0"/>
        </w:rPr>
        <w:lastRenderedPageBreak/>
        <w:t>they lump together all kinds of banking institutions (commercial, savings, cooperative, investment…), even if competition</w:t>
      </w:r>
      <w:r w:rsidR="00E7499E" w:rsidRPr="00137589">
        <w:rPr>
          <w:rFonts w:eastAsiaTheme="minorEastAsia"/>
          <w:noProof w:val="0"/>
        </w:rPr>
        <w:t xml:space="preserve"> between some of these groups wa</w:t>
      </w:r>
      <w:r w:rsidR="001E172B" w:rsidRPr="00137589">
        <w:rPr>
          <w:rFonts w:eastAsiaTheme="minorEastAsia"/>
          <w:noProof w:val="0"/>
        </w:rPr>
        <w:t>s virtually non-existent, thanks to their large</w:t>
      </w:r>
      <w:r w:rsidR="00F41B1B">
        <w:rPr>
          <w:rFonts w:eastAsiaTheme="minorEastAsia"/>
          <w:noProof w:val="0"/>
        </w:rPr>
        <w:t>ly</w:t>
      </w:r>
      <w:r w:rsidR="001E172B" w:rsidRPr="00137589">
        <w:rPr>
          <w:rFonts w:eastAsiaTheme="minorEastAsia"/>
          <w:noProof w:val="0"/>
        </w:rPr>
        <w:t xml:space="preserve"> different objects. The second of the mentioned studies, despite suffering from the same issues,</w:t>
      </w:r>
      <w:r w:rsidR="007E1F51" w:rsidRPr="00137589">
        <w:rPr>
          <w:rFonts w:eastAsiaTheme="minorEastAsia"/>
          <w:noProof w:val="0"/>
        </w:rPr>
        <w:t xml:space="preserve"> points to ambiguous results </w:t>
      </w:r>
      <w:r w:rsidR="00E7499E" w:rsidRPr="00137589">
        <w:rPr>
          <w:rFonts w:eastAsiaTheme="minorEastAsia"/>
          <w:noProof w:val="0"/>
        </w:rPr>
        <w:t xml:space="preserve">similar to the ones </w:t>
      </w:r>
      <w:r w:rsidR="007E1F51" w:rsidRPr="00137589">
        <w:rPr>
          <w:rFonts w:eastAsiaTheme="minorEastAsia"/>
          <w:noProof w:val="0"/>
        </w:rPr>
        <w:t>we also present in our paper, with some tests indicating monopolistic competition and others a colluding oligopoly in the period 1998-2004.</w:t>
      </w:r>
    </w:p>
    <w:p w:rsidR="00542CE7" w:rsidRPr="003942C1" w:rsidRDefault="006B64BA" w:rsidP="003942C1">
      <w:pPr>
        <w:spacing w:after="0" w:line="480" w:lineRule="auto"/>
        <w:ind w:firstLine="567"/>
        <w:jc w:val="both"/>
        <w:rPr>
          <w:rFonts w:eastAsiaTheme="minorEastAsia"/>
          <w:noProof w:val="0"/>
        </w:rPr>
      </w:pPr>
      <w:r w:rsidRPr="00137589">
        <w:rPr>
          <w:rFonts w:eastAsiaTheme="minorEastAsia"/>
          <w:noProof w:val="0"/>
        </w:rPr>
        <w:t>Barros and Modesto (1997), Pinho (2000) and Canhoto (2004) use different techniques, thus preventing any form of straightforward comparison wit</w:t>
      </w:r>
      <w:r w:rsidR="00E7499E" w:rsidRPr="00137589">
        <w:rPr>
          <w:rFonts w:eastAsiaTheme="minorEastAsia"/>
          <w:noProof w:val="0"/>
        </w:rPr>
        <w:t>h our results. But some of them</w:t>
      </w:r>
      <w:r w:rsidRPr="00137589">
        <w:rPr>
          <w:rFonts w:eastAsiaTheme="minorEastAsia"/>
          <w:noProof w:val="0"/>
        </w:rPr>
        <w:t xml:space="preserve"> are in the same spirit as ours.</w:t>
      </w:r>
      <w:r w:rsidR="007517B2" w:rsidRPr="00137589">
        <w:rPr>
          <w:rFonts w:eastAsiaTheme="minorEastAsia"/>
          <w:noProof w:val="0"/>
        </w:rPr>
        <w:t xml:space="preserve"> That is the case of Barroso and Modesto (1997), who have found a strong regulatory presence of CGD, conditioning the competitive behaviour of the other agents in the market</w:t>
      </w:r>
      <w:r w:rsidR="00F463D3" w:rsidRPr="00137589">
        <w:rPr>
          <w:rFonts w:eastAsiaTheme="minorEastAsia"/>
          <w:noProof w:val="0"/>
        </w:rPr>
        <w:t xml:space="preserve"> between 1990 and 1995</w:t>
      </w:r>
      <w:r w:rsidR="007517B2" w:rsidRPr="00137589">
        <w:rPr>
          <w:rFonts w:eastAsiaTheme="minorEastAsia"/>
          <w:noProof w:val="0"/>
        </w:rPr>
        <w:t>.</w:t>
      </w:r>
      <w:r w:rsidR="00F463D3" w:rsidRPr="00137589">
        <w:rPr>
          <w:rFonts w:eastAsiaTheme="minorEastAsia"/>
          <w:noProof w:val="0"/>
        </w:rPr>
        <w:t xml:space="preserve"> Canhoto (2004) also does </w:t>
      </w:r>
      <w:r w:rsidR="00E7499E" w:rsidRPr="00137589">
        <w:rPr>
          <w:rFonts w:eastAsiaTheme="minorEastAsia"/>
          <w:noProof w:val="0"/>
        </w:rPr>
        <w:t xml:space="preserve">not </w:t>
      </w:r>
      <w:r w:rsidR="00F463D3" w:rsidRPr="00137589">
        <w:rPr>
          <w:rFonts w:eastAsiaTheme="minorEastAsia"/>
          <w:noProof w:val="0"/>
        </w:rPr>
        <w:t xml:space="preserve">go entirely against our conclusions: according to this work the market functioned as an oligopoly between 1990 and 1995, although the author suggests the appearance of “some competition” </w:t>
      </w:r>
      <w:r w:rsidR="00E7499E" w:rsidRPr="00137589">
        <w:rPr>
          <w:rFonts w:eastAsiaTheme="minorEastAsia"/>
          <w:noProof w:val="0"/>
        </w:rPr>
        <w:t xml:space="preserve">(although </w:t>
      </w:r>
      <w:r w:rsidR="00F463D3" w:rsidRPr="00137589">
        <w:rPr>
          <w:rFonts w:eastAsiaTheme="minorEastAsia"/>
          <w:noProof w:val="0"/>
        </w:rPr>
        <w:t>of an unspecified sort</w:t>
      </w:r>
      <w:r w:rsidR="00E7499E" w:rsidRPr="00137589">
        <w:rPr>
          <w:rFonts w:eastAsiaTheme="minorEastAsia"/>
          <w:noProof w:val="0"/>
        </w:rPr>
        <w:t>)</w:t>
      </w:r>
      <w:r w:rsidR="00F463D3" w:rsidRPr="00137589">
        <w:rPr>
          <w:rFonts w:eastAsiaTheme="minorEastAsia"/>
          <w:noProof w:val="0"/>
        </w:rPr>
        <w:t xml:space="preserve"> after 1993. </w:t>
      </w:r>
      <w:r w:rsidR="00CF0753" w:rsidRPr="00137589">
        <w:rPr>
          <w:rFonts w:eastAsiaTheme="minorEastAsia"/>
          <w:noProof w:val="0"/>
        </w:rPr>
        <w:t xml:space="preserve">Pinho (2000) suggests competition increased during the 1988 to 1992 period but never classifies the market in a clear way: was it an oligopoly that remained an oligopoly </w:t>
      </w:r>
      <w:r w:rsidR="00E7499E" w:rsidRPr="00137589">
        <w:rPr>
          <w:rFonts w:eastAsiaTheme="minorEastAsia"/>
          <w:noProof w:val="0"/>
        </w:rPr>
        <w:t>at the end of the period? Or did</w:t>
      </w:r>
      <w:r w:rsidR="00CF0753" w:rsidRPr="00137589">
        <w:rPr>
          <w:rFonts w:eastAsiaTheme="minorEastAsia"/>
          <w:noProof w:val="0"/>
        </w:rPr>
        <w:t xml:space="preserve"> it acquire the nature of a perfectly competitive market?</w:t>
      </w:r>
      <w:r w:rsidR="00E7499E" w:rsidRPr="00137589">
        <w:rPr>
          <w:rFonts w:eastAsiaTheme="minorEastAsia"/>
          <w:noProof w:val="0"/>
        </w:rPr>
        <w:t xml:space="preserve"> </w:t>
      </w:r>
      <w:r w:rsidR="00256F06" w:rsidRPr="00137589">
        <w:rPr>
          <w:rFonts w:eastAsiaTheme="minorEastAsia"/>
          <w:noProof w:val="0"/>
        </w:rPr>
        <w:t>Despite all these works, a lot remains to be understood on the functioning of the Portuguese banking system in this period. And the big question remains: why did not competition grow much more in an environment specifically designed to promote it?</w:t>
      </w:r>
      <w:r w:rsidR="00AD31A6" w:rsidRPr="00137589">
        <w:rPr>
          <w:rFonts w:eastAsiaTheme="minorEastAsia"/>
          <w:noProof w:val="0"/>
        </w:rPr>
        <w:t xml:space="preserve"> Perhaps the discretionary power left in the hands of the BoP helps explain these results, something that would require an investigation into how the Bank as a regulatory agency might have been affected by the participants in the market in a way preventing contestability and competition. To note is the fact that this might be true of other countries as well, which could explain why was there not an explosion of competition </w:t>
      </w:r>
      <w:r w:rsidR="004B6348" w:rsidRPr="00137589">
        <w:rPr>
          <w:rFonts w:eastAsiaTheme="minorEastAsia"/>
          <w:noProof w:val="0"/>
        </w:rPr>
        <w:t xml:space="preserve">in Europe </w:t>
      </w:r>
      <w:r w:rsidR="00AD31A6" w:rsidRPr="00137589">
        <w:rPr>
          <w:rFonts w:eastAsiaTheme="minorEastAsia"/>
          <w:noProof w:val="0"/>
        </w:rPr>
        <w:t xml:space="preserve">when the new legislation was introduced in the 1990s. This raises the question if the discretionary power the </w:t>
      </w:r>
      <w:r w:rsidR="004B6348" w:rsidRPr="00137589">
        <w:rPr>
          <w:rFonts w:eastAsiaTheme="minorEastAsia"/>
          <w:noProof w:val="0"/>
        </w:rPr>
        <w:t xml:space="preserve">European </w:t>
      </w:r>
      <w:r w:rsidR="00AD31A6" w:rsidRPr="00137589">
        <w:rPr>
          <w:rFonts w:eastAsiaTheme="minorEastAsia"/>
          <w:noProof w:val="0"/>
        </w:rPr>
        <w:t>legislation entrusted to central banks at the national level did not work against the spirit of the law, t</w:t>
      </w:r>
      <w:r w:rsidR="005C5395" w:rsidRPr="00137589">
        <w:rPr>
          <w:rFonts w:eastAsiaTheme="minorEastAsia"/>
          <w:noProof w:val="0"/>
        </w:rPr>
        <w:t xml:space="preserve">hus failing </w:t>
      </w:r>
      <w:r w:rsidR="003942C1">
        <w:rPr>
          <w:rFonts w:eastAsiaTheme="minorEastAsia"/>
          <w:noProof w:val="0"/>
        </w:rPr>
        <w:t xml:space="preserve">not only </w:t>
      </w:r>
      <w:r w:rsidR="005C5395" w:rsidRPr="00137589">
        <w:rPr>
          <w:rFonts w:eastAsiaTheme="minorEastAsia"/>
          <w:noProof w:val="0"/>
        </w:rPr>
        <w:t>to introduce Europe-</w:t>
      </w:r>
      <w:r w:rsidR="00AD31A6" w:rsidRPr="00137589">
        <w:rPr>
          <w:rFonts w:eastAsiaTheme="minorEastAsia"/>
          <w:noProof w:val="0"/>
        </w:rPr>
        <w:t xml:space="preserve">wide competition </w:t>
      </w:r>
      <w:r w:rsidR="003942C1">
        <w:rPr>
          <w:rFonts w:eastAsiaTheme="minorEastAsia"/>
          <w:noProof w:val="0"/>
        </w:rPr>
        <w:t>but also to increase</w:t>
      </w:r>
      <w:r w:rsidR="00AD31A6" w:rsidRPr="00137589">
        <w:rPr>
          <w:rFonts w:eastAsiaTheme="minorEastAsia"/>
          <w:noProof w:val="0"/>
        </w:rPr>
        <w:t xml:space="preserve"> </w:t>
      </w:r>
      <w:r w:rsidR="00361D4B" w:rsidRPr="00137589">
        <w:rPr>
          <w:rFonts w:eastAsiaTheme="minorEastAsia"/>
          <w:noProof w:val="0"/>
        </w:rPr>
        <w:t>it at the national level.</w:t>
      </w:r>
      <w:r w:rsidR="003942C1">
        <w:rPr>
          <w:rFonts w:eastAsiaTheme="minorEastAsia"/>
          <w:noProof w:val="0"/>
        </w:rPr>
        <w:t xml:space="preserve"> </w:t>
      </w:r>
      <w:r w:rsidR="00542CE7" w:rsidRPr="00137589">
        <w:rPr>
          <w:rFonts w:eastAsiaTheme="minorEastAsia"/>
          <w:noProof w:val="0"/>
        </w:rPr>
        <w:t>These results</w:t>
      </w:r>
      <w:r w:rsidR="00B61B29" w:rsidRPr="00137589">
        <w:rPr>
          <w:rFonts w:eastAsiaTheme="minorEastAsia"/>
          <w:noProof w:val="0"/>
        </w:rPr>
        <w:t xml:space="preserve"> place Portugal among the countries with least competitive banking markets (close to Finland, Norway, Greece or Spain, in Europe, and Australia, Canada, Japan, and the US, outside of Europe) (compare </w:t>
      </w:r>
      <w:r w:rsidR="00B61B29" w:rsidRPr="00137589">
        <w:rPr>
          <w:rFonts w:eastAsiaTheme="minorEastAsia"/>
          <w:noProof w:val="0"/>
        </w:rPr>
        <w:lastRenderedPageBreak/>
        <w:t xml:space="preserve">with the various Panzar-Rosse tests in Bandt and Davies, 2000, Biker and Haaf, 2002, Bikker </w:t>
      </w:r>
      <w:r w:rsidR="00B61B29" w:rsidRPr="00137589">
        <w:rPr>
          <w:rFonts w:eastAsiaTheme="minorEastAsia"/>
          <w:i/>
          <w:noProof w:val="0"/>
        </w:rPr>
        <w:t>et al</w:t>
      </w:r>
      <w:r w:rsidR="00B61B29" w:rsidRPr="00137589">
        <w:rPr>
          <w:rFonts w:eastAsiaTheme="minorEastAsia"/>
          <w:noProof w:val="0"/>
        </w:rPr>
        <w:t xml:space="preserve">., 2007, Beck, 2008, OECD, 2010 and 2011, Anginer </w:t>
      </w:r>
      <w:r w:rsidR="00B61B29" w:rsidRPr="00137589">
        <w:rPr>
          <w:rFonts w:eastAsiaTheme="minorEastAsia"/>
          <w:i/>
          <w:noProof w:val="0"/>
        </w:rPr>
        <w:t>et al</w:t>
      </w:r>
      <w:r w:rsidR="00B61B29" w:rsidRPr="00137589">
        <w:rPr>
          <w:rFonts w:eastAsiaTheme="minorEastAsia"/>
          <w:noProof w:val="0"/>
        </w:rPr>
        <w:t xml:space="preserve">., 2012). Thus, </w:t>
      </w:r>
      <w:r w:rsidR="00361D4B" w:rsidRPr="00137589">
        <w:rPr>
          <w:rFonts w:eastAsiaTheme="minorEastAsia"/>
          <w:noProof w:val="0"/>
        </w:rPr>
        <w:t>Portugal does not appear as an isolated case at the international level</w:t>
      </w:r>
      <w:r w:rsidR="00B61B29" w:rsidRPr="00137589">
        <w:rPr>
          <w:rFonts w:eastAsiaTheme="minorEastAsia"/>
          <w:noProof w:val="0"/>
        </w:rPr>
        <w:t>.</w:t>
      </w:r>
    </w:p>
    <w:p w:rsidR="00C24B1E" w:rsidRPr="009E4B63" w:rsidRDefault="00C24B1E" w:rsidP="00C111D4">
      <w:pPr>
        <w:spacing w:after="0" w:line="480" w:lineRule="auto"/>
        <w:ind w:firstLine="567"/>
        <w:jc w:val="both"/>
        <w:rPr>
          <w:rFonts w:eastAsiaTheme="minorEastAsia"/>
          <w:noProof w:val="0"/>
        </w:rPr>
      </w:pPr>
    </w:p>
    <w:p w:rsidR="00C24B1E" w:rsidRPr="009E4B63" w:rsidRDefault="00C24B1E" w:rsidP="00C111D4">
      <w:pPr>
        <w:spacing w:after="0" w:line="480" w:lineRule="auto"/>
        <w:ind w:firstLine="567"/>
        <w:jc w:val="both"/>
        <w:rPr>
          <w:rFonts w:eastAsiaTheme="minorEastAsia"/>
          <w:b/>
          <w:noProof w:val="0"/>
        </w:rPr>
      </w:pPr>
      <w:r w:rsidRPr="009E4B63">
        <w:rPr>
          <w:rFonts w:eastAsiaTheme="minorEastAsia"/>
          <w:b/>
          <w:noProof w:val="0"/>
        </w:rPr>
        <w:t>Conclusion</w:t>
      </w:r>
    </w:p>
    <w:p w:rsidR="00C24B1E" w:rsidRPr="00137589" w:rsidRDefault="00997B3A" w:rsidP="00C111D4">
      <w:pPr>
        <w:spacing w:after="0" w:line="480" w:lineRule="auto"/>
        <w:ind w:firstLine="567"/>
        <w:jc w:val="both"/>
        <w:rPr>
          <w:noProof w:val="0"/>
        </w:rPr>
      </w:pPr>
      <w:r w:rsidRPr="00137589">
        <w:rPr>
          <w:rFonts w:eastAsiaTheme="minorEastAsia"/>
        </w:rPr>
        <w:t xml:space="preserve">In this paper we used </w:t>
      </w:r>
      <w:r w:rsidRPr="00137589">
        <w:rPr>
          <w:noProof w:val="0"/>
        </w:rPr>
        <w:t>a statistical test developed by James Rosse and John Panzar (Rosse and Panzar, 1977, and Panzar and Rosse, 1987) in order to measure and classify competition in the Portuguese commercial banking market between 1960 and 2015. The basic purpose was to verify if and how competition in that sector was affected by the drastic institutional changes the economy passed through in that period. We subdivided the overall period into three sub-periods, one going from 1960 to 1974, corresponding to an authoritarian regime which was very suspicious of free markets and competition and regulated the economy accordingly; another going from 197</w:t>
      </w:r>
      <w:r w:rsidR="00B0241E" w:rsidRPr="00137589">
        <w:rPr>
          <w:noProof w:val="0"/>
        </w:rPr>
        <w:t>5</w:t>
      </w:r>
      <w:r w:rsidRPr="00137589">
        <w:rPr>
          <w:noProof w:val="0"/>
        </w:rPr>
        <w:t xml:space="preserve"> to 1989, when there was a coup d’état that overthrew the authoritarian regime and initiated a revolutionary process of communist or socialist tendencies, eventually leading to the nationalisation of large swathes of the economy, including the entire commercial banking sector; and a final period, from the late-1980s and early-1990s</w:t>
      </w:r>
      <w:r w:rsidR="00B0241E" w:rsidRPr="00137589">
        <w:rPr>
          <w:noProof w:val="0"/>
        </w:rPr>
        <w:t xml:space="preserve"> until 2015</w:t>
      </w:r>
      <w:r w:rsidRPr="00137589">
        <w:rPr>
          <w:noProof w:val="0"/>
        </w:rPr>
        <w:t xml:space="preserve">, when a liberalising wave swept the country and reverted virtually all previous nationalisations and the country entered into an institutional environment that should have been more favourable to competition. </w:t>
      </w:r>
      <w:r w:rsidR="005B640E" w:rsidRPr="00137589">
        <w:rPr>
          <w:noProof w:val="0"/>
        </w:rPr>
        <w:t>The results provided some surprises: a</w:t>
      </w:r>
      <w:r w:rsidRPr="00137589">
        <w:rPr>
          <w:noProof w:val="0"/>
        </w:rPr>
        <w:t xml:space="preserve">ccording to </w:t>
      </w:r>
      <w:r w:rsidR="00CB6F82" w:rsidRPr="00137589">
        <w:rPr>
          <w:noProof w:val="0"/>
        </w:rPr>
        <w:t>price</w:t>
      </w:r>
      <w:r w:rsidRPr="00137589">
        <w:rPr>
          <w:noProof w:val="0"/>
        </w:rPr>
        <w:t xml:space="preserve"> tests, the nature of competition did not change throughout the entire period, being of the monopolistic competition sort, despite the radical institutional changes. According to </w:t>
      </w:r>
      <w:r w:rsidR="00CB6F82" w:rsidRPr="00137589">
        <w:rPr>
          <w:noProof w:val="0"/>
        </w:rPr>
        <w:t>general competition tests</w:t>
      </w:r>
      <w:r w:rsidRPr="00137589">
        <w:rPr>
          <w:noProof w:val="0"/>
        </w:rPr>
        <w:t xml:space="preserve">, we can find signs of perfect competition in the 1960-1975 period, despite the heavily restrictive institutional setting, and signs of a colluding oligopoly after the 1980s, despite the increasingly liberalising framework. According to these tests, the commercial banking </w:t>
      </w:r>
      <w:r w:rsidR="005B640E" w:rsidRPr="00137589">
        <w:rPr>
          <w:noProof w:val="0"/>
        </w:rPr>
        <w:t xml:space="preserve">market </w:t>
      </w:r>
      <w:r w:rsidRPr="00137589">
        <w:rPr>
          <w:noProof w:val="0"/>
        </w:rPr>
        <w:t>presented stronger competitive signs during the period of integral State-ownership between 1975 and the mid-1980s than afterwards, when banks were privatised and the legislative setting aimed explicitly at promoting competition.</w:t>
      </w:r>
    </w:p>
    <w:p w:rsidR="00AD55EE" w:rsidRPr="00B61B29" w:rsidRDefault="00AD55EE" w:rsidP="00C111D4">
      <w:pPr>
        <w:spacing w:after="0" w:line="480" w:lineRule="auto"/>
        <w:ind w:firstLine="567"/>
        <w:jc w:val="both"/>
        <w:rPr>
          <w:b/>
          <w:noProof w:val="0"/>
        </w:rPr>
      </w:pPr>
      <w:r w:rsidRPr="00137589">
        <w:rPr>
          <w:noProof w:val="0"/>
        </w:rPr>
        <w:lastRenderedPageBreak/>
        <w:t>These results raise several questions over the real effect of each of the institutional frameworks despite their self-proclaimed purposes.</w:t>
      </w:r>
      <w:r w:rsidR="003362FA" w:rsidRPr="00137589">
        <w:rPr>
          <w:noProof w:val="0"/>
        </w:rPr>
        <w:t xml:space="preserve"> More studies are required to fully understand how this market functioned in each of the sub-periods.</w:t>
      </w:r>
    </w:p>
    <w:p w:rsidR="003942C1" w:rsidRDefault="003942C1">
      <w:pPr>
        <w:rPr>
          <w:noProof w:val="0"/>
        </w:rPr>
      </w:pPr>
      <w:r>
        <w:rPr>
          <w:noProof w:val="0"/>
        </w:rPr>
        <w:br w:type="page"/>
      </w:r>
    </w:p>
    <w:p w:rsidR="00D06A8F" w:rsidRDefault="00D06A8F" w:rsidP="00D06A8F">
      <w:pPr>
        <w:spacing w:after="0" w:line="480" w:lineRule="auto"/>
        <w:jc w:val="both"/>
      </w:pPr>
      <w:r>
        <w:lastRenderedPageBreak/>
        <w:t>Bibliography</w:t>
      </w:r>
    </w:p>
    <w:p w:rsidR="00D06A8F" w:rsidRPr="00137589" w:rsidRDefault="00D06A8F" w:rsidP="00D06A8F">
      <w:pPr>
        <w:spacing w:after="0" w:line="480" w:lineRule="auto"/>
        <w:ind w:left="567" w:hanging="567"/>
        <w:jc w:val="both"/>
        <w:rPr>
          <w:lang w:val="en-US"/>
        </w:rPr>
      </w:pPr>
      <w:r w:rsidRPr="00137589">
        <w:rPr>
          <w:lang w:val="en-US"/>
        </w:rPr>
        <w:t xml:space="preserve">AAVV (1994), </w:t>
      </w:r>
      <w:r w:rsidRPr="00137589">
        <w:rPr>
          <w:i/>
          <w:lang w:val="en-US"/>
        </w:rPr>
        <w:t>Handbook on the History of European Banks</w:t>
      </w:r>
      <w:r w:rsidRPr="00137589">
        <w:rPr>
          <w:lang w:val="en-US"/>
        </w:rPr>
        <w:t>, Aldershot, Edward Elgar.</w:t>
      </w:r>
    </w:p>
    <w:p w:rsidR="00361D4B" w:rsidRPr="00137589" w:rsidRDefault="00D06A8F" w:rsidP="00361D4B">
      <w:pPr>
        <w:spacing w:after="0" w:line="480" w:lineRule="auto"/>
        <w:ind w:left="567" w:hanging="567"/>
        <w:jc w:val="both"/>
        <w:rPr>
          <w:lang w:val="en-US"/>
        </w:rPr>
      </w:pPr>
      <w:r w:rsidRPr="00137589">
        <w:rPr>
          <w:lang w:val="en-US"/>
        </w:rPr>
        <w:t xml:space="preserve">Alexandre, Fernando and Pedro Bação (2012), “Portugal before and after the European Union: Facts on Nontradables”, </w:t>
      </w:r>
      <w:r w:rsidRPr="00137589">
        <w:rPr>
          <w:i/>
          <w:lang w:val="en-US"/>
        </w:rPr>
        <w:t>Núcleo de Investigação em Políticas Económicas Working Paper</w:t>
      </w:r>
      <w:r w:rsidR="00361D4B" w:rsidRPr="00137589">
        <w:rPr>
          <w:lang w:val="en-US"/>
        </w:rPr>
        <w:t xml:space="preserve"> nº 15.</w:t>
      </w:r>
    </w:p>
    <w:p w:rsidR="00361D4B" w:rsidRPr="00EB2354" w:rsidRDefault="00361D4B" w:rsidP="00361D4B">
      <w:pPr>
        <w:spacing w:after="0" w:line="480" w:lineRule="auto"/>
        <w:ind w:left="567" w:hanging="567"/>
        <w:jc w:val="both"/>
        <w:rPr>
          <w:lang w:val="pt-PT"/>
        </w:rPr>
      </w:pPr>
      <w:r w:rsidRPr="00EB2354">
        <w:rPr>
          <w:rFonts w:ascii="Calibri" w:eastAsia="Times New Roman" w:hAnsi="Calibri" w:cs="Times New Roman"/>
          <w:noProof w:val="0"/>
          <w:color w:val="000000"/>
          <w:lang w:val="pt-PT" w:eastAsia="en-GB"/>
        </w:rPr>
        <w:t xml:space="preserve">Alpalhão, Rui M. and Paulo Soares de Pinho (1990), </w:t>
      </w:r>
      <w:r w:rsidRPr="00EB2354">
        <w:rPr>
          <w:rFonts w:ascii="Calibri" w:eastAsia="Times New Roman" w:hAnsi="Calibri" w:cs="Times New Roman"/>
          <w:i/>
          <w:noProof w:val="0"/>
          <w:color w:val="000000"/>
          <w:lang w:val="pt-PT" w:eastAsia="en-GB"/>
        </w:rPr>
        <w:t>Análise Financeira das Instituições de Crédito Portuguesas</w:t>
      </w:r>
      <w:r w:rsidRPr="00EB2354">
        <w:rPr>
          <w:rFonts w:ascii="Calibri" w:eastAsia="Times New Roman" w:hAnsi="Calibri" w:cs="Times New Roman"/>
          <w:noProof w:val="0"/>
          <w:color w:val="000000"/>
          <w:lang w:val="pt-PT" w:eastAsia="en-GB"/>
        </w:rPr>
        <w:t>, Lisbon, Sociedade Financeira Portuguesa, Banco de Investimento, SA.</w:t>
      </w:r>
    </w:p>
    <w:p w:rsidR="00D06A8F" w:rsidRPr="00137589" w:rsidRDefault="00D06A8F" w:rsidP="00D06A8F">
      <w:pPr>
        <w:spacing w:after="0" w:line="480" w:lineRule="auto"/>
        <w:ind w:left="567" w:hanging="567"/>
        <w:jc w:val="both"/>
      </w:pPr>
      <w:r w:rsidRPr="00137589">
        <w:t xml:space="preserve">Amador, João and Ana Cristina Soares (2013), “Competition in the Portuguese Economy: Insights from a Profit Elasticity Approach”, in </w:t>
      </w:r>
      <w:r w:rsidRPr="00137589">
        <w:rPr>
          <w:i/>
        </w:rPr>
        <w:t>European Central Bank Working Paper</w:t>
      </w:r>
      <w:r w:rsidRPr="00137589">
        <w:t xml:space="preserve"> nº 1603, November.</w:t>
      </w:r>
    </w:p>
    <w:p w:rsidR="00D06A8F" w:rsidRPr="00137589" w:rsidRDefault="00D06A8F" w:rsidP="00D06A8F">
      <w:pPr>
        <w:spacing w:after="0" w:line="480" w:lineRule="auto"/>
        <w:ind w:left="567" w:hanging="567"/>
        <w:jc w:val="both"/>
        <w:rPr>
          <w:lang w:val="en-US"/>
        </w:rPr>
      </w:pPr>
      <w:r w:rsidRPr="00137589">
        <w:rPr>
          <w:lang w:val="en-US"/>
        </w:rPr>
        <w:t xml:space="preserve">Amaral, Luciano (2013), “Imperfect but True Competition: Innovation and Profitability in Portuguese Banking during the Golden Age (1950-1973)”, </w:t>
      </w:r>
      <w:r w:rsidRPr="00137589">
        <w:rPr>
          <w:i/>
          <w:lang w:val="en-US"/>
        </w:rPr>
        <w:t>Financial History Review,</w:t>
      </w:r>
      <w:r w:rsidRPr="00137589">
        <w:rPr>
          <w:lang w:val="en-US"/>
        </w:rPr>
        <w:t xml:space="preserve"> vol. 20, issue 3, December, 305-333.</w:t>
      </w:r>
    </w:p>
    <w:p w:rsidR="00D06A8F" w:rsidRPr="00137589" w:rsidRDefault="00D06A8F" w:rsidP="00D06A8F">
      <w:pPr>
        <w:spacing w:after="0" w:line="480" w:lineRule="auto"/>
        <w:ind w:left="567" w:hanging="567"/>
        <w:jc w:val="both"/>
        <w:rPr>
          <w:lang w:val="en-US"/>
        </w:rPr>
      </w:pPr>
      <w:r w:rsidRPr="00137589">
        <w:rPr>
          <w:i/>
          <w:lang w:val="en-US"/>
        </w:rPr>
        <w:t>Idem</w:t>
      </w:r>
      <w:r w:rsidRPr="00137589">
        <w:rPr>
          <w:lang w:val="en-US"/>
        </w:rPr>
        <w:t xml:space="preserve"> (2015a), “Measuring Competition in Portuguese Commercial Banking during the Golden Age (1960-1973)”, </w:t>
      </w:r>
      <w:r w:rsidRPr="00137589">
        <w:rPr>
          <w:i/>
          <w:lang w:val="en-US"/>
        </w:rPr>
        <w:t>Business History</w:t>
      </w:r>
      <w:r w:rsidRPr="00137589">
        <w:rPr>
          <w:lang w:val="en-US"/>
        </w:rPr>
        <w:t>, 57 (8), 1192-1218.</w:t>
      </w:r>
    </w:p>
    <w:p w:rsidR="00D06A8F" w:rsidRPr="00137589" w:rsidRDefault="00D06A8F" w:rsidP="00D06A8F">
      <w:pPr>
        <w:spacing w:after="0" w:line="480" w:lineRule="auto"/>
        <w:ind w:left="567" w:hanging="567"/>
        <w:jc w:val="both"/>
        <w:rPr>
          <w:lang w:val="pt-PT"/>
        </w:rPr>
      </w:pPr>
      <w:r w:rsidRPr="00137589">
        <w:rPr>
          <w:i/>
          <w:lang w:val="pt-PT"/>
        </w:rPr>
        <w:t>Idem</w:t>
      </w:r>
      <w:r w:rsidRPr="00137589">
        <w:rPr>
          <w:lang w:val="pt-PT"/>
        </w:rPr>
        <w:t xml:space="preserve"> (2015b), </w:t>
      </w:r>
      <w:r w:rsidRPr="00137589">
        <w:rPr>
          <w:i/>
          <w:lang w:val="pt-PT"/>
        </w:rPr>
        <w:t>Em Nome do Pai e do Filho…</w:t>
      </w:r>
      <w:r w:rsidRPr="00137589">
        <w:rPr>
          <w:lang w:val="pt-PT"/>
        </w:rPr>
        <w:t>, Lisbon, Publicações D. Quixote.</w:t>
      </w:r>
    </w:p>
    <w:p w:rsidR="00D06A8F" w:rsidRPr="00137589" w:rsidRDefault="00D06A8F" w:rsidP="00D06A8F">
      <w:pPr>
        <w:spacing w:line="360" w:lineRule="auto"/>
        <w:ind w:left="567" w:hanging="567"/>
        <w:jc w:val="both"/>
      </w:pPr>
      <w:r w:rsidRPr="00137589">
        <w:t xml:space="preserve">Anginer, Deniz, Asli Demirguc-Kunt and Min Zhu (2012), “How Does Bank Competition Affect Sytemic Stability?”, </w:t>
      </w:r>
      <w:r w:rsidRPr="00137589">
        <w:rPr>
          <w:i/>
        </w:rPr>
        <w:t>World Bank Policy Research Working Paper</w:t>
      </w:r>
      <w:r w:rsidRPr="00137589">
        <w:t>, nº 5981.</w:t>
      </w:r>
    </w:p>
    <w:p w:rsidR="00D06A8F" w:rsidRPr="00137589" w:rsidRDefault="00D06A8F" w:rsidP="00D06A8F">
      <w:pPr>
        <w:spacing w:line="360" w:lineRule="auto"/>
        <w:ind w:left="567" w:hanging="567"/>
        <w:jc w:val="both"/>
        <w:rPr>
          <w:lang w:val="pt-PT"/>
        </w:rPr>
      </w:pPr>
      <w:r w:rsidRPr="00137589">
        <w:rPr>
          <w:lang w:val="pt-PT"/>
        </w:rPr>
        <w:t>Associaçã</w:t>
      </w:r>
      <w:r w:rsidR="00361D4B" w:rsidRPr="00137589">
        <w:rPr>
          <w:lang w:val="pt-PT"/>
        </w:rPr>
        <w:t xml:space="preserve">o </w:t>
      </w:r>
      <w:r w:rsidR="00A20052" w:rsidRPr="00137589">
        <w:rPr>
          <w:lang w:val="pt-PT"/>
        </w:rPr>
        <w:t>Portuguesa de Banco</w:t>
      </w:r>
      <w:r w:rsidR="005C5395" w:rsidRPr="00137589">
        <w:rPr>
          <w:lang w:val="pt-PT"/>
        </w:rPr>
        <w:t>s</w:t>
      </w:r>
      <w:r w:rsidR="00A20052" w:rsidRPr="00137589">
        <w:rPr>
          <w:lang w:val="pt-PT"/>
        </w:rPr>
        <w:t xml:space="preserve"> a (1988-2010</w:t>
      </w:r>
      <w:r w:rsidRPr="00137589">
        <w:rPr>
          <w:lang w:val="pt-PT"/>
        </w:rPr>
        <w:t xml:space="preserve">), </w:t>
      </w:r>
      <w:r w:rsidRPr="00137589">
        <w:rPr>
          <w:i/>
          <w:lang w:val="pt-PT"/>
        </w:rPr>
        <w:t>Boletim Informativo</w:t>
      </w:r>
      <w:r w:rsidRPr="00137589">
        <w:rPr>
          <w:lang w:val="pt-PT"/>
        </w:rPr>
        <w:t>.</w:t>
      </w:r>
    </w:p>
    <w:p w:rsidR="00361D4B" w:rsidRPr="00137589" w:rsidRDefault="00361D4B" w:rsidP="00361D4B">
      <w:pPr>
        <w:spacing w:line="360" w:lineRule="auto"/>
        <w:ind w:left="567" w:hanging="567"/>
        <w:jc w:val="both"/>
        <w:rPr>
          <w:lang w:val="pt-PT"/>
        </w:rPr>
      </w:pPr>
      <w:r w:rsidRPr="00137589">
        <w:rPr>
          <w:lang w:val="pt-PT"/>
        </w:rPr>
        <w:t>Associação Portuguesa de Banco</w:t>
      </w:r>
      <w:r w:rsidR="005C5395" w:rsidRPr="00137589">
        <w:rPr>
          <w:lang w:val="pt-PT"/>
        </w:rPr>
        <w:t>s</w:t>
      </w:r>
      <w:r w:rsidRPr="00137589">
        <w:rPr>
          <w:lang w:val="pt-PT"/>
        </w:rPr>
        <w:t xml:space="preserve"> b (201</w:t>
      </w:r>
      <w:r w:rsidR="00A20052" w:rsidRPr="00137589">
        <w:rPr>
          <w:lang w:val="pt-PT"/>
        </w:rPr>
        <w:t>1</w:t>
      </w:r>
      <w:r w:rsidRPr="00137589">
        <w:rPr>
          <w:lang w:val="pt-PT"/>
        </w:rPr>
        <w:t xml:space="preserve">-2016), </w:t>
      </w:r>
      <w:r w:rsidRPr="00137589">
        <w:rPr>
          <w:i/>
          <w:lang w:val="pt-PT"/>
        </w:rPr>
        <w:t>Boletim Estatístico</w:t>
      </w:r>
      <w:r w:rsidRPr="00137589">
        <w:rPr>
          <w:lang w:val="pt-PT"/>
        </w:rPr>
        <w:t>.</w:t>
      </w:r>
    </w:p>
    <w:p w:rsidR="00D06A8F" w:rsidRPr="00137589" w:rsidRDefault="00D06A8F" w:rsidP="00D06A8F">
      <w:pPr>
        <w:spacing w:line="360" w:lineRule="auto"/>
        <w:ind w:left="567" w:hanging="567"/>
        <w:jc w:val="both"/>
        <w:rPr>
          <w:lang w:val="pt-PT"/>
        </w:rPr>
      </w:pPr>
      <w:r w:rsidRPr="00137589">
        <w:rPr>
          <w:lang w:val="pt-PT"/>
        </w:rPr>
        <w:t xml:space="preserve">Baklanoff, Eric N. (1996), “Breve experiência de socialismo em Portugal: o sector das empresas estatais”, in </w:t>
      </w:r>
      <w:r w:rsidRPr="00137589">
        <w:rPr>
          <w:i/>
          <w:lang w:val="pt-PT"/>
        </w:rPr>
        <w:t>Análise Social</w:t>
      </w:r>
      <w:r w:rsidRPr="00137589">
        <w:rPr>
          <w:lang w:val="pt-PT"/>
        </w:rPr>
        <w:t>, vol. XXXI (138).</w:t>
      </w:r>
    </w:p>
    <w:p w:rsidR="00D06A8F" w:rsidRPr="00137589" w:rsidRDefault="00D06A8F" w:rsidP="00D06A8F">
      <w:pPr>
        <w:spacing w:line="360" w:lineRule="auto"/>
        <w:ind w:left="567" w:hanging="567"/>
        <w:jc w:val="both"/>
        <w:rPr>
          <w:lang w:val="pt-PT"/>
        </w:rPr>
      </w:pPr>
      <w:r w:rsidRPr="00137589">
        <w:rPr>
          <w:lang w:val="pt-PT"/>
        </w:rPr>
        <w:t xml:space="preserve">Banco Activobank Portugal (2008-2015), </w:t>
      </w:r>
      <w:r w:rsidRPr="00137589">
        <w:rPr>
          <w:i/>
          <w:lang w:val="pt-PT"/>
        </w:rPr>
        <w:t>Relatório e Contas</w:t>
      </w:r>
      <w:r w:rsidRPr="00137589">
        <w:rPr>
          <w:lang w:val="pt-PT"/>
        </w:rPr>
        <w:t>, Lisbon, Banco Activobank Portugal.</w:t>
      </w:r>
    </w:p>
    <w:p w:rsidR="00D06A8F" w:rsidRPr="00137589" w:rsidRDefault="00D06A8F" w:rsidP="00D06A8F">
      <w:pPr>
        <w:spacing w:line="360" w:lineRule="auto"/>
        <w:ind w:left="567" w:hanging="567"/>
        <w:jc w:val="both"/>
        <w:rPr>
          <w:lang w:val="pt-PT"/>
        </w:rPr>
      </w:pPr>
      <w:r w:rsidRPr="00137589">
        <w:rPr>
          <w:lang w:val="pt-PT"/>
        </w:rPr>
        <w:t xml:space="preserve">Banco Agrícola e Industrial Visiense (1960-1976), </w:t>
      </w:r>
      <w:r w:rsidRPr="00137589">
        <w:rPr>
          <w:i/>
          <w:lang w:val="pt-PT"/>
        </w:rPr>
        <w:t>Relatório e Contas</w:t>
      </w:r>
      <w:r w:rsidRPr="00137589">
        <w:rPr>
          <w:lang w:val="pt-PT"/>
        </w:rPr>
        <w:t>, Viseu, Banco Agrícola e Industrial Visiense.</w:t>
      </w:r>
    </w:p>
    <w:p w:rsidR="00D06A8F" w:rsidRPr="00137589" w:rsidRDefault="00D06A8F" w:rsidP="00D06A8F">
      <w:pPr>
        <w:spacing w:line="360" w:lineRule="auto"/>
        <w:ind w:left="567" w:hanging="567"/>
        <w:jc w:val="both"/>
        <w:rPr>
          <w:lang w:val="pt-PT"/>
        </w:rPr>
      </w:pPr>
      <w:r w:rsidRPr="00137589">
        <w:rPr>
          <w:lang w:val="pt-PT"/>
        </w:rPr>
        <w:t xml:space="preserve">Banco Aliança (1960), </w:t>
      </w:r>
      <w:r w:rsidRPr="00137589">
        <w:rPr>
          <w:i/>
          <w:lang w:val="pt-PT"/>
        </w:rPr>
        <w:t>Relatório e Contas</w:t>
      </w:r>
      <w:r w:rsidRPr="00137589">
        <w:rPr>
          <w:lang w:val="pt-PT"/>
        </w:rPr>
        <w:t>, Porto, Banco Aliança.</w:t>
      </w:r>
    </w:p>
    <w:p w:rsidR="00D06A8F" w:rsidRPr="00137589" w:rsidRDefault="00D06A8F" w:rsidP="00D06A8F">
      <w:pPr>
        <w:spacing w:line="360" w:lineRule="auto"/>
        <w:ind w:left="567" w:hanging="567"/>
        <w:jc w:val="both"/>
        <w:rPr>
          <w:lang w:val="pt-PT"/>
        </w:rPr>
      </w:pPr>
      <w:r w:rsidRPr="00137589">
        <w:rPr>
          <w:lang w:val="pt-PT"/>
        </w:rPr>
        <w:t xml:space="preserve">Banco Barclays (1990-2001), </w:t>
      </w:r>
      <w:r w:rsidRPr="00137589">
        <w:rPr>
          <w:i/>
          <w:lang w:val="pt-PT"/>
        </w:rPr>
        <w:t>Relatório e Contas</w:t>
      </w:r>
      <w:r w:rsidRPr="00137589">
        <w:rPr>
          <w:lang w:val="pt-PT"/>
        </w:rPr>
        <w:t>, Lisbon, Banco Barclays.</w:t>
      </w:r>
    </w:p>
    <w:p w:rsidR="00D06A8F" w:rsidRPr="00137589" w:rsidRDefault="00D06A8F" w:rsidP="00D06A8F">
      <w:pPr>
        <w:spacing w:line="360" w:lineRule="auto"/>
        <w:ind w:left="567" w:hanging="567"/>
        <w:jc w:val="both"/>
        <w:rPr>
          <w:lang w:val="pt-PT"/>
        </w:rPr>
      </w:pPr>
      <w:r w:rsidRPr="00137589">
        <w:rPr>
          <w:lang w:val="pt-PT"/>
        </w:rPr>
        <w:lastRenderedPageBreak/>
        <w:t xml:space="preserve">Banco Bilbao Vizcaya e Argentaria (2000-2015), </w:t>
      </w:r>
      <w:r w:rsidRPr="00137589">
        <w:rPr>
          <w:i/>
          <w:lang w:val="pt-PT"/>
        </w:rPr>
        <w:t>Relatório e Contas</w:t>
      </w:r>
      <w:r w:rsidRPr="00137589">
        <w:rPr>
          <w:lang w:val="pt-PT"/>
        </w:rPr>
        <w:t>, Lisbon, Banco Bilbao Vizcaya e Argentaria.</w:t>
      </w:r>
    </w:p>
    <w:p w:rsidR="00D06A8F" w:rsidRPr="00137589" w:rsidRDefault="00D06A8F" w:rsidP="00D06A8F">
      <w:pPr>
        <w:spacing w:line="360" w:lineRule="auto"/>
        <w:ind w:left="567" w:hanging="567"/>
        <w:jc w:val="both"/>
        <w:rPr>
          <w:lang w:val="pt-PT"/>
        </w:rPr>
      </w:pPr>
      <w:r w:rsidRPr="00137589">
        <w:rPr>
          <w:lang w:val="pt-PT"/>
        </w:rPr>
        <w:t xml:space="preserve">Banco Borges &amp; Irmão (1960-1995), </w:t>
      </w:r>
      <w:r w:rsidRPr="00137589">
        <w:rPr>
          <w:i/>
          <w:lang w:val="pt-PT"/>
        </w:rPr>
        <w:t>Relatório e Contas</w:t>
      </w:r>
      <w:r w:rsidRPr="00137589">
        <w:rPr>
          <w:lang w:val="pt-PT"/>
        </w:rPr>
        <w:t>, Lisbon, Banco Borges &amp; Irmão.</w:t>
      </w:r>
    </w:p>
    <w:p w:rsidR="00D06A8F" w:rsidRPr="00137589" w:rsidRDefault="00D06A8F" w:rsidP="00D06A8F">
      <w:pPr>
        <w:spacing w:line="360" w:lineRule="auto"/>
        <w:ind w:left="567" w:hanging="567"/>
        <w:jc w:val="both"/>
        <w:rPr>
          <w:lang w:val="pt-PT"/>
        </w:rPr>
      </w:pPr>
      <w:r w:rsidRPr="00137589">
        <w:rPr>
          <w:lang w:val="pt-PT"/>
        </w:rPr>
        <w:t xml:space="preserve">Banco Burnay (1960-1966), </w:t>
      </w:r>
      <w:r w:rsidRPr="00137589">
        <w:rPr>
          <w:i/>
          <w:lang w:val="pt-PT"/>
        </w:rPr>
        <w:t>Relatório e Contas</w:t>
      </w:r>
      <w:r w:rsidRPr="00137589">
        <w:rPr>
          <w:lang w:val="pt-PT"/>
        </w:rPr>
        <w:t>, Lisbon, Banco Burnay.</w:t>
      </w:r>
    </w:p>
    <w:p w:rsidR="00D06A8F" w:rsidRPr="00137589" w:rsidRDefault="00D06A8F" w:rsidP="00D06A8F">
      <w:pPr>
        <w:spacing w:line="360" w:lineRule="auto"/>
        <w:ind w:left="567" w:hanging="567"/>
        <w:jc w:val="both"/>
        <w:rPr>
          <w:lang w:val="pt-PT"/>
        </w:rPr>
      </w:pPr>
      <w:r w:rsidRPr="00137589">
        <w:rPr>
          <w:lang w:val="pt-PT"/>
        </w:rPr>
        <w:t xml:space="preserve">Banco Carregosa (2008-2015), </w:t>
      </w:r>
      <w:r w:rsidRPr="00137589">
        <w:rPr>
          <w:i/>
          <w:lang w:val="pt-PT"/>
        </w:rPr>
        <w:t>Relatório e Contas</w:t>
      </w:r>
      <w:r w:rsidRPr="00137589">
        <w:rPr>
          <w:lang w:val="pt-PT"/>
        </w:rPr>
        <w:t>, Lisbon, Banco Carregosa.</w:t>
      </w:r>
    </w:p>
    <w:p w:rsidR="00D06A8F" w:rsidRPr="00137589" w:rsidRDefault="00D06A8F" w:rsidP="00D06A8F">
      <w:pPr>
        <w:spacing w:line="360" w:lineRule="auto"/>
        <w:ind w:left="567" w:hanging="567"/>
        <w:jc w:val="both"/>
        <w:rPr>
          <w:lang w:val="pt-PT"/>
        </w:rPr>
      </w:pPr>
      <w:r w:rsidRPr="00137589">
        <w:rPr>
          <w:lang w:val="pt-PT"/>
        </w:rPr>
        <w:t xml:space="preserve">Banco Chemical Portugal (1991-1998), </w:t>
      </w:r>
      <w:r w:rsidRPr="00137589">
        <w:rPr>
          <w:i/>
          <w:lang w:val="pt-PT"/>
        </w:rPr>
        <w:t>Relatório e Contas</w:t>
      </w:r>
      <w:r w:rsidRPr="00137589">
        <w:rPr>
          <w:lang w:val="pt-PT"/>
        </w:rPr>
        <w:t>, Lisbon, Banco Chemical Portugal.</w:t>
      </w:r>
    </w:p>
    <w:p w:rsidR="00D06A8F" w:rsidRPr="00137589" w:rsidRDefault="00D06A8F" w:rsidP="00D06A8F">
      <w:pPr>
        <w:spacing w:line="360" w:lineRule="auto"/>
        <w:ind w:left="567" w:hanging="567"/>
        <w:jc w:val="both"/>
        <w:rPr>
          <w:lang w:val="pt-PT"/>
        </w:rPr>
      </w:pPr>
      <w:r w:rsidRPr="00137589">
        <w:rPr>
          <w:lang w:val="pt-PT"/>
        </w:rPr>
        <w:t xml:space="preserve">Banco Cofidis (2011-2015), </w:t>
      </w:r>
      <w:r w:rsidRPr="00137589">
        <w:rPr>
          <w:i/>
          <w:lang w:val="pt-PT"/>
        </w:rPr>
        <w:t>Relatório e Contas</w:t>
      </w:r>
      <w:r w:rsidRPr="00137589">
        <w:rPr>
          <w:lang w:val="pt-PT"/>
        </w:rPr>
        <w:t>, Lisbon, Banco Cofidis.</w:t>
      </w:r>
    </w:p>
    <w:p w:rsidR="00D06A8F" w:rsidRPr="00137589" w:rsidRDefault="00D06A8F" w:rsidP="00D06A8F">
      <w:pPr>
        <w:spacing w:line="360" w:lineRule="auto"/>
        <w:ind w:left="567" w:hanging="567"/>
        <w:jc w:val="both"/>
        <w:rPr>
          <w:lang w:val="pt-PT"/>
        </w:rPr>
      </w:pPr>
      <w:r w:rsidRPr="00137589">
        <w:rPr>
          <w:lang w:val="pt-PT"/>
        </w:rPr>
        <w:t xml:space="preserve">Banco Comercial de Macau (1990-1994), </w:t>
      </w:r>
      <w:r w:rsidRPr="00137589">
        <w:rPr>
          <w:i/>
          <w:lang w:val="pt-PT"/>
        </w:rPr>
        <w:t>Relatório e Contas</w:t>
      </w:r>
      <w:r w:rsidRPr="00137589">
        <w:rPr>
          <w:lang w:val="pt-PT"/>
        </w:rPr>
        <w:t>, Lisbon, Banco Comercial de Macau.</w:t>
      </w:r>
    </w:p>
    <w:p w:rsidR="00D06A8F" w:rsidRPr="00137589" w:rsidRDefault="00D06A8F" w:rsidP="00D06A8F">
      <w:pPr>
        <w:spacing w:line="360" w:lineRule="auto"/>
        <w:ind w:left="567" w:hanging="567"/>
        <w:jc w:val="both"/>
        <w:rPr>
          <w:lang w:val="pt-PT"/>
        </w:rPr>
      </w:pPr>
      <w:r w:rsidRPr="00137589">
        <w:rPr>
          <w:lang w:val="pt-PT"/>
        </w:rPr>
        <w:t xml:space="preserve">Banco Comercial dos Açores (1979-2002), </w:t>
      </w:r>
      <w:r w:rsidRPr="00137589">
        <w:rPr>
          <w:i/>
          <w:lang w:val="pt-PT"/>
        </w:rPr>
        <w:t>Relatório e Contas</w:t>
      </w:r>
      <w:r w:rsidRPr="00137589">
        <w:rPr>
          <w:lang w:val="pt-PT"/>
        </w:rPr>
        <w:t>, Ponta Delgada, Banco Comercial dos Açores.</w:t>
      </w:r>
    </w:p>
    <w:p w:rsidR="00D06A8F" w:rsidRPr="00137589" w:rsidRDefault="00D06A8F" w:rsidP="00D06A8F">
      <w:pPr>
        <w:spacing w:line="360" w:lineRule="auto"/>
        <w:ind w:left="567" w:hanging="567"/>
        <w:jc w:val="both"/>
        <w:rPr>
          <w:lang w:val="pt-PT"/>
        </w:rPr>
      </w:pPr>
      <w:r w:rsidRPr="00137589">
        <w:rPr>
          <w:lang w:val="pt-PT"/>
        </w:rPr>
        <w:t xml:space="preserve">Banco Comercial Português (1986-2015), </w:t>
      </w:r>
      <w:r w:rsidRPr="00137589">
        <w:rPr>
          <w:i/>
          <w:lang w:val="pt-PT"/>
        </w:rPr>
        <w:t>Relatório e Contas</w:t>
      </w:r>
      <w:r w:rsidRPr="00137589">
        <w:rPr>
          <w:lang w:val="pt-PT"/>
        </w:rPr>
        <w:t>, Lisbon Banco Comercial Português.</w:t>
      </w:r>
    </w:p>
    <w:p w:rsidR="00D06A8F" w:rsidRPr="00137589" w:rsidRDefault="00D06A8F" w:rsidP="00D06A8F">
      <w:pPr>
        <w:spacing w:line="360" w:lineRule="auto"/>
        <w:ind w:left="567" w:hanging="567"/>
        <w:jc w:val="both"/>
        <w:rPr>
          <w:lang w:val="pt-PT"/>
        </w:rPr>
      </w:pPr>
      <w:r w:rsidRPr="00137589">
        <w:rPr>
          <w:lang w:val="pt-PT"/>
        </w:rPr>
        <w:t xml:space="preserve">Banco Comércio e Indústria (1986-1994), </w:t>
      </w:r>
      <w:r w:rsidRPr="00137589">
        <w:rPr>
          <w:i/>
          <w:lang w:val="pt-PT"/>
        </w:rPr>
        <w:t>Relatório e Contas</w:t>
      </w:r>
      <w:r w:rsidRPr="00137589">
        <w:rPr>
          <w:lang w:val="pt-PT"/>
        </w:rPr>
        <w:t>, Porto, Banco Comércio e Indústria.</w:t>
      </w:r>
    </w:p>
    <w:p w:rsidR="00D06A8F" w:rsidRPr="00137589" w:rsidRDefault="00D06A8F" w:rsidP="00D06A8F">
      <w:pPr>
        <w:spacing w:line="360" w:lineRule="auto"/>
        <w:ind w:left="567" w:hanging="567"/>
        <w:jc w:val="both"/>
        <w:rPr>
          <w:lang w:val="pt-PT"/>
        </w:rPr>
      </w:pPr>
      <w:r w:rsidRPr="00137589">
        <w:rPr>
          <w:lang w:val="pt-PT"/>
        </w:rPr>
        <w:t xml:space="preserve">Banco de Angola (1960-1976), </w:t>
      </w:r>
      <w:r w:rsidRPr="00137589">
        <w:rPr>
          <w:i/>
          <w:lang w:val="pt-PT"/>
        </w:rPr>
        <w:t>Relatório e Contas</w:t>
      </w:r>
      <w:r w:rsidRPr="00137589">
        <w:rPr>
          <w:lang w:val="pt-PT"/>
        </w:rPr>
        <w:t>, Luanda, Banco de Angola.</w:t>
      </w:r>
    </w:p>
    <w:p w:rsidR="00D06A8F" w:rsidRPr="00137589" w:rsidRDefault="00D06A8F" w:rsidP="00D06A8F">
      <w:pPr>
        <w:spacing w:line="360" w:lineRule="auto"/>
        <w:ind w:left="567" w:hanging="567"/>
        <w:jc w:val="both"/>
        <w:rPr>
          <w:lang w:val="pt-PT"/>
        </w:rPr>
      </w:pPr>
      <w:r w:rsidRPr="00137589">
        <w:rPr>
          <w:lang w:val="pt-PT"/>
        </w:rPr>
        <w:t xml:space="preserve">Banco da Agricultura (1960-1977), </w:t>
      </w:r>
      <w:r w:rsidRPr="00137589">
        <w:rPr>
          <w:i/>
          <w:lang w:val="pt-PT"/>
        </w:rPr>
        <w:t>Relatório e Contas</w:t>
      </w:r>
      <w:r w:rsidRPr="00137589">
        <w:rPr>
          <w:lang w:val="pt-PT"/>
        </w:rPr>
        <w:t>, Lisbon, Banco da Agricultura.</w:t>
      </w:r>
    </w:p>
    <w:p w:rsidR="00D06A8F" w:rsidRPr="00137589" w:rsidRDefault="00D06A8F" w:rsidP="00D06A8F">
      <w:pPr>
        <w:spacing w:line="360" w:lineRule="auto"/>
        <w:ind w:left="567" w:hanging="567"/>
        <w:jc w:val="both"/>
        <w:rPr>
          <w:lang w:val="pt-PT"/>
        </w:rPr>
      </w:pPr>
      <w:r w:rsidRPr="00137589">
        <w:rPr>
          <w:lang w:val="pt-PT"/>
        </w:rPr>
        <w:t xml:space="preserve">Banco da Madeira (1960-1965), </w:t>
      </w:r>
      <w:r w:rsidRPr="00137589">
        <w:rPr>
          <w:i/>
          <w:lang w:val="pt-PT"/>
        </w:rPr>
        <w:t>Relatório e Contas</w:t>
      </w:r>
      <w:r w:rsidRPr="00137589">
        <w:rPr>
          <w:lang w:val="pt-PT"/>
        </w:rPr>
        <w:t>, Funchal, Banco da Madeira.</w:t>
      </w:r>
    </w:p>
    <w:p w:rsidR="00D06A8F" w:rsidRPr="00137589" w:rsidRDefault="00D06A8F" w:rsidP="00D06A8F">
      <w:pPr>
        <w:spacing w:line="360" w:lineRule="auto"/>
        <w:ind w:left="567" w:hanging="567"/>
        <w:jc w:val="both"/>
        <w:rPr>
          <w:lang w:val="pt-PT"/>
        </w:rPr>
      </w:pPr>
      <w:r w:rsidRPr="00137589">
        <w:rPr>
          <w:lang w:val="pt-PT"/>
        </w:rPr>
        <w:t xml:space="preserve">Banco do Alentejo (1960-1976), </w:t>
      </w:r>
      <w:r w:rsidRPr="00137589">
        <w:rPr>
          <w:i/>
          <w:lang w:val="pt-PT"/>
        </w:rPr>
        <w:t>Relatório e Contas</w:t>
      </w:r>
      <w:r w:rsidRPr="00137589">
        <w:rPr>
          <w:lang w:val="pt-PT"/>
        </w:rPr>
        <w:t>, Lisbon, Banco do Alentejo.</w:t>
      </w:r>
    </w:p>
    <w:p w:rsidR="00D06A8F" w:rsidRPr="00137589" w:rsidRDefault="00D06A8F" w:rsidP="00D06A8F">
      <w:pPr>
        <w:spacing w:line="360" w:lineRule="auto"/>
        <w:ind w:left="567" w:hanging="567"/>
        <w:jc w:val="both"/>
        <w:rPr>
          <w:lang w:val="pt-PT"/>
        </w:rPr>
      </w:pPr>
      <w:r w:rsidRPr="00137589">
        <w:rPr>
          <w:lang w:val="pt-PT"/>
        </w:rPr>
        <w:t xml:space="preserve">Banco do Algarve (1960-1976), </w:t>
      </w:r>
      <w:r w:rsidRPr="00137589">
        <w:rPr>
          <w:i/>
          <w:lang w:val="pt-PT"/>
        </w:rPr>
        <w:t>Relatório e Contas</w:t>
      </w:r>
      <w:r w:rsidRPr="00137589">
        <w:rPr>
          <w:lang w:val="pt-PT"/>
        </w:rPr>
        <w:t>, Faro, Banco do Algarve.</w:t>
      </w:r>
    </w:p>
    <w:p w:rsidR="00D06A8F" w:rsidRPr="00137589" w:rsidRDefault="00D06A8F" w:rsidP="00D06A8F">
      <w:pPr>
        <w:spacing w:line="360" w:lineRule="auto"/>
        <w:ind w:left="567" w:hanging="567"/>
        <w:jc w:val="both"/>
        <w:rPr>
          <w:lang w:val="pt-PT"/>
        </w:rPr>
      </w:pPr>
      <w:r w:rsidRPr="00137589">
        <w:rPr>
          <w:lang w:val="pt-PT"/>
        </w:rPr>
        <w:t xml:space="preserve">Banco do Brasil (1988-2008), </w:t>
      </w:r>
      <w:r w:rsidRPr="00137589">
        <w:rPr>
          <w:i/>
          <w:lang w:val="pt-PT"/>
        </w:rPr>
        <w:t>Relatório e Contas</w:t>
      </w:r>
      <w:r w:rsidRPr="00137589">
        <w:rPr>
          <w:lang w:val="pt-PT"/>
        </w:rPr>
        <w:t>, Lisbon, Banco do Brasil.</w:t>
      </w:r>
    </w:p>
    <w:p w:rsidR="00D06A8F" w:rsidRPr="00137589" w:rsidRDefault="00D06A8F" w:rsidP="00D06A8F">
      <w:pPr>
        <w:spacing w:line="360" w:lineRule="auto"/>
        <w:ind w:left="567" w:hanging="567"/>
        <w:jc w:val="both"/>
        <w:rPr>
          <w:lang w:val="pt-PT"/>
        </w:rPr>
      </w:pPr>
      <w:r w:rsidRPr="00137589">
        <w:rPr>
          <w:lang w:val="pt-PT"/>
        </w:rPr>
        <w:t xml:space="preserve">Banco Electrónico de Serviço Total (2006-2015), </w:t>
      </w:r>
      <w:r w:rsidRPr="00137589">
        <w:rPr>
          <w:i/>
          <w:lang w:val="pt-PT"/>
        </w:rPr>
        <w:t>Relatório e Contas</w:t>
      </w:r>
      <w:r w:rsidRPr="00137589">
        <w:rPr>
          <w:lang w:val="pt-PT"/>
        </w:rPr>
        <w:t>, Lisbon, Banco Electrónico de Serviço Total.</w:t>
      </w:r>
    </w:p>
    <w:p w:rsidR="00D06A8F" w:rsidRPr="00137589" w:rsidRDefault="00D06A8F" w:rsidP="00D06A8F">
      <w:pPr>
        <w:spacing w:line="360" w:lineRule="auto"/>
        <w:ind w:left="567" w:hanging="567"/>
        <w:jc w:val="both"/>
        <w:rPr>
          <w:lang w:val="pt-PT"/>
        </w:rPr>
      </w:pPr>
      <w:r w:rsidRPr="00137589">
        <w:rPr>
          <w:lang w:val="pt-PT"/>
        </w:rPr>
        <w:t xml:space="preserve">Banco Espírito Santo &amp; Comercial de Lisboa (1960-2014), </w:t>
      </w:r>
      <w:r w:rsidRPr="00137589">
        <w:rPr>
          <w:i/>
          <w:lang w:val="pt-PT"/>
        </w:rPr>
        <w:t>Relatório e Contas</w:t>
      </w:r>
      <w:r w:rsidRPr="00137589">
        <w:rPr>
          <w:lang w:val="pt-PT"/>
        </w:rPr>
        <w:t>, Lisbon, Banco Espírito Santo &amp; Comercial de Lisboa.</w:t>
      </w:r>
    </w:p>
    <w:p w:rsidR="00D06A8F" w:rsidRPr="00137589" w:rsidRDefault="00D06A8F" w:rsidP="00D06A8F">
      <w:pPr>
        <w:spacing w:line="360" w:lineRule="auto"/>
        <w:ind w:left="567" w:hanging="567"/>
        <w:jc w:val="both"/>
        <w:rPr>
          <w:lang w:val="pt-PT"/>
        </w:rPr>
      </w:pPr>
      <w:r w:rsidRPr="00137589">
        <w:rPr>
          <w:lang w:val="pt-PT"/>
        </w:rPr>
        <w:t xml:space="preserve">Banco Expresso Atlântico (1997-2000), </w:t>
      </w:r>
      <w:r w:rsidRPr="00137589">
        <w:rPr>
          <w:i/>
          <w:lang w:val="pt-PT"/>
        </w:rPr>
        <w:t>Relatório e Contas</w:t>
      </w:r>
      <w:r w:rsidRPr="00137589">
        <w:rPr>
          <w:lang w:val="pt-PT"/>
        </w:rPr>
        <w:t>, Lisbon, Banco Expresso Atlântico.</w:t>
      </w:r>
    </w:p>
    <w:p w:rsidR="00D06A8F" w:rsidRPr="00137589" w:rsidRDefault="00D06A8F" w:rsidP="00D06A8F">
      <w:pPr>
        <w:spacing w:line="360" w:lineRule="auto"/>
        <w:ind w:left="567" w:hanging="567"/>
        <w:jc w:val="both"/>
        <w:rPr>
          <w:lang w:val="pt-PT"/>
        </w:rPr>
      </w:pPr>
      <w:r w:rsidRPr="00137589">
        <w:rPr>
          <w:lang w:val="pt-PT"/>
        </w:rPr>
        <w:t xml:space="preserve">Banco Fernandes de Magalhães (1960-1976), </w:t>
      </w:r>
      <w:r w:rsidRPr="00137589">
        <w:rPr>
          <w:i/>
          <w:lang w:val="pt-PT"/>
        </w:rPr>
        <w:t>Relatório e Contas</w:t>
      </w:r>
      <w:r w:rsidRPr="00137589">
        <w:rPr>
          <w:lang w:val="pt-PT"/>
        </w:rPr>
        <w:t>, Porto, Banco Fernandes de Magalhães.</w:t>
      </w:r>
    </w:p>
    <w:p w:rsidR="00D06A8F" w:rsidRPr="00137589" w:rsidRDefault="00D06A8F" w:rsidP="00D06A8F">
      <w:pPr>
        <w:spacing w:line="360" w:lineRule="auto"/>
        <w:ind w:left="567" w:hanging="567"/>
        <w:jc w:val="both"/>
        <w:rPr>
          <w:lang w:val="pt-PT"/>
        </w:rPr>
      </w:pPr>
      <w:r w:rsidRPr="00137589">
        <w:rPr>
          <w:lang w:val="pt-PT"/>
        </w:rPr>
        <w:lastRenderedPageBreak/>
        <w:t xml:space="preserve">Banco Ferreira Alves &amp; Pinto Leite (1960-1963), </w:t>
      </w:r>
      <w:r w:rsidRPr="00137589">
        <w:rPr>
          <w:i/>
          <w:lang w:val="pt-PT"/>
        </w:rPr>
        <w:t>Relatório e Contas</w:t>
      </w:r>
      <w:r w:rsidRPr="00137589">
        <w:rPr>
          <w:lang w:val="pt-PT"/>
        </w:rPr>
        <w:t>, Porto, Banco Ferreira Alves &amp; Pinto Leite.</w:t>
      </w:r>
    </w:p>
    <w:p w:rsidR="00D06A8F" w:rsidRPr="00137589" w:rsidRDefault="00D06A8F" w:rsidP="00D06A8F">
      <w:pPr>
        <w:spacing w:line="360" w:lineRule="auto"/>
        <w:ind w:left="567" w:hanging="567"/>
        <w:jc w:val="both"/>
        <w:rPr>
          <w:lang w:val="pt-PT"/>
        </w:rPr>
      </w:pPr>
      <w:r w:rsidRPr="00137589">
        <w:rPr>
          <w:lang w:val="pt-PT"/>
        </w:rPr>
        <w:t xml:space="preserve">Banco Finantia (1993-2015), </w:t>
      </w:r>
      <w:r w:rsidRPr="00137589">
        <w:rPr>
          <w:i/>
          <w:lang w:val="pt-PT"/>
        </w:rPr>
        <w:t>Relatório e Contas</w:t>
      </w:r>
      <w:r w:rsidRPr="00137589">
        <w:rPr>
          <w:lang w:val="pt-PT"/>
        </w:rPr>
        <w:t>, Lisbon, Banco Finantia.</w:t>
      </w:r>
    </w:p>
    <w:p w:rsidR="00D06A8F" w:rsidRPr="00137589" w:rsidRDefault="00D06A8F" w:rsidP="00D06A8F">
      <w:pPr>
        <w:spacing w:line="360" w:lineRule="auto"/>
        <w:ind w:left="567" w:hanging="567"/>
        <w:jc w:val="both"/>
        <w:rPr>
          <w:lang w:val="pt-PT"/>
        </w:rPr>
      </w:pPr>
      <w:r w:rsidRPr="00137589">
        <w:rPr>
          <w:lang w:val="pt-PT"/>
        </w:rPr>
        <w:t xml:space="preserve">Banco de Fomento e Exterior (1975-1995), </w:t>
      </w:r>
      <w:r w:rsidRPr="00137589">
        <w:rPr>
          <w:i/>
          <w:lang w:val="pt-PT"/>
        </w:rPr>
        <w:t>Relatório e Contas</w:t>
      </w:r>
      <w:r w:rsidRPr="00137589">
        <w:rPr>
          <w:lang w:val="pt-PT"/>
        </w:rPr>
        <w:t>, Lisbon, Banco de Fomento e Exterior.</w:t>
      </w:r>
    </w:p>
    <w:p w:rsidR="00D06A8F" w:rsidRPr="00137589" w:rsidRDefault="00D06A8F" w:rsidP="00D06A8F">
      <w:pPr>
        <w:spacing w:line="360" w:lineRule="auto"/>
        <w:ind w:left="567" w:hanging="567"/>
        <w:jc w:val="both"/>
        <w:rPr>
          <w:lang w:val="pt-PT"/>
        </w:rPr>
      </w:pPr>
      <w:r w:rsidRPr="00137589">
        <w:rPr>
          <w:lang w:val="pt-PT"/>
        </w:rPr>
        <w:t xml:space="preserve">Banco Fonsecas, Santos &amp; Viana (1960-1967), </w:t>
      </w:r>
      <w:r w:rsidRPr="00137589">
        <w:rPr>
          <w:i/>
          <w:lang w:val="pt-PT"/>
        </w:rPr>
        <w:t>Relatório e Contas</w:t>
      </w:r>
      <w:r w:rsidRPr="00137589">
        <w:rPr>
          <w:lang w:val="pt-PT"/>
        </w:rPr>
        <w:t>, Lisbon, Banco Fonsecas, Santos &amp; Viana.</w:t>
      </w:r>
    </w:p>
    <w:p w:rsidR="00D06A8F" w:rsidRPr="00137589" w:rsidRDefault="00D06A8F" w:rsidP="00D06A8F">
      <w:pPr>
        <w:spacing w:line="360" w:lineRule="auto"/>
        <w:ind w:left="567" w:hanging="567"/>
        <w:jc w:val="both"/>
        <w:rPr>
          <w:lang w:val="pt-PT"/>
        </w:rPr>
      </w:pPr>
      <w:r w:rsidRPr="00137589">
        <w:rPr>
          <w:lang w:val="pt-PT"/>
        </w:rPr>
        <w:t xml:space="preserve">Banco Fonsecas &amp; Burnay (1968-1994), </w:t>
      </w:r>
      <w:r w:rsidRPr="00137589">
        <w:rPr>
          <w:i/>
          <w:lang w:val="pt-PT"/>
        </w:rPr>
        <w:t>Relatório e Contas</w:t>
      </w:r>
      <w:r w:rsidRPr="00137589">
        <w:rPr>
          <w:lang w:val="pt-PT"/>
        </w:rPr>
        <w:t>. Lisbon: Banco Fonsecas &amp; Burnay.</w:t>
      </w:r>
    </w:p>
    <w:p w:rsidR="00D06A8F" w:rsidRPr="00137589" w:rsidRDefault="00D06A8F" w:rsidP="00D06A8F">
      <w:pPr>
        <w:spacing w:line="360" w:lineRule="auto"/>
        <w:ind w:left="567" w:hanging="567"/>
        <w:jc w:val="both"/>
        <w:rPr>
          <w:lang w:val="pt-PT"/>
        </w:rPr>
      </w:pPr>
      <w:r w:rsidRPr="00137589">
        <w:rPr>
          <w:lang w:val="pt-PT"/>
        </w:rPr>
        <w:t xml:space="preserve">Banco Internacional de Crédito (1986-2015), </w:t>
      </w:r>
      <w:r w:rsidRPr="00137589">
        <w:rPr>
          <w:i/>
          <w:lang w:val="pt-PT"/>
        </w:rPr>
        <w:t>Relatório e Contas</w:t>
      </w:r>
      <w:r w:rsidRPr="00137589">
        <w:rPr>
          <w:lang w:val="pt-PT"/>
        </w:rPr>
        <w:t>, Lisbon, Banco Internacional de Crédito.</w:t>
      </w:r>
    </w:p>
    <w:p w:rsidR="00D06A8F" w:rsidRPr="00137589" w:rsidRDefault="00D06A8F" w:rsidP="00D06A8F">
      <w:pPr>
        <w:spacing w:line="360" w:lineRule="auto"/>
        <w:ind w:left="567" w:hanging="567"/>
        <w:jc w:val="both"/>
        <w:rPr>
          <w:lang w:val="pt-PT"/>
        </w:rPr>
      </w:pPr>
      <w:r w:rsidRPr="00137589">
        <w:rPr>
          <w:lang w:val="pt-PT"/>
        </w:rPr>
        <w:t xml:space="preserve">Banco Intercontinental Português (1972-1974), </w:t>
      </w:r>
      <w:r w:rsidRPr="00137589">
        <w:rPr>
          <w:i/>
          <w:lang w:val="pt-PT"/>
        </w:rPr>
        <w:t>Relatório e Contas</w:t>
      </w:r>
      <w:r w:rsidRPr="00137589">
        <w:rPr>
          <w:lang w:val="pt-PT"/>
        </w:rPr>
        <w:t>, Lisbon, Banco Intercontinental Português.</w:t>
      </w:r>
    </w:p>
    <w:p w:rsidR="00D06A8F" w:rsidRPr="00137589" w:rsidRDefault="00D06A8F" w:rsidP="00D06A8F">
      <w:pPr>
        <w:spacing w:line="360" w:lineRule="auto"/>
        <w:ind w:left="567" w:hanging="567"/>
        <w:jc w:val="both"/>
        <w:rPr>
          <w:lang w:val="pt-PT"/>
        </w:rPr>
      </w:pPr>
      <w:r w:rsidRPr="00137589">
        <w:rPr>
          <w:lang w:val="pt-PT"/>
        </w:rPr>
        <w:t xml:space="preserve">Banco Internacional do Funchal (1988-2014), </w:t>
      </w:r>
      <w:r w:rsidRPr="00137589">
        <w:rPr>
          <w:i/>
          <w:lang w:val="pt-PT"/>
        </w:rPr>
        <w:t>Relatório e Contas</w:t>
      </w:r>
      <w:r w:rsidRPr="00137589">
        <w:rPr>
          <w:lang w:val="pt-PT"/>
        </w:rPr>
        <w:t>, Funchal, Banco Internacional do Funchal.</w:t>
      </w:r>
    </w:p>
    <w:p w:rsidR="00D06A8F" w:rsidRPr="00137589" w:rsidRDefault="00D06A8F" w:rsidP="00D06A8F">
      <w:pPr>
        <w:spacing w:line="360" w:lineRule="auto"/>
        <w:ind w:left="567" w:hanging="567"/>
        <w:jc w:val="both"/>
        <w:rPr>
          <w:lang w:val="pt-PT"/>
        </w:rPr>
      </w:pPr>
      <w:r w:rsidRPr="00137589">
        <w:rPr>
          <w:lang w:val="pt-PT"/>
        </w:rPr>
        <w:t xml:space="preserve">Banco Invest (2007-2015), </w:t>
      </w:r>
      <w:r w:rsidRPr="00137589">
        <w:rPr>
          <w:i/>
          <w:lang w:val="pt-PT"/>
        </w:rPr>
        <w:t>Relatório e Contas</w:t>
      </w:r>
      <w:r w:rsidRPr="00137589">
        <w:rPr>
          <w:lang w:val="pt-PT"/>
        </w:rPr>
        <w:t>, Lisbon, Banco Invest.</w:t>
      </w:r>
    </w:p>
    <w:p w:rsidR="00D06A8F" w:rsidRPr="00137589" w:rsidRDefault="00D06A8F" w:rsidP="00D06A8F">
      <w:pPr>
        <w:spacing w:line="360" w:lineRule="auto"/>
        <w:ind w:left="567" w:hanging="567"/>
        <w:jc w:val="both"/>
        <w:rPr>
          <w:lang w:val="pt-PT"/>
        </w:rPr>
      </w:pPr>
      <w:r w:rsidRPr="00137589">
        <w:rPr>
          <w:lang w:val="pt-PT"/>
        </w:rPr>
        <w:t xml:space="preserve">Banco Itaú (1994-2015), </w:t>
      </w:r>
      <w:r w:rsidRPr="00137589">
        <w:rPr>
          <w:i/>
          <w:lang w:val="pt-PT"/>
        </w:rPr>
        <w:t>Relatório e Contas</w:t>
      </w:r>
      <w:r w:rsidRPr="00137589">
        <w:rPr>
          <w:lang w:val="pt-PT"/>
        </w:rPr>
        <w:t>, Lisbon, Banco Itaú.</w:t>
      </w:r>
    </w:p>
    <w:p w:rsidR="00D06A8F" w:rsidRPr="00137589" w:rsidRDefault="00D06A8F" w:rsidP="00D06A8F">
      <w:pPr>
        <w:spacing w:line="360" w:lineRule="auto"/>
        <w:ind w:left="567" w:hanging="567"/>
        <w:jc w:val="both"/>
        <w:rPr>
          <w:lang w:val="pt-PT"/>
        </w:rPr>
      </w:pPr>
      <w:r w:rsidRPr="00137589">
        <w:rPr>
          <w:lang w:val="pt-PT"/>
        </w:rPr>
        <w:t xml:space="preserve">Banco José Henriques Totta (1960), </w:t>
      </w:r>
      <w:r w:rsidRPr="00137589">
        <w:rPr>
          <w:i/>
          <w:lang w:val="pt-PT"/>
        </w:rPr>
        <w:t>Relatório e Contas</w:t>
      </w:r>
      <w:r w:rsidRPr="00137589">
        <w:rPr>
          <w:lang w:val="pt-PT"/>
        </w:rPr>
        <w:t>, Lisbon, Banco José Henriques Totta.</w:t>
      </w:r>
    </w:p>
    <w:p w:rsidR="00D06A8F" w:rsidRPr="00137589" w:rsidRDefault="00D06A8F" w:rsidP="00D06A8F">
      <w:pPr>
        <w:spacing w:line="360" w:lineRule="auto"/>
        <w:ind w:left="567" w:hanging="567"/>
        <w:jc w:val="both"/>
        <w:rPr>
          <w:lang w:val="pt-PT"/>
        </w:rPr>
      </w:pPr>
      <w:r w:rsidRPr="00137589">
        <w:rPr>
          <w:lang w:val="pt-PT"/>
        </w:rPr>
        <w:t xml:space="preserve">Banco Lisboa &amp; Açores (1960-1969), </w:t>
      </w:r>
      <w:r w:rsidRPr="00137589">
        <w:rPr>
          <w:i/>
          <w:lang w:val="pt-PT"/>
        </w:rPr>
        <w:t>Relatório e Contas</w:t>
      </w:r>
      <w:r w:rsidRPr="00137589">
        <w:rPr>
          <w:lang w:val="pt-PT"/>
        </w:rPr>
        <w:t>, Lisbon, Banco Lisboa &amp; Açores.</w:t>
      </w:r>
    </w:p>
    <w:p w:rsidR="00D06A8F" w:rsidRPr="00137589" w:rsidRDefault="00D06A8F" w:rsidP="00D06A8F">
      <w:pPr>
        <w:spacing w:line="360" w:lineRule="auto"/>
        <w:ind w:left="567" w:hanging="567"/>
        <w:jc w:val="both"/>
        <w:rPr>
          <w:lang w:val="pt-PT"/>
        </w:rPr>
      </w:pPr>
      <w:r w:rsidRPr="00137589">
        <w:rPr>
          <w:lang w:val="pt-PT"/>
        </w:rPr>
        <w:t xml:space="preserve">Banco Mais (2001-2009), </w:t>
      </w:r>
      <w:r w:rsidRPr="00137589">
        <w:rPr>
          <w:i/>
          <w:lang w:val="pt-PT"/>
        </w:rPr>
        <w:t>Relatório e Contas</w:t>
      </w:r>
      <w:r w:rsidRPr="00137589">
        <w:rPr>
          <w:lang w:val="pt-PT"/>
        </w:rPr>
        <w:t>, Lisbon, Banco Mais.</w:t>
      </w:r>
    </w:p>
    <w:p w:rsidR="00D06A8F" w:rsidRPr="00137589" w:rsidRDefault="00D06A8F" w:rsidP="00D06A8F">
      <w:pPr>
        <w:spacing w:line="360" w:lineRule="auto"/>
        <w:ind w:left="567" w:hanging="567"/>
        <w:jc w:val="both"/>
        <w:rPr>
          <w:lang w:val="pt-PT"/>
        </w:rPr>
      </w:pPr>
      <w:r w:rsidRPr="00137589">
        <w:rPr>
          <w:lang w:val="pt-PT"/>
        </w:rPr>
        <w:t xml:space="preserve">Banco Manufacturers Hanover Portugal (1984-1992), </w:t>
      </w:r>
      <w:r w:rsidRPr="00137589">
        <w:rPr>
          <w:i/>
          <w:lang w:val="pt-PT"/>
        </w:rPr>
        <w:t>Relatório e Contas</w:t>
      </w:r>
      <w:r w:rsidRPr="00137589">
        <w:rPr>
          <w:lang w:val="pt-PT"/>
        </w:rPr>
        <w:t>, Lisbon, Banco Manufacturers Hanover Portugal.</w:t>
      </w:r>
    </w:p>
    <w:p w:rsidR="00D06A8F" w:rsidRPr="00137589" w:rsidRDefault="00D06A8F" w:rsidP="00D06A8F">
      <w:pPr>
        <w:spacing w:line="360" w:lineRule="auto"/>
        <w:ind w:left="567" w:hanging="567"/>
        <w:jc w:val="both"/>
        <w:rPr>
          <w:lang w:val="pt-PT"/>
        </w:rPr>
      </w:pPr>
      <w:r w:rsidRPr="00137589">
        <w:rPr>
          <w:lang w:val="pt-PT"/>
        </w:rPr>
        <w:t xml:space="preserve">Banco Mello (1991-1998), </w:t>
      </w:r>
      <w:r w:rsidRPr="00137589">
        <w:rPr>
          <w:i/>
          <w:lang w:val="pt-PT"/>
        </w:rPr>
        <w:t>Relatório e Contas</w:t>
      </w:r>
      <w:r w:rsidRPr="00137589">
        <w:rPr>
          <w:lang w:val="pt-PT"/>
        </w:rPr>
        <w:t>, Lisbon, Banco Mello.</w:t>
      </w:r>
    </w:p>
    <w:p w:rsidR="00D06A8F" w:rsidRPr="00137589" w:rsidRDefault="00D06A8F" w:rsidP="00D06A8F">
      <w:pPr>
        <w:spacing w:line="360" w:lineRule="auto"/>
        <w:ind w:left="567" w:hanging="567"/>
        <w:jc w:val="both"/>
        <w:rPr>
          <w:lang w:val="pt-PT"/>
        </w:rPr>
      </w:pPr>
      <w:r w:rsidRPr="00137589">
        <w:rPr>
          <w:lang w:val="pt-PT"/>
        </w:rPr>
        <w:t xml:space="preserve">Banco Micaelense (1960-1978), </w:t>
      </w:r>
      <w:r w:rsidRPr="00137589">
        <w:rPr>
          <w:i/>
          <w:lang w:val="pt-PT"/>
        </w:rPr>
        <w:t>Relatório e Contas</w:t>
      </w:r>
      <w:r w:rsidRPr="00137589">
        <w:rPr>
          <w:lang w:val="pt-PT"/>
        </w:rPr>
        <w:t>, Ponta Delgada, Banco Micaelense.</w:t>
      </w:r>
    </w:p>
    <w:p w:rsidR="00D06A8F" w:rsidRPr="00137589" w:rsidRDefault="00D06A8F" w:rsidP="00D06A8F">
      <w:pPr>
        <w:spacing w:line="360" w:lineRule="auto"/>
        <w:ind w:left="567" w:hanging="567"/>
        <w:jc w:val="both"/>
        <w:rPr>
          <w:lang w:val="pt-PT"/>
        </w:rPr>
      </w:pPr>
      <w:r w:rsidRPr="00137589">
        <w:rPr>
          <w:lang w:val="pt-PT"/>
        </w:rPr>
        <w:t xml:space="preserve">Banco Nacional de Crédito Imobiliário (1992-2004), </w:t>
      </w:r>
      <w:r w:rsidRPr="00137589">
        <w:rPr>
          <w:i/>
          <w:lang w:val="pt-PT"/>
        </w:rPr>
        <w:t>Relatório e Contas</w:t>
      </w:r>
      <w:r w:rsidRPr="00137589">
        <w:rPr>
          <w:lang w:val="pt-PT"/>
        </w:rPr>
        <w:t>, Lisbon, Banco Nacional de Crédito Imobiliário.</w:t>
      </w:r>
    </w:p>
    <w:p w:rsidR="00D06A8F" w:rsidRPr="00137589" w:rsidRDefault="00D06A8F" w:rsidP="00D06A8F">
      <w:pPr>
        <w:spacing w:line="360" w:lineRule="auto"/>
        <w:ind w:left="567" w:hanging="567"/>
        <w:jc w:val="both"/>
        <w:rPr>
          <w:lang w:val="pt-PT"/>
        </w:rPr>
      </w:pPr>
      <w:r w:rsidRPr="00137589">
        <w:rPr>
          <w:lang w:val="pt-PT"/>
        </w:rPr>
        <w:t xml:space="preserve">Banco Nacional Ultramarino (1960-2000), </w:t>
      </w:r>
      <w:r w:rsidRPr="00137589">
        <w:rPr>
          <w:i/>
          <w:lang w:val="pt-PT"/>
        </w:rPr>
        <w:t>Relatório e Contas</w:t>
      </w:r>
      <w:r w:rsidRPr="00137589">
        <w:rPr>
          <w:lang w:val="pt-PT"/>
        </w:rPr>
        <w:t>, Lisbon, Banco Nacional Ultramarino.</w:t>
      </w:r>
    </w:p>
    <w:p w:rsidR="00D06A8F" w:rsidRPr="00137589" w:rsidRDefault="00D06A8F" w:rsidP="00D06A8F">
      <w:pPr>
        <w:spacing w:line="360" w:lineRule="auto"/>
        <w:ind w:left="567" w:hanging="567"/>
        <w:jc w:val="both"/>
        <w:rPr>
          <w:lang w:val="pt-PT"/>
        </w:rPr>
      </w:pPr>
      <w:r w:rsidRPr="00137589">
        <w:rPr>
          <w:lang w:val="pt-PT"/>
        </w:rPr>
        <w:t xml:space="preserve">Banco Pinto de Magalhães (1972-1976), </w:t>
      </w:r>
      <w:r w:rsidRPr="00137589">
        <w:rPr>
          <w:i/>
          <w:lang w:val="pt-PT"/>
        </w:rPr>
        <w:t>Relatório e Contas</w:t>
      </w:r>
      <w:r w:rsidRPr="00137589">
        <w:rPr>
          <w:lang w:val="pt-PT"/>
        </w:rPr>
        <w:t>, Porto, Banco Pinto de Magalhães.</w:t>
      </w:r>
    </w:p>
    <w:p w:rsidR="00D06A8F" w:rsidRPr="00137589" w:rsidRDefault="00D06A8F" w:rsidP="00D06A8F">
      <w:pPr>
        <w:spacing w:line="360" w:lineRule="auto"/>
        <w:ind w:left="567" w:hanging="567"/>
        <w:jc w:val="both"/>
        <w:rPr>
          <w:lang w:val="pt-PT"/>
        </w:rPr>
      </w:pPr>
      <w:r w:rsidRPr="00137589">
        <w:rPr>
          <w:lang w:val="pt-PT"/>
        </w:rPr>
        <w:lastRenderedPageBreak/>
        <w:t xml:space="preserve">Banco Pinto &amp; Sotto Mayor (1960-1998), </w:t>
      </w:r>
      <w:r w:rsidRPr="00137589">
        <w:rPr>
          <w:i/>
          <w:lang w:val="pt-PT"/>
        </w:rPr>
        <w:t>Relatório e Contas</w:t>
      </w:r>
      <w:r w:rsidRPr="00137589">
        <w:rPr>
          <w:lang w:val="pt-PT"/>
        </w:rPr>
        <w:t>, Lisbon, Banco Pinto &amp; Sotto Mayor.</w:t>
      </w:r>
    </w:p>
    <w:p w:rsidR="00D06A8F" w:rsidRPr="00137589" w:rsidRDefault="00D06A8F" w:rsidP="00D06A8F">
      <w:pPr>
        <w:spacing w:line="360" w:lineRule="auto"/>
        <w:ind w:left="567" w:hanging="567"/>
        <w:jc w:val="both"/>
        <w:rPr>
          <w:lang w:val="pt-PT"/>
        </w:rPr>
      </w:pPr>
      <w:r w:rsidRPr="00137589">
        <w:rPr>
          <w:lang w:val="pt-PT"/>
        </w:rPr>
        <w:t xml:space="preserve">Banco Popular (2001-2015), </w:t>
      </w:r>
      <w:r w:rsidRPr="00137589">
        <w:rPr>
          <w:i/>
          <w:lang w:val="pt-PT"/>
        </w:rPr>
        <w:t>Relatório e Contas</w:t>
      </w:r>
      <w:r w:rsidRPr="00137589">
        <w:rPr>
          <w:lang w:val="pt-PT"/>
        </w:rPr>
        <w:t>, Lisbon, Banco Popular.</w:t>
      </w:r>
    </w:p>
    <w:p w:rsidR="00D06A8F" w:rsidRPr="00137589" w:rsidRDefault="00D06A8F" w:rsidP="00D06A8F">
      <w:pPr>
        <w:spacing w:line="360" w:lineRule="auto"/>
        <w:ind w:left="567" w:hanging="567"/>
        <w:jc w:val="both"/>
        <w:rPr>
          <w:lang w:val="pt-PT"/>
        </w:rPr>
      </w:pPr>
      <w:r w:rsidRPr="00137589">
        <w:rPr>
          <w:lang w:val="pt-PT"/>
        </w:rPr>
        <w:t xml:space="preserve">Banco Português de Gestão (2011-2015), </w:t>
      </w:r>
      <w:r w:rsidRPr="00137589">
        <w:rPr>
          <w:i/>
          <w:lang w:val="pt-PT"/>
        </w:rPr>
        <w:t>Relatório e Contas</w:t>
      </w:r>
      <w:r w:rsidRPr="00137589">
        <w:rPr>
          <w:lang w:val="pt-PT"/>
        </w:rPr>
        <w:t>, Lisbon, Banco Português de Gestão.</w:t>
      </w:r>
    </w:p>
    <w:p w:rsidR="00D06A8F" w:rsidRPr="00137589" w:rsidRDefault="00D06A8F" w:rsidP="00D06A8F">
      <w:pPr>
        <w:spacing w:line="360" w:lineRule="auto"/>
        <w:ind w:left="567" w:hanging="567"/>
        <w:jc w:val="both"/>
        <w:rPr>
          <w:lang w:val="pt-PT"/>
        </w:rPr>
      </w:pPr>
      <w:r w:rsidRPr="00137589">
        <w:rPr>
          <w:lang w:val="pt-PT"/>
        </w:rPr>
        <w:t xml:space="preserve">Banco Português do Atlântico (1960-1998), </w:t>
      </w:r>
      <w:r w:rsidRPr="00137589">
        <w:rPr>
          <w:i/>
          <w:lang w:val="pt-PT"/>
        </w:rPr>
        <w:t>Relatório e Contas</w:t>
      </w:r>
      <w:r w:rsidRPr="00137589">
        <w:rPr>
          <w:lang w:val="pt-PT"/>
        </w:rPr>
        <w:t>, Porto, Banco Português do Atlântico.</w:t>
      </w:r>
    </w:p>
    <w:p w:rsidR="00D06A8F" w:rsidRPr="00137589" w:rsidRDefault="00D06A8F" w:rsidP="00D06A8F">
      <w:pPr>
        <w:spacing w:line="360" w:lineRule="auto"/>
        <w:ind w:left="567" w:hanging="567"/>
        <w:jc w:val="both"/>
        <w:rPr>
          <w:lang w:val="pt-PT"/>
        </w:rPr>
      </w:pPr>
      <w:r w:rsidRPr="00137589">
        <w:rPr>
          <w:lang w:val="pt-PT"/>
        </w:rPr>
        <w:t xml:space="preserve">Banco Português de Investimento (1998-2015), </w:t>
      </w:r>
      <w:r w:rsidRPr="00137589">
        <w:rPr>
          <w:i/>
          <w:lang w:val="pt-PT"/>
        </w:rPr>
        <w:t>Relatório e Contas</w:t>
      </w:r>
      <w:r w:rsidRPr="00137589">
        <w:rPr>
          <w:lang w:val="pt-PT"/>
        </w:rPr>
        <w:t>, Porto, Banco Português de Investimento.</w:t>
      </w:r>
    </w:p>
    <w:p w:rsidR="00D06A8F" w:rsidRPr="00137589" w:rsidRDefault="00D06A8F" w:rsidP="00D06A8F">
      <w:pPr>
        <w:spacing w:line="360" w:lineRule="auto"/>
        <w:ind w:left="567" w:hanging="567"/>
        <w:jc w:val="both"/>
        <w:rPr>
          <w:lang w:val="pt-PT"/>
        </w:rPr>
      </w:pPr>
      <w:r w:rsidRPr="00137589">
        <w:rPr>
          <w:lang w:val="pt-PT"/>
        </w:rPr>
        <w:t xml:space="preserve">Banco Português de Negócios (1993-1998), </w:t>
      </w:r>
      <w:r w:rsidRPr="00137589">
        <w:rPr>
          <w:i/>
          <w:lang w:val="pt-PT"/>
        </w:rPr>
        <w:t>Relatório e Contas</w:t>
      </w:r>
      <w:r w:rsidRPr="00137589">
        <w:rPr>
          <w:lang w:val="pt-PT"/>
        </w:rPr>
        <w:t>, Porto, Banco Português de Negócios.</w:t>
      </w:r>
    </w:p>
    <w:p w:rsidR="00D06A8F" w:rsidRPr="00137589" w:rsidRDefault="00D06A8F" w:rsidP="00D06A8F">
      <w:pPr>
        <w:spacing w:line="360" w:lineRule="auto"/>
        <w:ind w:left="567" w:hanging="567"/>
        <w:jc w:val="both"/>
        <w:rPr>
          <w:lang w:val="pt-PT"/>
        </w:rPr>
      </w:pPr>
      <w:r w:rsidRPr="00137589">
        <w:rPr>
          <w:lang w:val="pt-PT"/>
        </w:rPr>
        <w:t xml:space="preserve">Banco Privado Português (1996-2001), </w:t>
      </w:r>
      <w:r w:rsidRPr="00137589">
        <w:rPr>
          <w:i/>
          <w:lang w:val="pt-PT"/>
        </w:rPr>
        <w:t>Relatório e Contas</w:t>
      </w:r>
      <w:r w:rsidRPr="00137589">
        <w:rPr>
          <w:lang w:val="pt-PT"/>
        </w:rPr>
        <w:t>, Lisbon, Banco Privado Português.</w:t>
      </w:r>
    </w:p>
    <w:p w:rsidR="00D06A8F" w:rsidRPr="00137589" w:rsidRDefault="00D06A8F" w:rsidP="00D06A8F">
      <w:pPr>
        <w:spacing w:line="360" w:lineRule="auto"/>
        <w:ind w:left="567" w:hanging="567"/>
        <w:jc w:val="both"/>
        <w:rPr>
          <w:lang w:val="pt-PT"/>
        </w:rPr>
      </w:pPr>
      <w:r w:rsidRPr="00137589">
        <w:rPr>
          <w:lang w:val="pt-PT"/>
        </w:rPr>
        <w:t xml:space="preserve">Banco Raposo de Magalhães (1960-1964), </w:t>
      </w:r>
      <w:r w:rsidRPr="00137589">
        <w:rPr>
          <w:i/>
          <w:lang w:val="pt-PT"/>
        </w:rPr>
        <w:t>Relatório e Contas</w:t>
      </w:r>
      <w:r w:rsidRPr="00137589">
        <w:rPr>
          <w:lang w:val="pt-PT"/>
        </w:rPr>
        <w:t>, Alcobaça, Banco Raposo de  Magalhães.</w:t>
      </w:r>
    </w:p>
    <w:p w:rsidR="00D06A8F" w:rsidRPr="00137589" w:rsidRDefault="00D06A8F" w:rsidP="00D06A8F">
      <w:pPr>
        <w:spacing w:line="360" w:lineRule="auto"/>
        <w:ind w:left="567" w:hanging="567"/>
        <w:jc w:val="both"/>
        <w:rPr>
          <w:lang w:val="pt-PT"/>
        </w:rPr>
      </w:pPr>
      <w:r w:rsidRPr="00137589">
        <w:rPr>
          <w:lang w:val="pt-PT"/>
        </w:rPr>
        <w:t xml:space="preserve">Banco Regional de Aveiro (1960-1966), </w:t>
      </w:r>
      <w:r w:rsidRPr="00137589">
        <w:rPr>
          <w:i/>
          <w:lang w:val="pt-PT"/>
        </w:rPr>
        <w:t>Relatório e Contas</w:t>
      </w:r>
      <w:r w:rsidRPr="00137589">
        <w:rPr>
          <w:lang w:val="pt-PT"/>
        </w:rPr>
        <w:t>, Aveiro,  Banco Regional de Aveiro.</w:t>
      </w:r>
    </w:p>
    <w:p w:rsidR="00D06A8F" w:rsidRPr="00137589" w:rsidRDefault="00D06A8F" w:rsidP="00D06A8F">
      <w:pPr>
        <w:spacing w:line="360" w:lineRule="auto"/>
        <w:ind w:left="567" w:hanging="567"/>
        <w:jc w:val="both"/>
        <w:rPr>
          <w:lang w:val="pt-PT"/>
        </w:rPr>
      </w:pPr>
      <w:r w:rsidRPr="00137589">
        <w:rPr>
          <w:lang w:val="pt-PT"/>
        </w:rPr>
        <w:t xml:space="preserve">Banco Santander-Totta (2002-2014), </w:t>
      </w:r>
      <w:r w:rsidRPr="00137589">
        <w:rPr>
          <w:i/>
          <w:lang w:val="pt-PT"/>
        </w:rPr>
        <w:t>Relatório e Contas</w:t>
      </w:r>
      <w:r w:rsidRPr="00137589">
        <w:rPr>
          <w:lang w:val="pt-PT"/>
        </w:rPr>
        <w:t>, Lisbon, Banco Santander-Totta.</w:t>
      </w:r>
    </w:p>
    <w:p w:rsidR="00D06A8F" w:rsidRPr="00137589" w:rsidRDefault="00D06A8F" w:rsidP="00D06A8F">
      <w:pPr>
        <w:spacing w:line="360" w:lineRule="auto"/>
        <w:ind w:left="567" w:hanging="567"/>
        <w:jc w:val="both"/>
        <w:rPr>
          <w:lang w:val="pt-PT"/>
        </w:rPr>
      </w:pPr>
      <w:r w:rsidRPr="00137589">
        <w:rPr>
          <w:lang w:val="pt-PT"/>
        </w:rPr>
        <w:t xml:space="preserve">Banco Totta-Aliança (1961-1969), </w:t>
      </w:r>
      <w:r w:rsidRPr="00137589">
        <w:rPr>
          <w:i/>
          <w:lang w:val="pt-PT"/>
        </w:rPr>
        <w:t>Relatório e Contas</w:t>
      </w:r>
      <w:r w:rsidRPr="00137589">
        <w:rPr>
          <w:lang w:val="pt-PT"/>
        </w:rPr>
        <w:t>, Lisbon, Banco Totta-Aliança.</w:t>
      </w:r>
    </w:p>
    <w:p w:rsidR="00D06A8F" w:rsidRPr="00137589" w:rsidRDefault="00D06A8F" w:rsidP="00D06A8F">
      <w:pPr>
        <w:spacing w:after="0" w:line="480" w:lineRule="auto"/>
        <w:ind w:left="567" w:hanging="567"/>
        <w:jc w:val="both"/>
      </w:pPr>
      <w:r w:rsidRPr="00137589">
        <w:rPr>
          <w:lang w:val="pt-PT"/>
        </w:rPr>
        <w:t xml:space="preserve">Banco Totta &amp; Açores (1970-1973), </w:t>
      </w:r>
      <w:r w:rsidRPr="00137589">
        <w:rPr>
          <w:i/>
          <w:lang w:val="pt-PT"/>
        </w:rPr>
        <w:t>Relatório e Contas</w:t>
      </w:r>
      <w:r w:rsidRPr="00137589">
        <w:rPr>
          <w:lang w:val="pt-PT"/>
        </w:rPr>
        <w:t xml:space="preserve">. </w:t>
      </w:r>
      <w:r w:rsidRPr="00137589">
        <w:t>Lisbon, Banco Totta &amp; Açores.</w:t>
      </w:r>
    </w:p>
    <w:p w:rsidR="00D06A8F" w:rsidRPr="00137589" w:rsidRDefault="00D06A8F" w:rsidP="00D06A8F">
      <w:pPr>
        <w:spacing w:after="0" w:line="480" w:lineRule="auto"/>
        <w:ind w:left="567" w:hanging="567"/>
        <w:jc w:val="both"/>
      </w:pPr>
      <w:r w:rsidRPr="00137589">
        <w:t xml:space="preserve">Bandt, Olivier De and E. Philip Davies (2000), “Competition, Contestability and Market Structure in European Banking Sectors on the Verge of EMU”, </w:t>
      </w:r>
      <w:r w:rsidRPr="00137589">
        <w:rPr>
          <w:i/>
        </w:rPr>
        <w:t>Journal of Banking and Finance</w:t>
      </w:r>
      <w:r w:rsidRPr="00137589">
        <w:t>, 24, pp. 1045-1066.</w:t>
      </w:r>
    </w:p>
    <w:p w:rsidR="00D06A8F" w:rsidRPr="00137589" w:rsidRDefault="00D06A8F" w:rsidP="00D06A8F">
      <w:pPr>
        <w:spacing w:after="0" w:line="480" w:lineRule="auto"/>
        <w:ind w:left="567" w:hanging="567"/>
        <w:jc w:val="both"/>
      </w:pPr>
      <w:r w:rsidRPr="00137589">
        <w:t xml:space="preserve">Barros, Fátima and Leonor Modesto (1997), “Portuguese Banking Sector: a Mixed Oligopoly?”, </w:t>
      </w:r>
      <w:r w:rsidRPr="00137589">
        <w:rPr>
          <w:i/>
        </w:rPr>
        <w:t>International Journal of Industrial Organization</w:t>
      </w:r>
      <w:r w:rsidRPr="00137589">
        <w:t>, 17, 869-886.</w:t>
      </w:r>
    </w:p>
    <w:p w:rsidR="00D06A8F" w:rsidRPr="00137589" w:rsidRDefault="00D06A8F" w:rsidP="00D06A8F">
      <w:pPr>
        <w:spacing w:after="0" w:line="480" w:lineRule="auto"/>
        <w:ind w:left="567" w:hanging="567"/>
        <w:jc w:val="both"/>
        <w:rPr>
          <w:lang w:val="en-US"/>
        </w:rPr>
      </w:pPr>
      <w:r w:rsidRPr="00137589">
        <w:rPr>
          <w:lang w:val="en-US"/>
        </w:rPr>
        <w:t xml:space="preserve">Battilossi, Stefano (2000), “Financial Innovation and the Golden Ages of International Banking, 1890-1931 and 1958-1981”, </w:t>
      </w:r>
      <w:r w:rsidRPr="00137589">
        <w:rPr>
          <w:i/>
          <w:lang w:val="en-US"/>
        </w:rPr>
        <w:t>Financial History Review</w:t>
      </w:r>
      <w:r w:rsidRPr="00137589">
        <w:rPr>
          <w:lang w:val="en-US"/>
        </w:rPr>
        <w:t>, 7, 141-175.</w:t>
      </w:r>
    </w:p>
    <w:p w:rsidR="00C55746" w:rsidRPr="00137589" w:rsidRDefault="00C55746" w:rsidP="00D06A8F">
      <w:pPr>
        <w:spacing w:after="0" w:line="480" w:lineRule="auto"/>
        <w:ind w:left="567" w:hanging="567"/>
        <w:jc w:val="both"/>
        <w:rPr>
          <w:lang w:val="en-US"/>
        </w:rPr>
      </w:pPr>
      <w:r w:rsidRPr="00137589">
        <w:rPr>
          <w:i/>
          <w:lang w:val="en-US"/>
        </w:rPr>
        <w:t>Idem</w:t>
      </w:r>
      <w:r w:rsidRPr="00137589">
        <w:rPr>
          <w:lang w:val="en-US"/>
        </w:rPr>
        <w:t xml:space="preserve"> and Youssef Cassis (eds.) (2002), </w:t>
      </w:r>
      <w:r w:rsidRPr="00137589">
        <w:rPr>
          <w:i/>
          <w:lang w:val="en-US"/>
        </w:rPr>
        <w:t>European Banks and the American Challenge – Competition and Cooperation in Intrnational Banking under Bretton Woods</w:t>
      </w:r>
      <w:r w:rsidRPr="00137589">
        <w:rPr>
          <w:lang w:val="en-US"/>
        </w:rPr>
        <w:t>, Oxford Oxford University Press.</w:t>
      </w:r>
    </w:p>
    <w:p w:rsidR="00D06A8F" w:rsidRPr="00137589" w:rsidRDefault="00D06A8F" w:rsidP="00D06A8F">
      <w:pPr>
        <w:spacing w:after="0" w:line="480" w:lineRule="auto"/>
        <w:ind w:left="567" w:hanging="567"/>
        <w:jc w:val="both"/>
      </w:pPr>
      <w:r w:rsidRPr="00137589">
        <w:t xml:space="preserve">Beck, Thorsten (2008), “Bank Competition and Financial Stability: Friends or Foes?”, </w:t>
      </w:r>
      <w:r w:rsidRPr="00137589">
        <w:rPr>
          <w:i/>
        </w:rPr>
        <w:t>World Bank Policy Research Working Paper</w:t>
      </w:r>
      <w:r w:rsidRPr="00137589">
        <w:t>, nº 4656.</w:t>
      </w:r>
    </w:p>
    <w:p w:rsidR="00C55746" w:rsidRPr="00137589" w:rsidRDefault="00C55746" w:rsidP="00D06A8F">
      <w:pPr>
        <w:spacing w:after="0" w:line="480" w:lineRule="auto"/>
        <w:ind w:left="567" w:hanging="567"/>
        <w:jc w:val="both"/>
      </w:pPr>
      <w:r w:rsidRPr="00137589">
        <w:lastRenderedPageBreak/>
        <w:t xml:space="preserve">Beleza, Luís Miguel and Jorge B. de Macedo (1988), “Implicit Taxes and Credit Ceilings, the Treasury and the Banks in Portugal”, </w:t>
      </w:r>
      <w:r w:rsidRPr="00137589">
        <w:rPr>
          <w:i/>
        </w:rPr>
        <w:t>Faculdade de Economia da Universidade Nova de Lisboa Working Paper</w:t>
      </w:r>
      <w:r w:rsidRPr="00137589">
        <w:t>, nº 106.</w:t>
      </w:r>
    </w:p>
    <w:p w:rsidR="00D06A8F" w:rsidRPr="00137589" w:rsidRDefault="00D06A8F" w:rsidP="00D06A8F">
      <w:pPr>
        <w:spacing w:after="0" w:line="480" w:lineRule="auto"/>
        <w:ind w:left="567" w:hanging="567"/>
        <w:jc w:val="both"/>
        <w:rPr>
          <w:lang w:val="en-US"/>
        </w:rPr>
      </w:pPr>
      <w:r w:rsidRPr="00137589">
        <w:rPr>
          <w:lang w:val="en-US"/>
        </w:rPr>
        <w:t xml:space="preserve">Bikker, Jacob A. and Katharina Haaf (2002), “Competition, Concentration and their Relationship: an Empirical Analysis of the Banking Industry”, </w:t>
      </w:r>
      <w:r w:rsidRPr="00137589">
        <w:rPr>
          <w:i/>
          <w:lang w:val="en-US"/>
        </w:rPr>
        <w:t>Journal of Banking and Finance</w:t>
      </w:r>
      <w:r w:rsidRPr="00137589">
        <w:rPr>
          <w:lang w:val="en-US"/>
        </w:rPr>
        <w:t>, 26, 2191-2214.</w:t>
      </w:r>
    </w:p>
    <w:p w:rsidR="00D06A8F" w:rsidRPr="00137589" w:rsidRDefault="00D06A8F" w:rsidP="00D06A8F">
      <w:pPr>
        <w:spacing w:after="0" w:line="480" w:lineRule="auto"/>
        <w:ind w:left="567" w:hanging="567"/>
        <w:jc w:val="both"/>
        <w:rPr>
          <w:lang w:val="en-US"/>
        </w:rPr>
      </w:pPr>
      <w:r w:rsidRPr="00137589">
        <w:rPr>
          <w:lang w:val="en-US"/>
        </w:rPr>
        <w:t xml:space="preserve">Bikker, Jacob A., Laura Spierdijk, and Paull Finnie (2007), “Misspecification of the Panzar-Rosse Model: Assessing Competition in the Banking Industry”, </w:t>
      </w:r>
      <w:r w:rsidRPr="00137589">
        <w:rPr>
          <w:i/>
          <w:lang w:val="en-US"/>
        </w:rPr>
        <w:t>De Nederlandsche Bank Working papers</w:t>
      </w:r>
      <w:r w:rsidRPr="00137589">
        <w:rPr>
          <w:lang w:val="en-US"/>
        </w:rPr>
        <w:t>, nº 114.</w:t>
      </w:r>
    </w:p>
    <w:p w:rsidR="00C55746" w:rsidRPr="00137589" w:rsidRDefault="00C55746" w:rsidP="00D06A8F">
      <w:pPr>
        <w:spacing w:after="0" w:line="480" w:lineRule="auto"/>
        <w:ind w:left="567" w:hanging="567"/>
        <w:jc w:val="both"/>
        <w:rPr>
          <w:lang w:val="en-US"/>
        </w:rPr>
      </w:pPr>
      <w:r w:rsidRPr="00137589">
        <w:rPr>
          <w:i/>
          <w:lang w:val="en-US"/>
        </w:rPr>
        <w:t>Idem</w:t>
      </w:r>
      <w:r w:rsidRPr="00137589">
        <w:rPr>
          <w:lang w:val="en-US"/>
        </w:rPr>
        <w:t xml:space="preserve">, Sherrill Shaffer and Laura Spierdijk (2012), “Assessing Competition with the Panzar-Rosse Model: the Role of Scale, Costs, and Equilibrium”, </w:t>
      </w:r>
      <w:r w:rsidRPr="00137589">
        <w:rPr>
          <w:i/>
          <w:lang w:val="en-US"/>
        </w:rPr>
        <w:t>The Review of Economics and Statistics</w:t>
      </w:r>
      <w:r w:rsidRPr="00137589">
        <w:rPr>
          <w:lang w:val="en-US"/>
        </w:rPr>
        <w:t>, November,</w:t>
      </w:r>
      <w:r w:rsidR="00361D4B" w:rsidRPr="00137589">
        <w:rPr>
          <w:lang w:val="en-US"/>
        </w:rPr>
        <w:t xml:space="preserve"> 94 (4),</w:t>
      </w:r>
      <w:r w:rsidRPr="00137589">
        <w:rPr>
          <w:lang w:val="en-US"/>
        </w:rPr>
        <w:t xml:space="preserve"> 1025-1044.</w:t>
      </w:r>
    </w:p>
    <w:p w:rsidR="00D06A8F" w:rsidRPr="00137589" w:rsidRDefault="00D06A8F" w:rsidP="00D06A8F">
      <w:pPr>
        <w:spacing w:after="0" w:line="480" w:lineRule="auto"/>
        <w:ind w:left="567" w:hanging="567"/>
        <w:jc w:val="both"/>
        <w:rPr>
          <w:lang w:val="pt-PT"/>
        </w:rPr>
      </w:pPr>
      <w:r w:rsidRPr="00137589">
        <w:rPr>
          <w:lang w:val="pt-PT"/>
        </w:rPr>
        <w:t xml:space="preserve">BNP Paribas Portugal (2004-2015), </w:t>
      </w:r>
      <w:r w:rsidRPr="00137589">
        <w:rPr>
          <w:i/>
          <w:lang w:val="pt-PT"/>
        </w:rPr>
        <w:t>Relatório e Contas</w:t>
      </w:r>
      <w:r w:rsidRPr="00137589">
        <w:rPr>
          <w:lang w:val="pt-PT"/>
        </w:rPr>
        <w:t>, Lisbon, BNP Paribas Portugal.</w:t>
      </w:r>
    </w:p>
    <w:p w:rsidR="00C55746" w:rsidRPr="00137589" w:rsidRDefault="00C55746" w:rsidP="00D06A8F">
      <w:pPr>
        <w:spacing w:after="0" w:line="480" w:lineRule="auto"/>
        <w:ind w:left="567" w:hanging="567"/>
        <w:jc w:val="both"/>
        <w:rPr>
          <w:lang w:val="en-US"/>
        </w:rPr>
      </w:pPr>
      <w:r w:rsidRPr="00137589">
        <w:rPr>
          <w:lang w:val="en-US"/>
        </w:rPr>
        <w:t xml:space="preserve">Boone, Jan (2008), “A New Way to Measure Competition”, </w:t>
      </w:r>
      <w:r w:rsidRPr="00137589">
        <w:rPr>
          <w:i/>
          <w:lang w:val="en-US"/>
        </w:rPr>
        <w:t>The Economic Journal</w:t>
      </w:r>
      <w:r w:rsidR="00361D4B" w:rsidRPr="00137589">
        <w:rPr>
          <w:lang w:val="en-US"/>
        </w:rPr>
        <w:t>, 118 (August),</w:t>
      </w:r>
      <w:r w:rsidRPr="00137589">
        <w:rPr>
          <w:lang w:val="en-US"/>
        </w:rPr>
        <w:t xml:space="preserve"> 1245-1261.</w:t>
      </w:r>
    </w:p>
    <w:p w:rsidR="00D06A8F" w:rsidRPr="00137589" w:rsidRDefault="00D06A8F" w:rsidP="00D06A8F">
      <w:pPr>
        <w:spacing w:after="0" w:line="480" w:lineRule="auto"/>
        <w:ind w:left="567" w:hanging="567"/>
        <w:jc w:val="both"/>
        <w:rPr>
          <w:lang w:val="en-US"/>
        </w:rPr>
      </w:pPr>
      <w:r w:rsidRPr="00137589">
        <w:rPr>
          <w:lang w:val="en-US"/>
        </w:rPr>
        <w:t xml:space="preserve">Bordo, Michael, Angela Redish and Hugh Rockof (1994), “The US Banking System from a Northern Exposure: Stability versus Efficiency”, </w:t>
      </w:r>
      <w:r w:rsidRPr="00137589">
        <w:rPr>
          <w:i/>
          <w:lang w:val="en-US"/>
        </w:rPr>
        <w:t>The Journal of Economic History</w:t>
      </w:r>
      <w:r w:rsidRPr="00137589">
        <w:rPr>
          <w:lang w:val="en-US"/>
        </w:rPr>
        <w:t>, vol. 54, no 2, 325-341.</w:t>
      </w:r>
    </w:p>
    <w:p w:rsidR="00D06A8F" w:rsidRPr="00137589" w:rsidRDefault="00D06A8F" w:rsidP="00D06A8F">
      <w:pPr>
        <w:spacing w:after="0" w:line="480" w:lineRule="auto"/>
        <w:ind w:left="567" w:hanging="567"/>
        <w:jc w:val="both"/>
        <w:rPr>
          <w:lang w:val="en-US"/>
        </w:rPr>
      </w:pPr>
      <w:r w:rsidRPr="00137589">
        <w:rPr>
          <w:lang w:val="en-US"/>
        </w:rPr>
        <w:t xml:space="preserve">Boucinha, Miguel and Nuno Ribeiro (2009), “An Assessment of Competition in the Portuguese Banking System in the 1991-2004 Period”, </w:t>
      </w:r>
      <w:r w:rsidRPr="00137589">
        <w:rPr>
          <w:i/>
          <w:lang w:val="en-US"/>
        </w:rPr>
        <w:t>Banco de Portugal, Working Papers</w:t>
      </w:r>
      <w:r w:rsidRPr="00137589">
        <w:rPr>
          <w:lang w:val="en-US"/>
        </w:rPr>
        <w:t>, 1.</w:t>
      </w:r>
    </w:p>
    <w:p w:rsidR="00D06A8F" w:rsidRPr="00137589" w:rsidRDefault="00D06A8F" w:rsidP="00D06A8F">
      <w:pPr>
        <w:spacing w:after="0" w:line="480" w:lineRule="auto"/>
        <w:ind w:left="567" w:hanging="567"/>
        <w:jc w:val="both"/>
        <w:rPr>
          <w:lang w:val="pt-PT"/>
        </w:rPr>
      </w:pPr>
      <w:r w:rsidRPr="00137589">
        <w:rPr>
          <w:lang w:val="pt-PT"/>
        </w:rPr>
        <w:t xml:space="preserve">Caixa Geral de Crédito Agrícola Mútuo (1995-2015), </w:t>
      </w:r>
      <w:r w:rsidRPr="00137589">
        <w:rPr>
          <w:i/>
          <w:lang w:val="pt-PT"/>
        </w:rPr>
        <w:t>Relatório e Contas</w:t>
      </w:r>
      <w:r w:rsidRPr="00137589">
        <w:rPr>
          <w:lang w:val="pt-PT"/>
        </w:rPr>
        <w:t>, Lisbon, Caixa Geral de Crédito Agrícola Mútuo.</w:t>
      </w:r>
    </w:p>
    <w:p w:rsidR="00D06A8F" w:rsidRPr="00137589" w:rsidRDefault="00D06A8F" w:rsidP="00D06A8F">
      <w:pPr>
        <w:spacing w:after="0" w:line="480" w:lineRule="auto"/>
        <w:ind w:left="567" w:hanging="567"/>
        <w:jc w:val="both"/>
        <w:rPr>
          <w:lang w:val="pt-PT"/>
        </w:rPr>
      </w:pPr>
      <w:r w:rsidRPr="00137589">
        <w:rPr>
          <w:lang w:val="pt-PT"/>
        </w:rPr>
        <w:t xml:space="preserve">Caixa Geral de Depósitos, Crédito e Previdência (1960-2014), </w:t>
      </w:r>
      <w:r w:rsidRPr="00137589">
        <w:rPr>
          <w:i/>
          <w:lang w:val="pt-PT"/>
        </w:rPr>
        <w:t>Relatório e Contas</w:t>
      </w:r>
      <w:r w:rsidRPr="00137589">
        <w:rPr>
          <w:lang w:val="pt-PT"/>
        </w:rPr>
        <w:t>, Lisbon, Caixa Geral de Depósitos, Crédito e Previdência.</w:t>
      </w:r>
    </w:p>
    <w:p w:rsidR="00D06A8F" w:rsidRPr="00137589" w:rsidRDefault="00D06A8F" w:rsidP="00D06A8F">
      <w:pPr>
        <w:spacing w:after="0" w:line="480" w:lineRule="auto"/>
        <w:ind w:left="567" w:hanging="567"/>
        <w:jc w:val="both"/>
      </w:pPr>
      <w:r w:rsidRPr="00137589">
        <w:t xml:space="preserve">Canhoto, Ana (2004), “Portuguese Banking: a Structural Model of Competition in the Deposits Market”, </w:t>
      </w:r>
      <w:r w:rsidRPr="00137589">
        <w:rPr>
          <w:i/>
        </w:rPr>
        <w:t>Review of Financial Economics</w:t>
      </w:r>
      <w:r w:rsidRPr="00137589">
        <w:t>, 13,</w:t>
      </w:r>
      <w:r w:rsidR="00361D4B" w:rsidRPr="00137589">
        <w:t xml:space="preserve"> </w:t>
      </w:r>
      <w:r w:rsidRPr="00137589">
        <w:t>41-63.</w:t>
      </w:r>
    </w:p>
    <w:p w:rsidR="00D06A8F" w:rsidRPr="00137589" w:rsidRDefault="00D06A8F" w:rsidP="00D06A8F">
      <w:pPr>
        <w:spacing w:after="0" w:line="480" w:lineRule="auto"/>
        <w:ind w:left="567" w:hanging="567"/>
        <w:jc w:val="both"/>
      </w:pPr>
      <w:r w:rsidRPr="00137589">
        <w:t xml:space="preserve">Capie, Forest and Mark Billings (2004), “Evidence of Competition in English Commercial Banking, 1920-1970”, </w:t>
      </w:r>
      <w:r w:rsidRPr="00137589">
        <w:rPr>
          <w:i/>
        </w:rPr>
        <w:t>Financial History Review</w:t>
      </w:r>
      <w:r w:rsidRPr="00137589">
        <w:t>, 11.1., 367-401.</w:t>
      </w:r>
    </w:p>
    <w:p w:rsidR="00D06A8F" w:rsidRPr="00137589" w:rsidRDefault="00D06A8F" w:rsidP="00D06A8F">
      <w:pPr>
        <w:spacing w:after="0" w:line="480" w:lineRule="auto"/>
        <w:ind w:left="567" w:hanging="567"/>
        <w:jc w:val="both"/>
      </w:pPr>
      <w:r w:rsidRPr="00137589">
        <w:rPr>
          <w:lang w:val="en-US"/>
        </w:rPr>
        <w:lastRenderedPageBreak/>
        <w:t xml:space="preserve">Cassis, Youssef, Gerald D Feldman and Ulf Olsson, eds. (1995), </w:t>
      </w:r>
      <w:r w:rsidRPr="00137589">
        <w:rPr>
          <w:i/>
          <w:lang w:val="en-US"/>
        </w:rPr>
        <w:t>The Evolution of Financial Institutions and Markets in Twentieth-Century Europe</w:t>
      </w:r>
      <w:r w:rsidRPr="00137589">
        <w:rPr>
          <w:lang w:val="en-US"/>
        </w:rPr>
        <w:t>, Aldershot, Scholar Press.</w:t>
      </w:r>
    </w:p>
    <w:p w:rsidR="00D06A8F" w:rsidRPr="00137589" w:rsidRDefault="00D06A8F" w:rsidP="00D06A8F">
      <w:pPr>
        <w:spacing w:after="0" w:line="480" w:lineRule="auto"/>
        <w:ind w:left="567" w:hanging="567"/>
        <w:jc w:val="both"/>
      </w:pPr>
      <w:r w:rsidRPr="00137589">
        <w:t xml:space="preserve">Chandler Jr., Alfred D. (1977), </w:t>
      </w:r>
      <w:r w:rsidRPr="00137589">
        <w:rPr>
          <w:i/>
        </w:rPr>
        <w:t>The Visible Hand. The Managerial Revolution in American Business</w:t>
      </w:r>
      <w:r w:rsidRPr="00137589">
        <w:t>, Cambridge, Ma., The Belknap Press of Harvard University Press.</w:t>
      </w:r>
    </w:p>
    <w:p w:rsidR="00D06A8F" w:rsidRPr="00137589" w:rsidRDefault="00D06A8F" w:rsidP="00D06A8F">
      <w:pPr>
        <w:spacing w:after="0" w:line="480" w:lineRule="auto"/>
        <w:ind w:left="567" w:hanging="567"/>
        <w:jc w:val="both"/>
      </w:pPr>
      <w:r w:rsidRPr="00137589">
        <w:rPr>
          <w:i/>
        </w:rPr>
        <w:t>Idem</w:t>
      </w:r>
      <w:r w:rsidRPr="00137589">
        <w:t xml:space="preserve"> (1990), </w:t>
      </w:r>
      <w:r w:rsidRPr="00137589">
        <w:rPr>
          <w:i/>
        </w:rPr>
        <w:t>Scale and Scope. The Dynamics of Industrial Capitalism</w:t>
      </w:r>
      <w:r w:rsidRPr="00137589">
        <w:t>, Cambridge, Ma., The Belknap Press of Harvard University Press.</w:t>
      </w:r>
    </w:p>
    <w:p w:rsidR="00D06A8F" w:rsidRPr="00137589" w:rsidRDefault="00D06A8F" w:rsidP="00D06A8F">
      <w:pPr>
        <w:spacing w:after="0" w:line="480" w:lineRule="auto"/>
        <w:ind w:left="567" w:hanging="567"/>
        <w:jc w:val="both"/>
      </w:pPr>
      <w:r w:rsidRPr="00137589">
        <w:t xml:space="preserve">Coase, Ronald H. (1937), “The Nature of the Firm”, </w:t>
      </w:r>
      <w:r w:rsidRPr="00137589">
        <w:rPr>
          <w:i/>
        </w:rPr>
        <w:t>Economica</w:t>
      </w:r>
      <w:r w:rsidRPr="00137589">
        <w:t>, New Series</w:t>
      </w:r>
      <w:r w:rsidR="00361D4B" w:rsidRPr="00137589">
        <w:t xml:space="preserve">, Vol. 4, nº 16, November, </w:t>
      </w:r>
      <w:r w:rsidRPr="00137589">
        <w:t xml:space="preserve"> 386-405.</w:t>
      </w:r>
    </w:p>
    <w:p w:rsidR="00D06A8F" w:rsidRPr="00137589" w:rsidRDefault="00D06A8F" w:rsidP="00D06A8F">
      <w:pPr>
        <w:spacing w:after="0" w:line="480" w:lineRule="auto"/>
        <w:ind w:left="567" w:hanging="567"/>
        <w:jc w:val="both"/>
        <w:rPr>
          <w:lang w:val="pt-PT"/>
        </w:rPr>
      </w:pPr>
      <w:r w:rsidRPr="00137589">
        <w:rPr>
          <w:lang w:val="pt-PT"/>
        </w:rPr>
        <w:t xml:space="preserve">Companhia Geral do Crédito Predial Português (1960-1999), </w:t>
      </w:r>
      <w:r w:rsidRPr="00137589">
        <w:rPr>
          <w:i/>
          <w:lang w:val="pt-PT"/>
        </w:rPr>
        <w:t>Relatório e Contas</w:t>
      </w:r>
      <w:r w:rsidRPr="00137589">
        <w:rPr>
          <w:lang w:val="pt-PT"/>
        </w:rPr>
        <w:t>, Lisbon, Companhia Geral do Crédito Predial Português.</w:t>
      </w:r>
    </w:p>
    <w:p w:rsidR="00D06A8F" w:rsidRPr="00137589" w:rsidRDefault="00D06A8F" w:rsidP="00D06A8F">
      <w:pPr>
        <w:spacing w:after="0" w:line="480" w:lineRule="auto"/>
        <w:ind w:left="567" w:hanging="567"/>
        <w:jc w:val="both"/>
        <w:rPr>
          <w:lang w:val="pt-PT"/>
        </w:rPr>
      </w:pPr>
      <w:r w:rsidRPr="00137589">
        <w:rPr>
          <w:lang w:val="pt-PT"/>
        </w:rPr>
        <w:t xml:space="preserve">Costa, Sílvio Domingues (2014), </w:t>
      </w:r>
      <w:r w:rsidRPr="00137589">
        <w:rPr>
          <w:i/>
          <w:lang w:val="pt-PT"/>
        </w:rPr>
        <w:t xml:space="preserve">Concentração Bancária em Portugal, Uma Análise de </w:t>
      </w:r>
      <w:r w:rsidRPr="00137589">
        <w:rPr>
          <w:lang w:val="pt-PT"/>
        </w:rPr>
        <w:t>Performance</w:t>
      </w:r>
      <w:r w:rsidRPr="00137589">
        <w:rPr>
          <w:i/>
          <w:lang w:val="pt-PT"/>
        </w:rPr>
        <w:t xml:space="preserve"> do Sector Bancário</w:t>
      </w:r>
      <w:r w:rsidRPr="00137589">
        <w:rPr>
          <w:lang w:val="pt-PT"/>
        </w:rPr>
        <w:t>, Coimbra, Masters Dissertation at Faculdade de Economia – Universidade de Coimbra.</w:t>
      </w:r>
    </w:p>
    <w:p w:rsidR="00D06A8F" w:rsidRPr="00137589" w:rsidRDefault="00D06A8F" w:rsidP="00D06A8F">
      <w:pPr>
        <w:spacing w:after="0" w:line="480" w:lineRule="auto"/>
        <w:ind w:left="567" w:hanging="567"/>
        <w:jc w:val="both"/>
        <w:rPr>
          <w:lang w:val="pt-PT"/>
        </w:rPr>
      </w:pPr>
      <w:r w:rsidRPr="00137589">
        <w:rPr>
          <w:lang w:val="pt-PT"/>
        </w:rPr>
        <w:t xml:space="preserve">Crédit Franco-Portugais (1964-1988), </w:t>
      </w:r>
      <w:r w:rsidRPr="00137589">
        <w:rPr>
          <w:i/>
          <w:lang w:val="pt-PT"/>
        </w:rPr>
        <w:t>Relatório e Contas</w:t>
      </w:r>
      <w:r w:rsidRPr="00137589">
        <w:rPr>
          <w:lang w:val="pt-PT"/>
        </w:rPr>
        <w:t>, Lisbon, Crédito Franco-Portugais.</w:t>
      </w:r>
    </w:p>
    <w:p w:rsidR="00D06A8F" w:rsidRPr="00137589" w:rsidRDefault="00D06A8F" w:rsidP="00D06A8F">
      <w:pPr>
        <w:spacing w:after="0" w:line="480" w:lineRule="auto"/>
        <w:ind w:left="567" w:hanging="567"/>
        <w:jc w:val="both"/>
        <w:rPr>
          <w:lang w:val="pt-PT"/>
        </w:rPr>
      </w:pPr>
      <w:r w:rsidRPr="00137589">
        <w:rPr>
          <w:lang w:val="pt-PT"/>
        </w:rPr>
        <w:t xml:space="preserve">Crédit Lyonnais Portugal (1989-1999), </w:t>
      </w:r>
      <w:r w:rsidRPr="00137589">
        <w:rPr>
          <w:i/>
          <w:lang w:val="pt-PT"/>
        </w:rPr>
        <w:t>Relatório e Contas</w:t>
      </w:r>
      <w:r w:rsidRPr="00137589">
        <w:rPr>
          <w:lang w:val="pt-PT"/>
        </w:rPr>
        <w:t>, Lisbon, Crédit Lyonnais Portugal.</w:t>
      </w:r>
    </w:p>
    <w:p w:rsidR="00D06A8F" w:rsidRPr="00137589" w:rsidRDefault="00D06A8F" w:rsidP="00D06A8F">
      <w:pPr>
        <w:spacing w:after="0" w:line="480" w:lineRule="auto"/>
        <w:ind w:left="567" w:hanging="567"/>
        <w:jc w:val="both"/>
        <w:rPr>
          <w:lang w:val="pt-PT"/>
        </w:rPr>
      </w:pPr>
      <w:r w:rsidRPr="00137589">
        <w:rPr>
          <w:lang w:val="pt-PT"/>
        </w:rPr>
        <w:t xml:space="preserve">Deutsche Bank Portugal (2004-2015), </w:t>
      </w:r>
      <w:r w:rsidRPr="00137589">
        <w:rPr>
          <w:i/>
          <w:lang w:val="pt-PT"/>
        </w:rPr>
        <w:t>Relatório e Contas</w:t>
      </w:r>
      <w:r w:rsidRPr="00137589">
        <w:rPr>
          <w:lang w:val="pt-PT"/>
        </w:rPr>
        <w:t>, Lisbon, Deutsche Bank Portugal.</w:t>
      </w:r>
    </w:p>
    <w:p w:rsidR="00D06A8F" w:rsidRPr="00137589" w:rsidRDefault="00D06A8F" w:rsidP="00D06A8F">
      <w:pPr>
        <w:spacing w:after="0" w:line="480" w:lineRule="auto"/>
        <w:ind w:left="567" w:hanging="567"/>
        <w:jc w:val="both"/>
        <w:rPr>
          <w:lang w:val="pt-PT"/>
        </w:rPr>
      </w:pPr>
      <w:r w:rsidRPr="00137589">
        <w:rPr>
          <w:lang w:val="pt-PT"/>
        </w:rPr>
        <w:t xml:space="preserve">Finibanco (1993-2000), </w:t>
      </w:r>
      <w:r w:rsidRPr="00137589">
        <w:rPr>
          <w:i/>
          <w:lang w:val="pt-PT"/>
        </w:rPr>
        <w:t>Relatório e Contas</w:t>
      </w:r>
      <w:r w:rsidRPr="00137589">
        <w:rPr>
          <w:lang w:val="pt-PT"/>
        </w:rPr>
        <w:t>, Lisbon, Finibanco.</w:t>
      </w:r>
    </w:p>
    <w:p w:rsidR="00D06A8F" w:rsidRPr="00137589" w:rsidRDefault="00D06A8F" w:rsidP="00D06A8F">
      <w:pPr>
        <w:spacing w:after="0" w:line="480" w:lineRule="auto"/>
        <w:ind w:left="567" w:hanging="567"/>
        <w:jc w:val="both"/>
        <w:rPr>
          <w:lang w:val="pt-PT"/>
        </w:rPr>
      </w:pPr>
      <w:r w:rsidRPr="00137589">
        <w:rPr>
          <w:lang w:val="pt-PT"/>
        </w:rPr>
        <w:t xml:space="preserve">INEa (Instituto Nacional de Estatística), (1960-2006), </w:t>
      </w:r>
      <w:r w:rsidRPr="00137589">
        <w:rPr>
          <w:i/>
          <w:lang w:val="pt-PT"/>
        </w:rPr>
        <w:t>Estatísticas Financeiras</w:t>
      </w:r>
      <w:r w:rsidRPr="00137589">
        <w:rPr>
          <w:lang w:val="pt-PT"/>
        </w:rPr>
        <w:t>, Lisbon, INE.</w:t>
      </w:r>
    </w:p>
    <w:p w:rsidR="00D06A8F" w:rsidRPr="00137589" w:rsidRDefault="00D06A8F" w:rsidP="00D06A8F">
      <w:pPr>
        <w:spacing w:after="0" w:line="480" w:lineRule="auto"/>
        <w:ind w:left="567" w:hanging="567"/>
        <w:jc w:val="both"/>
        <w:rPr>
          <w:lang w:val="pt-PT"/>
        </w:rPr>
      </w:pPr>
      <w:r w:rsidRPr="00137589">
        <w:rPr>
          <w:lang w:val="pt-PT"/>
        </w:rPr>
        <w:t xml:space="preserve">INEb (1960-1976), </w:t>
      </w:r>
      <w:r w:rsidRPr="00137589">
        <w:rPr>
          <w:i/>
          <w:lang w:val="pt-PT"/>
        </w:rPr>
        <w:t>Estatísticas das Sociedades</w:t>
      </w:r>
      <w:r w:rsidRPr="00137589">
        <w:rPr>
          <w:lang w:val="pt-PT"/>
        </w:rPr>
        <w:t>, Lisbon, INE.</w:t>
      </w:r>
    </w:p>
    <w:p w:rsidR="00D06A8F" w:rsidRPr="00137589" w:rsidRDefault="00D06A8F" w:rsidP="00D06A8F">
      <w:pPr>
        <w:spacing w:after="0" w:line="480" w:lineRule="auto"/>
        <w:ind w:left="567" w:hanging="567"/>
        <w:jc w:val="both"/>
        <w:rPr>
          <w:lang w:val="pt-PT"/>
        </w:rPr>
      </w:pPr>
      <w:r w:rsidRPr="00137589">
        <w:rPr>
          <w:lang w:val="pt-PT"/>
        </w:rPr>
        <w:t xml:space="preserve">Interbanco (1998-2000), </w:t>
      </w:r>
      <w:r w:rsidRPr="00137589">
        <w:rPr>
          <w:i/>
          <w:lang w:val="pt-PT"/>
        </w:rPr>
        <w:t>Relatório e Contas</w:t>
      </w:r>
      <w:r w:rsidRPr="00137589">
        <w:rPr>
          <w:lang w:val="pt-PT"/>
        </w:rPr>
        <w:t>, Lisbon, Interbanco.</w:t>
      </w:r>
    </w:p>
    <w:p w:rsidR="00C824C7" w:rsidRPr="00137589" w:rsidRDefault="00C824C7" w:rsidP="00D06A8F">
      <w:pPr>
        <w:spacing w:after="0" w:line="480" w:lineRule="auto"/>
        <w:ind w:left="567" w:hanging="567"/>
        <w:jc w:val="both"/>
        <w:rPr>
          <w:lang w:val="en-US"/>
        </w:rPr>
      </w:pPr>
      <w:r w:rsidRPr="00137589">
        <w:rPr>
          <w:lang w:val="en-US"/>
        </w:rPr>
        <w:t xml:space="preserve">Léon, Florian (2014), “Measuring Competition in Banking: a Critical Review of the Methods”, </w:t>
      </w:r>
      <w:r w:rsidRPr="00137589">
        <w:rPr>
          <w:i/>
          <w:lang w:val="en-US"/>
        </w:rPr>
        <w:t>CERDI, Études et Documents</w:t>
      </w:r>
      <w:r w:rsidRPr="00137589">
        <w:rPr>
          <w:lang w:val="en-US"/>
        </w:rPr>
        <w:t>, nº 12.</w:t>
      </w:r>
    </w:p>
    <w:p w:rsidR="00C824C7" w:rsidRPr="00EB2354" w:rsidRDefault="00C824C7" w:rsidP="00D06A8F">
      <w:pPr>
        <w:spacing w:after="0" w:line="480" w:lineRule="auto"/>
        <w:ind w:left="567" w:hanging="567"/>
        <w:jc w:val="both"/>
        <w:rPr>
          <w:lang w:val="pt-PT"/>
        </w:rPr>
      </w:pPr>
      <w:r w:rsidRPr="00EB2354">
        <w:rPr>
          <w:lang w:val="pt-PT"/>
        </w:rPr>
        <w:t xml:space="preserve">Mexia, António and António Nogueira Leite (1992), “The Pattern of Banking Liberalization in Portugal: 1984-1990”, </w:t>
      </w:r>
      <w:r w:rsidRPr="00EB2354">
        <w:rPr>
          <w:i/>
          <w:lang w:val="pt-PT"/>
        </w:rPr>
        <w:t>Faculdade de Economia da Universidade Nova de Lisboa Working Paper</w:t>
      </w:r>
      <w:r w:rsidRPr="00EB2354">
        <w:rPr>
          <w:lang w:val="pt-PT"/>
        </w:rPr>
        <w:t>, nº 187.</w:t>
      </w:r>
    </w:p>
    <w:p w:rsidR="00D06A8F" w:rsidRPr="00137589" w:rsidRDefault="00D06A8F" w:rsidP="00D06A8F">
      <w:pPr>
        <w:spacing w:after="0" w:line="480" w:lineRule="auto"/>
        <w:ind w:left="567" w:hanging="567"/>
        <w:jc w:val="both"/>
        <w:rPr>
          <w:lang w:val="en-US"/>
        </w:rPr>
      </w:pPr>
      <w:r w:rsidRPr="00137589">
        <w:rPr>
          <w:lang w:val="en-US"/>
        </w:rPr>
        <w:t xml:space="preserve">Molyneux, Philip, D.M. Lloyd-Williams and John Thornton (1994), “Competitive Conditions in European Banking”, </w:t>
      </w:r>
      <w:r w:rsidRPr="00137589">
        <w:rPr>
          <w:i/>
          <w:lang w:val="en-US"/>
        </w:rPr>
        <w:t>Journal of Banking and Finance</w:t>
      </w:r>
      <w:r w:rsidRPr="00137589">
        <w:rPr>
          <w:lang w:val="en-US"/>
        </w:rPr>
        <w:t>, 18, 445-459.</w:t>
      </w:r>
    </w:p>
    <w:p w:rsidR="00D74862" w:rsidRPr="00EB2354" w:rsidRDefault="00D74862" w:rsidP="00D06A8F">
      <w:pPr>
        <w:spacing w:after="0" w:line="480" w:lineRule="auto"/>
        <w:ind w:left="567" w:hanging="567"/>
        <w:jc w:val="both"/>
        <w:rPr>
          <w:lang w:val="en-US"/>
        </w:rPr>
      </w:pPr>
      <w:r w:rsidRPr="00EB2354">
        <w:rPr>
          <w:lang w:val="en-US"/>
        </w:rPr>
        <w:lastRenderedPageBreak/>
        <w:t>Monnet,Eric (2012), “Financing a Planned Economy: Institutions and Credit Allocation in the French Golden Age of Growth (1954-1974)</w:t>
      </w:r>
      <w:r w:rsidR="00233E71" w:rsidRPr="00EB2354">
        <w:rPr>
          <w:lang w:val="en-US"/>
        </w:rPr>
        <w:t xml:space="preserve">, </w:t>
      </w:r>
      <w:r w:rsidR="00CE368C" w:rsidRPr="00EB2354">
        <w:rPr>
          <w:lang w:val="en-US"/>
        </w:rPr>
        <w:t>Paper presented at the London FRESH Meeting, Financial Institutions and Economic Growth in Historical Perspective, London.</w:t>
      </w:r>
    </w:p>
    <w:p w:rsidR="00D06A8F" w:rsidRPr="00137589" w:rsidRDefault="00D06A8F" w:rsidP="00D06A8F">
      <w:pPr>
        <w:spacing w:after="0" w:line="480" w:lineRule="auto"/>
        <w:ind w:left="567" w:hanging="567"/>
        <w:jc w:val="both"/>
        <w:rPr>
          <w:lang w:val="pt-PT"/>
        </w:rPr>
      </w:pPr>
      <w:r w:rsidRPr="00137589">
        <w:rPr>
          <w:lang w:val="pt-PT"/>
        </w:rPr>
        <w:t xml:space="preserve">Montepio Geral (1997-2015), </w:t>
      </w:r>
      <w:r w:rsidRPr="00137589">
        <w:rPr>
          <w:i/>
          <w:lang w:val="pt-PT"/>
        </w:rPr>
        <w:t>Relatório e Contas</w:t>
      </w:r>
      <w:r w:rsidRPr="00137589">
        <w:rPr>
          <w:lang w:val="pt-PT"/>
        </w:rPr>
        <w:t>, Lisbon, Montepio Geral.</w:t>
      </w:r>
    </w:p>
    <w:p w:rsidR="00361D4B" w:rsidRPr="00EB2354" w:rsidRDefault="00361D4B" w:rsidP="00D06A8F">
      <w:pPr>
        <w:spacing w:after="0" w:line="480" w:lineRule="auto"/>
        <w:ind w:left="567" w:hanging="567"/>
        <w:jc w:val="both"/>
        <w:rPr>
          <w:lang w:val="en-US"/>
        </w:rPr>
      </w:pPr>
      <w:r w:rsidRPr="00EB2354">
        <w:rPr>
          <w:lang w:val="en-US"/>
        </w:rPr>
        <w:t xml:space="preserve">Nathan, A. And E.H. Neave (1989), “Competition and Contestability in Canada’s Financial System: Empirical Results”, </w:t>
      </w:r>
      <w:r w:rsidRPr="00EB2354">
        <w:rPr>
          <w:i/>
          <w:lang w:val="en-US"/>
        </w:rPr>
        <w:t>The Canadian Journal of Economics</w:t>
      </w:r>
      <w:r w:rsidRPr="00EB2354">
        <w:rPr>
          <w:lang w:val="en-US"/>
        </w:rPr>
        <w:t>, vol. 22, nº 3, 576-594</w:t>
      </w:r>
    </w:p>
    <w:p w:rsidR="00D06A8F" w:rsidRPr="00137589" w:rsidRDefault="00D06A8F" w:rsidP="00D06A8F">
      <w:pPr>
        <w:spacing w:after="0" w:line="480" w:lineRule="auto"/>
        <w:ind w:left="567" w:hanging="567"/>
        <w:jc w:val="both"/>
        <w:rPr>
          <w:lang w:val="en-US"/>
        </w:rPr>
      </w:pPr>
      <w:r w:rsidRPr="00137589">
        <w:t xml:space="preserve">OECD (2010), </w:t>
      </w:r>
      <w:r w:rsidRPr="00137589">
        <w:rPr>
          <w:i/>
        </w:rPr>
        <w:t>Policy Roundtables: Competition, Concentration and Stability in the Banking Sector</w:t>
      </w:r>
      <w:r w:rsidRPr="00137589">
        <w:t>, Paris, OECD.</w:t>
      </w:r>
    </w:p>
    <w:p w:rsidR="00D06A8F" w:rsidRPr="00137589" w:rsidRDefault="00D06A8F" w:rsidP="00D06A8F">
      <w:pPr>
        <w:spacing w:after="0" w:line="480" w:lineRule="auto"/>
        <w:ind w:left="567" w:hanging="567"/>
        <w:jc w:val="both"/>
        <w:rPr>
          <w:lang w:val="en-US"/>
        </w:rPr>
      </w:pPr>
      <w:r w:rsidRPr="00137589">
        <w:rPr>
          <w:i/>
        </w:rPr>
        <w:t>Idem</w:t>
      </w:r>
      <w:r w:rsidRPr="00137589">
        <w:t xml:space="preserve"> (2011), </w:t>
      </w:r>
      <w:r w:rsidRPr="00137589">
        <w:rPr>
          <w:i/>
        </w:rPr>
        <w:t>Bank Competition and Financial Stability</w:t>
      </w:r>
      <w:r w:rsidRPr="00137589">
        <w:t>, Paris OECD.</w:t>
      </w:r>
    </w:p>
    <w:p w:rsidR="00D06A8F" w:rsidRPr="00137589" w:rsidRDefault="00D06A8F" w:rsidP="00D06A8F">
      <w:pPr>
        <w:spacing w:after="0" w:line="480" w:lineRule="auto"/>
        <w:ind w:left="567" w:hanging="567"/>
        <w:jc w:val="both"/>
        <w:rPr>
          <w:lang w:val="en-US"/>
        </w:rPr>
      </w:pPr>
      <w:r w:rsidRPr="00137589">
        <w:rPr>
          <w:lang w:val="en-US"/>
        </w:rPr>
        <w:t xml:space="preserve">Panzar, John C. and James N. Rosse (1987), “Testing for ‘Monopoly’ Equilibrium”, </w:t>
      </w:r>
      <w:r w:rsidRPr="00137589">
        <w:rPr>
          <w:i/>
          <w:lang w:val="en-US"/>
        </w:rPr>
        <w:t>Journal of Industrial Economics</w:t>
      </w:r>
      <w:r w:rsidRPr="00137589">
        <w:rPr>
          <w:lang w:val="en-US"/>
        </w:rPr>
        <w:t xml:space="preserve">, vol. </w:t>
      </w:r>
      <w:r w:rsidRPr="00137589">
        <w:t>XXXV, 443-456.</w:t>
      </w:r>
    </w:p>
    <w:p w:rsidR="00D06A8F" w:rsidRPr="00137589" w:rsidRDefault="00D06A8F" w:rsidP="00D06A8F">
      <w:pPr>
        <w:spacing w:after="0" w:line="480" w:lineRule="auto"/>
        <w:ind w:left="567" w:hanging="567"/>
        <w:jc w:val="both"/>
        <w:rPr>
          <w:lang w:val="en-US"/>
        </w:rPr>
      </w:pPr>
      <w:r w:rsidRPr="00137589">
        <w:rPr>
          <w:lang w:val="en-US"/>
        </w:rPr>
        <w:t xml:space="preserve">Pinho, Paulo Soares de (2000), “The Impact of Deregulation on Price and Non-Price Competition on the Portuguese Deposits Market”, </w:t>
      </w:r>
      <w:r w:rsidRPr="00137589">
        <w:rPr>
          <w:i/>
          <w:lang w:val="en-US"/>
        </w:rPr>
        <w:t>Journal of Banking and Finance</w:t>
      </w:r>
      <w:r w:rsidRPr="00137589">
        <w:rPr>
          <w:lang w:val="en-US"/>
        </w:rPr>
        <w:t>, 24, 1515-1533.</w:t>
      </w:r>
    </w:p>
    <w:p w:rsidR="00D06A8F" w:rsidRPr="00137589" w:rsidRDefault="00D06A8F" w:rsidP="00D06A8F">
      <w:pPr>
        <w:spacing w:after="0" w:line="480" w:lineRule="auto"/>
        <w:ind w:left="567" w:hanging="567"/>
        <w:jc w:val="both"/>
      </w:pPr>
      <w:r w:rsidRPr="00137589">
        <w:t xml:space="preserve">Pons Brias, Maria Ángeles (2002), </w:t>
      </w:r>
      <w:r w:rsidRPr="00137589">
        <w:rPr>
          <w:i/>
        </w:rPr>
        <w:t>Regulating Spanish Banking, 1939-1975</w:t>
      </w:r>
      <w:r w:rsidRPr="00137589">
        <w:t>, Aldershot, Ashgate.</w:t>
      </w:r>
    </w:p>
    <w:p w:rsidR="00D06A8F" w:rsidRPr="00137589" w:rsidRDefault="00D06A8F" w:rsidP="00D06A8F">
      <w:pPr>
        <w:spacing w:after="0" w:line="480" w:lineRule="auto"/>
        <w:ind w:left="567" w:hanging="567"/>
        <w:jc w:val="both"/>
        <w:rPr>
          <w:lang w:val="pt-PT"/>
        </w:rPr>
      </w:pPr>
      <w:r w:rsidRPr="00137589">
        <w:rPr>
          <w:lang w:val="pt-PT"/>
        </w:rPr>
        <w:t xml:space="preserve">Pordata, </w:t>
      </w:r>
      <w:hyperlink r:id="rId11" w:history="1">
        <w:r w:rsidRPr="00137589">
          <w:rPr>
            <w:rStyle w:val="Hyperlink"/>
            <w:lang w:val="pt-PT"/>
          </w:rPr>
          <w:t>http://www.pordata.pt/</w:t>
        </w:r>
      </w:hyperlink>
    </w:p>
    <w:p w:rsidR="00D06A8F" w:rsidRPr="00137589" w:rsidRDefault="00D06A8F" w:rsidP="00D06A8F">
      <w:pPr>
        <w:spacing w:line="360" w:lineRule="auto"/>
        <w:ind w:left="567" w:hanging="567"/>
        <w:jc w:val="both"/>
        <w:rPr>
          <w:lang w:val="pt-PT"/>
        </w:rPr>
      </w:pPr>
      <w:r w:rsidRPr="00137589">
        <w:rPr>
          <w:lang w:val="pt-PT"/>
        </w:rPr>
        <w:t xml:space="preserve">Pueyo Sanchéz, Javier (2003), “Oligopolio y competencia en la banca española del siglo XX: concentración económica y movilidad intra-industrial, 1922-1995”, </w:t>
      </w:r>
      <w:r w:rsidRPr="00137589">
        <w:rPr>
          <w:i/>
          <w:lang w:val="pt-PT"/>
        </w:rPr>
        <w:t>Revista de Historia Económica</w:t>
      </w:r>
      <w:r w:rsidRPr="00137589">
        <w:rPr>
          <w:lang w:val="pt-PT"/>
        </w:rPr>
        <w:t>, Año XXI, Invierno, nº1, 147-198.</w:t>
      </w:r>
    </w:p>
    <w:p w:rsidR="00D06A8F" w:rsidRPr="00137589" w:rsidRDefault="00D06A8F" w:rsidP="00D06A8F">
      <w:pPr>
        <w:spacing w:line="360" w:lineRule="auto"/>
        <w:ind w:left="567" w:hanging="567"/>
        <w:jc w:val="both"/>
      </w:pPr>
      <w:r w:rsidRPr="00137589">
        <w:rPr>
          <w:lang w:val="en-US"/>
        </w:rPr>
        <w:t xml:space="preserve">Reis, Jaime </w:t>
      </w:r>
      <w:r w:rsidRPr="00137589">
        <w:t xml:space="preserve">(1995), “Portuguese Banking in the Inter-war Period”, in Charles H. Feinstein (ed.), </w:t>
      </w:r>
      <w:r w:rsidRPr="00137589">
        <w:rPr>
          <w:i/>
        </w:rPr>
        <w:t>Banking, Currency and Finance in Europe Between the Wars</w:t>
      </w:r>
      <w:r w:rsidRPr="00137589">
        <w:t>, Oxford, Oxford University Press.</w:t>
      </w:r>
    </w:p>
    <w:p w:rsidR="00C824C7" w:rsidRPr="00137589" w:rsidRDefault="00C824C7" w:rsidP="00D06A8F">
      <w:pPr>
        <w:spacing w:line="360" w:lineRule="auto"/>
        <w:ind w:left="567" w:hanging="567"/>
        <w:jc w:val="both"/>
      </w:pPr>
      <w:r w:rsidRPr="00137589">
        <w:t>Roberts, Toby (2014), “</w:t>
      </w:r>
      <w:r w:rsidR="009151CA" w:rsidRPr="00137589">
        <w:t>When Bigger is Better: a C</w:t>
      </w:r>
      <w:r w:rsidRPr="00137589">
        <w:t>ritique</w:t>
      </w:r>
      <w:r w:rsidR="009151CA" w:rsidRPr="00137589">
        <w:t xml:space="preserve"> of the Herfinahl-Hirschman Index’s Use to Evaluate Mergers in Network Industries”, </w:t>
      </w:r>
      <w:r w:rsidR="009151CA" w:rsidRPr="00137589">
        <w:rPr>
          <w:i/>
        </w:rPr>
        <w:t>Pace Law Review</w:t>
      </w:r>
      <w:r w:rsidR="009151CA" w:rsidRPr="00137589">
        <w:t>, 2, Spring.</w:t>
      </w:r>
    </w:p>
    <w:p w:rsidR="00D06A8F" w:rsidRPr="00137589" w:rsidRDefault="00D06A8F" w:rsidP="00D06A8F">
      <w:pPr>
        <w:spacing w:after="0" w:line="480" w:lineRule="auto"/>
        <w:ind w:left="567" w:hanging="567"/>
        <w:jc w:val="both"/>
        <w:rPr>
          <w:lang w:val="en-US"/>
        </w:rPr>
      </w:pPr>
      <w:r w:rsidRPr="00137589">
        <w:rPr>
          <w:lang w:val="en-US"/>
        </w:rPr>
        <w:t xml:space="preserve">Rosse James N. and John C. Panzar (1977), “Chamberlin vs. Robinson: an Empirical Study for Monopoly Rents”, </w:t>
      </w:r>
      <w:r w:rsidRPr="00137589">
        <w:rPr>
          <w:i/>
          <w:lang w:val="en-US"/>
        </w:rPr>
        <w:t>Bell Laboratories Economic Discussion Paper</w:t>
      </w:r>
      <w:r w:rsidRPr="00137589">
        <w:rPr>
          <w:lang w:val="en-US"/>
        </w:rPr>
        <w:t>.</w:t>
      </w:r>
    </w:p>
    <w:p w:rsidR="00D06A8F" w:rsidRPr="00137589" w:rsidRDefault="00D06A8F" w:rsidP="00D06A8F">
      <w:pPr>
        <w:spacing w:after="0" w:line="480" w:lineRule="auto"/>
        <w:ind w:left="567" w:hanging="567"/>
        <w:jc w:val="both"/>
        <w:rPr>
          <w:lang w:val="en-US"/>
        </w:rPr>
      </w:pPr>
      <w:r w:rsidRPr="00137589">
        <w:rPr>
          <w:lang w:val="en-US"/>
        </w:rPr>
        <w:t>Shaf</w:t>
      </w:r>
      <w:r w:rsidR="009151CA" w:rsidRPr="00137589">
        <w:rPr>
          <w:lang w:val="en-US"/>
        </w:rPr>
        <w:t>f</w:t>
      </w:r>
      <w:r w:rsidRPr="00137589">
        <w:rPr>
          <w:lang w:val="en-US"/>
        </w:rPr>
        <w:t>er, Sherrill (1982), “A Non-Structural Test for Competition in Financial markets”, Proceedings of a conference on Bank Structure and Competition, Federal Reserve Bank of Chicago.</w:t>
      </w:r>
    </w:p>
    <w:p w:rsidR="00E342E7" w:rsidRPr="00137589" w:rsidRDefault="00E342E7" w:rsidP="00D06A8F">
      <w:pPr>
        <w:spacing w:after="0" w:line="480" w:lineRule="auto"/>
        <w:ind w:left="567" w:hanging="567"/>
        <w:jc w:val="both"/>
        <w:rPr>
          <w:lang w:val="en-US"/>
        </w:rPr>
      </w:pPr>
      <w:r w:rsidRPr="00137589">
        <w:rPr>
          <w:i/>
          <w:lang w:val="en-US"/>
        </w:rPr>
        <w:t>Idem</w:t>
      </w:r>
      <w:r w:rsidRPr="00137589">
        <w:rPr>
          <w:lang w:val="en-US"/>
        </w:rPr>
        <w:t xml:space="preserve"> and </w:t>
      </w:r>
      <w:r w:rsidR="00AA182D" w:rsidRPr="00137589">
        <w:rPr>
          <w:lang w:val="en-US"/>
        </w:rPr>
        <w:t xml:space="preserve">Laura Spierdijk (2013), “Duopoly Conduct and the Panzar-Rosse Revenue Test”, </w:t>
      </w:r>
      <w:r w:rsidR="00AA182D" w:rsidRPr="00137589">
        <w:rPr>
          <w:i/>
          <w:lang w:val="en-US"/>
        </w:rPr>
        <w:t>University of Groeningen Working Paper</w:t>
      </w:r>
      <w:r w:rsidR="00AA182D" w:rsidRPr="00137589">
        <w:rPr>
          <w:lang w:val="en-US"/>
        </w:rPr>
        <w:t>, 2013.</w:t>
      </w:r>
    </w:p>
    <w:p w:rsidR="00AA182D" w:rsidRPr="00137589" w:rsidRDefault="00AA182D" w:rsidP="00D06A8F">
      <w:pPr>
        <w:spacing w:after="0" w:line="480" w:lineRule="auto"/>
        <w:ind w:left="567" w:hanging="567"/>
        <w:jc w:val="both"/>
      </w:pPr>
      <w:r w:rsidRPr="00137589">
        <w:rPr>
          <w:i/>
          <w:lang w:val="en-US"/>
        </w:rPr>
        <w:lastRenderedPageBreak/>
        <w:t>Idem</w:t>
      </w:r>
      <w:r w:rsidRPr="00137589">
        <w:rPr>
          <w:lang w:val="en-US"/>
        </w:rPr>
        <w:t xml:space="preserve"> (2015), “The Panzar-Rosse Revenue test and Market Power in Banking”, </w:t>
      </w:r>
      <w:r w:rsidRPr="00137589">
        <w:rPr>
          <w:i/>
          <w:lang w:val="en-US"/>
        </w:rPr>
        <w:t>Journal of Banking and Finance</w:t>
      </w:r>
      <w:r w:rsidRPr="00137589">
        <w:rPr>
          <w:lang w:val="en-US"/>
        </w:rPr>
        <w:t>, 61, pp. 340-347.</w:t>
      </w:r>
    </w:p>
    <w:p w:rsidR="00D06A8F" w:rsidRPr="00137589" w:rsidRDefault="00D06A8F" w:rsidP="00D06A8F">
      <w:pPr>
        <w:spacing w:after="0" w:line="480" w:lineRule="auto"/>
        <w:ind w:left="567" w:hanging="567"/>
        <w:jc w:val="both"/>
      </w:pPr>
      <w:r w:rsidRPr="00137589">
        <w:t xml:space="preserve">Silva, Álvaro Ferreira da and Pedro Neves (2014), “Business Coalitions and Segmentation. Dynamics of the Portuguese Corporate network”, in Thomas David and Gerarda Westerhuis, </w:t>
      </w:r>
      <w:r w:rsidRPr="00137589">
        <w:rPr>
          <w:i/>
        </w:rPr>
        <w:t>The Power of Corporate Networks: a Comparative and Historical Perspective</w:t>
      </w:r>
      <w:r w:rsidRPr="00137589">
        <w:t>, New York and London, Routledge.</w:t>
      </w:r>
    </w:p>
    <w:p w:rsidR="00D06A8F" w:rsidRPr="00137589" w:rsidRDefault="00D06A8F" w:rsidP="00D06A8F">
      <w:pPr>
        <w:spacing w:after="0" w:line="480" w:lineRule="auto"/>
        <w:ind w:left="567" w:hanging="567"/>
        <w:jc w:val="both"/>
        <w:rPr>
          <w:lang w:val="pt-PT"/>
        </w:rPr>
      </w:pPr>
      <w:r w:rsidRPr="00137589">
        <w:rPr>
          <w:lang w:val="pt-PT"/>
        </w:rPr>
        <w:t xml:space="preserve">União de Bancos Portugueses (1978-1995), </w:t>
      </w:r>
      <w:r w:rsidRPr="00137589">
        <w:rPr>
          <w:i/>
          <w:lang w:val="pt-PT"/>
        </w:rPr>
        <w:t>Relatório e Contas</w:t>
      </w:r>
      <w:r w:rsidRPr="00137589">
        <w:rPr>
          <w:lang w:val="pt-PT"/>
        </w:rPr>
        <w:t>, Lisbon, União de Bancos Portugueses.</w:t>
      </w:r>
    </w:p>
    <w:p w:rsidR="00D06A8F" w:rsidRPr="00137589" w:rsidRDefault="00D06A8F" w:rsidP="00D06A8F">
      <w:pPr>
        <w:spacing w:line="360" w:lineRule="auto"/>
        <w:ind w:left="567" w:hanging="567"/>
        <w:jc w:val="both"/>
        <w:rPr>
          <w:lang w:val="en-US"/>
        </w:rPr>
      </w:pPr>
      <w:r w:rsidRPr="00137589">
        <w:rPr>
          <w:lang w:val="en-US"/>
        </w:rPr>
        <w:t xml:space="preserve">US Department of Justice and Federal Trade Commission (1982), </w:t>
      </w:r>
      <w:r w:rsidRPr="00137589">
        <w:rPr>
          <w:i/>
          <w:lang w:val="en-US"/>
        </w:rPr>
        <w:t>Horizontal Mergers Guidelines</w:t>
      </w:r>
      <w:r w:rsidRPr="00137589">
        <w:rPr>
          <w:lang w:val="en-US"/>
        </w:rPr>
        <w:t>, Washington, D.C., Department of Justice and Federal Trade Commission.</w:t>
      </w:r>
    </w:p>
    <w:p w:rsidR="00D06A8F" w:rsidRPr="00137589" w:rsidRDefault="00D06A8F" w:rsidP="00D06A8F">
      <w:pPr>
        <w:tabs>
          <w:tab w:val="left" w:pos="930"/>
        </w:tabs>
        <w:spacing w:line="360" w:lineRule="auto"/>
        <w:ind w:left="930" w:hanging="930"/>
        <w:jc w:val="both"/>
      </w:pPr>
      <w:r w:rsidRPr="00137589">
        <w:rPr>
          <w:i/>
          <w:lang w:val="en-US"/>
        </w:rPr>
        <w:t>Idem</w:t>
      </w:r>
      <w:r w:rsidRPr="00137589">
        <w:rPr>
          <w:lang w:val="en-US"/>
        </w:rPr>
        <w:t xml:space="preserve"> (2010), </w:t>
      </w:r>
      <w:r w:rsidRPr="00137589">
        <w:rPr>
          <w:i/>
          <w:lang w:val="en-US"/>
        </w:rPr>
        <w:t>Horizontal Mergers Guidelines</w:t>
      </w:r>
      <w:r w:rsidRPr="00137589">
        <w:rPr>
          <w:lang w:val="en-US"/>
        </w:rPr>
        <w:t>, Washington, D.C., Department of Justice and Federal Trade Commission.</w:t>
      </w:r>
    </w:p>
    <w:p w:rsidR="00D06A8F" w:rsidRPr="00137589" w:rsidRDefault="00D06A8F" w:rsidP="00D06A8F">
      <w:pPr>
        <w:tabs>
          <w:tab w:val="left" w:pos="930"/>
        </w:tabs>
        <w:spacing w:line="360" w:lineRule="auto"/>
        <w:ind w:left="930" w:hanging="930"/>
        <w:jc w:val="both"/>
        <w:rPr>
          <w:lang w:val="pt-PT"/>
        </w:rPr>
      </w:pPr>
      <w:r w:rsidRPr="00137589">
        <w:rPr>
          <w:lang w:val="pt-PT"/>
        </w:rPr>
        <w:t xml:space="preserve">Valério, Nuno (org.) (2010), </w:t>
      </w:r>
      <w:r w:rsidRPr="00137589">
        <w:rPr>
          <w:i/>
          <w:lang w:val="pt-PT"/>
        </w:rPr>
        <w:t>História do Sistema Bancário Português, Vol. II, Da Assunção pelo Banco de Portugal das Funções de Banco Central à União Monetária Europeia, 1931-1998</w:t>
      </w:r>
      <w:r w:rsidRPr="00137589">
        <w:rPr>
          <w:lang w:val="pt-PT"/>
        </w:rPr>
        <w:t>, Lisbon, Banco de Portugal.</w:t>
      </w:r>
    </w:p>
    <w:p w:rsidR="00CE368C" w:rsidRPr="00EB2354" w:rsidRDefault="00CE368C" w:rsidP="00D06A8F">
      <w:pPr>
        <w:tabs>
          <w:tab w:val="left" w:pos="930"/>
        </w:tabs>
        <w:spacing w:line="360" w:lineRule="auto"/>
        <w:ind w:left="930" w:hanging="930"/>
        <w:jc w:val="both"/>
        <w:rPr>
          <w:lang w:val="en-US"/>
        </w:rPr>
      </w:pPr>
      <w:r w:rsidRPr="00EB2354">
        <w:rPr>
          <w:lang w:val="en-US"/>
        </w:rPr>
        <w:t xml:space="preserve">Vesala, J. (1995), “Testing for Competition in Banking: Behavioural Evidence from Finland”, </w:t>
      </w:r>
      <w:r w:rsidRPr="00EB2354">
        <w:rPr>
          <w:i/>
          <w:lang w:val="en-US"/>
        </w:rPr>
        <w:t>Bank of Finland Studies</w:t>
      </w:r>
      <w:r w:rsidRPr="00EB2354">
        <w:rPr>
          <w:lang w:val="en-US"/>
        </w:rPr>
        <w:t>, E: 1.</w:t>
      </w:r>
    </w:p>
    <w:p w:rsidR="00CE368C" w:rsidRPr="00137589" w:rsidRDefault="00D06A8F" w:rsidP="00CE368C">
      <w:pPr>
        <w:tabs>
          <w:tab w:val="left" w:pos="930"/>
        </w:tabs>
        <w:spacing w:line="360" w:lineRule="auto"/>
        <w:ind w:left="930" w:hanging="930"/>
        <w:jc w:val="both"/>
      </w:pPr>
      <w:r w:rsidRPr="00137589">
        <w:t xml:space="preserve">Williamson, Oliver E. (1975), </w:t>
      </w:r>
      <w:r w:rsidRPr="00137589">
        <w:rPr>
          <w:i/>
        </w:rPr>
        <w:t>Markets and Hierarchies: Analysis and Antitrust Implications</w:t>
      </w:r>
      <w:r w:rsidR="00CE368C" w:rsidRPr="00137589">
        <w:t>, New York, Free Press.</w:t>
      </w:r>
    </w:p>
    <w:p w:rsidR="005C5395" w:rsidRPr="00137589" w:rsidRDefault="00D06A8F" w:rsidP="005C5395">
      <w:pPr>
        <w:tabs>
          <w:tab w:val="left" w:pos="930"/>
        </w:tabs>
        <w:spacing w:line="360" w:lineRule="auto"/>
        <w:ind w:left="930" w:hanging="930"/>
        <w:jc w:val="both"/>
      </w:pPr>
      <w:r w:rsidRPr="00137589">
        <w:rPr>
          <w:i/>
        </w:rPr>
        <w:t>Idem</w:t>
      </w:r>
      <w:r w:rsidRPr="00137589">
        <w:t xml:space="preserve"> (1981), “The Economics of Organization. The Transaction Cost Approach”, </w:t>
      </w:r>
      <w:r w:rsidRPr="00137589">
        <w:rPr>
          <w:i/>
        </w:rPr>
        <w:t>American Journal of Sociology</w:t>
      </w:r>
      <w:r w:rsidR="005C5395" w:rsidRPr="00137589">
        <w:t>, Volume 87, Issue 3, November.</w:t>
      </w:r>
    </w:p>
    <w:p w:rsidR="00137589" w:rsidRDefault="00AA182D" w:rsidP="00137589">
      <w:pPr>
        <w:tabs>
          <w:tab w:val="left" w:pos="930"/>
        </w:tabs>
        <w:spacing w:line="360" w:lineRule="auto"/>
        <w:ind w:left="930" w:hanging="930"/>
        <w:jc w:val="both"/>
      </w:pPr>
      <w:r w:rsidRPr="00137589">
        <w:t xml:space="preserve">Wyploz, Charles (1999), “Financial Restraints and Liberalization in the Postwar period”, </w:t>
      </w:r>
      <w:r w:rsidRPr="00137589">
        <w:rPr>
          <w:i/>
        </w:rPr>
        <w:t>CEPR Discussion Paper</w:t>
      </w:r>
      <w:r w:rsidRPr="00137589">
        <w:t>, nº 2253.</w:t>
      </w:r>
    </w:p>
    <w:p w:rsidR="003942C1" w:rsidRDefault="003942C1">
      <w:pPr>
        <w:rPr>
          <w:b/>
        </w:rPr>
      </w:pPr>
      <w:r>
        <w:rPr>
          <w:b/>
        </w:rPr>
        <w:br w:type="page"/>
      </w:r>
    </w:p>
    <w:p w:rsidR="00137589" w:rsidRDefault="00137589" w:rsidP="00137589">
      <w:pPr>
        <w:tabs>
          <w:tab w:val="left" w:pos="930"/>
        </w:tabs>
        <w:spacing w:after="0" w:line="240" w:lineRule="auto"/>
        <w:jc w:val="center"/>
        <w:rPr>
          <w:b/>
        </w:rPr>
      </w:pPr>
      <w:r>
        <w:rPr>
          <w:b/>
        </w:rPr>
        <w:lastRenderedPageBreak/>
        <w:t>Figure 1</w:t>
      </w:r>
    </w:p>
    <w:p w:rsidR="00137589" w:rsidRDefault="00137589" w:rsidP="00137589">
      <w:pPr>
        <w:tabs>
          <w:tab w:val="left" w:pos="930"/>
        </w:tabs>
        <w:spacing w:after="0" w:line="240" w:lineRule="auto"/>
        <w:jc w:val="center"/>
      </w:pPr>
      <w:r>
        <w:rPr>
          <w:b/>
        </w:rPr>
        <w:t>Share of commercial banks assets and of savings banks assets (% of overall financial assets), Portugal, 1960-2006</w:t>
      </w:r>
    </w:p>
    <w:p w:rsidR="00137589" w:rsidRDefault="00137589" w:rsidP="00137589">
      <w:pPr>
        <w:tabs>
          <w:tab w:val="left" w:pos="930"/>
        </w:tabs>
        <w:spacing w:after="0" w:line="240" w:lineRule="auto"/>
        <w:jc w:val="center"/>
      </w:pPr>
      <w:r>
        <w:rPr>
          <w:lang w:eastAsia="en-GB"/>
        </w:rPr>
        <w:drawing>
          <wp:inline distT="0" distB="0" distL="0" distR="0">
            <wp:extent cx="4581525" cy="27527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7589" w:rsidRDefault="00137589" w:rsidP="00137589">
      <w:pPr>
        <w:tabs>
          <w:tab w:val="left" w:pos="930"/>
        </w:tabs>
        <w:spacing w:line="360" w:lineRule="auto"/>
        <w:ind w:left="930" w:hanging="930"/>
        <w:jc w:val="both"/>
        <w:rPr>
          <w:sz w:val="20"/>
          <w:szCs w:val="20"/>
        </w:rPr>
      </w:pPr>
      <w:r>
        <w:rPr>
          <w:sz w:val="20"/>
          <w:szCs w:val="20"/>
        </w:rPr>
        <w:t>Source: INEa (1960-2006)</w:t>
      </w:r>
    </w:p>
    <w:p w:rsidR="00137589" w:rsidRDefault="00137589" w:rsidP="00137589">
      <w:pPr>
        <w:tabs>
          <w:tab w:val="left" w:pos="930"/>
        </w:tabs>
        <w:spacing w:line="360" w:lineRule="auto"/>
        <w:ind w:left="930" w:hanging="930"/>
        <w:jc w:val="both"/>
      </w:pPr>
    </w:p>
    <w:p w:rsidR="00137589" w:rsidRDefault="00137589" w:rsidP="00137589">
      <w:pPr>
        <w:tabs>
          <w:tab w:val="left" w:pos="930"/>
        </w:tabs>
        <w:spacing w:line="360" w:lineRule="auto"/>
        <w:ind w:left="930" w:hanging="930"/>
        <w:jc w:val="both"/>
      </w:pPr>
    </w:p>
    <w:p w:rsidR="00137589" w:rsidRDefault="00137589" w:rsidP="00137589">
      <w:pPr>
        <w:tabs>
          <w:tab w:val="left" w:pos="930"/>
        </w:tabs>
        <w:spacing w:line="360" w:lineRule="auto"/>
        <w:ind w:left="930" w:hanging="930"/>
        <w:jc w:val="both"/>
      </w:pPr>
    </w:p>
    <w:p w:rsidR="00137589" w:rsidRDefault="00137589" w:rsidP="00137589">
      <w:pPr>
        <w:tabs>
          <w:tab w:val="left" w:pos="930"/>
        </w:tabs>
        <w:spacing w:line="360" w:lineRule="auto"/>
        <w:ind w:left="930" w:hanging="930"/>
        <w:jc w:val="both"/>
      </w:pPr>
    </w:p>
    <w:p w:rsidR="00137589" w:rsidRDefault="00137589" w:rsidP="00137589">
      <w:pPr>
        <w:tabs>
          <w:tab w:val="left" w:pos="930"/>
        </w:tabs>
        <w:spacing w:line="360" w:lineRule="auto"/>
        <w:ind w:left="930" w:hanging="930"/>
        <w:jc w:val="both"/>
      </w:pPr>
    </w:p>
    <w:p w:rsidR="00137589" w:rsidRDefault="00137589" w:rsidP="00137589">
      <w:pPr>
        <w:tabs>
          <w:tab w:val="left" w:pos="930"/>
        </w:tabs>
        <w:spacing w:line="360" w:lineRule="auto"/>
        <w:ind w:left="930" w:hanging="930"/>
        <w:jc w:val="both"/>
      </w:pPr>
    </w:p>
    <w:p w:rsidR="00137589" w:rsidRDefault="00137589" w:rsidP="00137589">
      <w:pPr>
        <w:tabs>
          <w:tab w:val="left" w:pos="930"/>
        </w:tabs>
        <w:spacing w:line="360" w:lineRule="auto"/>
        <w:ind w:left="930" w:hanging="930"/>
        <w:jc w:val="both"/>
      </w:pPr>
    </w:p>
    <w:p w:rsidR="00137589" w:rsidRDefault="00137589" w:rsidP="00137589">
      <w:pPr>
        <w:tabs>
          <w:tab w:val="left" w:pos="930"/>
        </w:tabs>
        <w:spacing w:line="360" w:lineRule="auto"/>
        <w:ind w:left="930" w:hanging="930"/>
        <w:jc w:val="both"/>
        <w:sectPr w:rsidR="00137589" w:rsidSect="005647CD">
          <w:headerReference w:type="default" r:id="rId13"/>
          <w:endnotePr>
            <w:numFmt w:val="decimal"/>
          </w:endnotePr>
          <w:pgSz w:w="11906" w:h="16838"/>
          <w:pgMar w:top="1134" w:right="1418" w:bottom="1134" w:left="1418" w:header="709" w:footer="709" w:gutter="0"/>
          <w:cols w:space="708"/>
          <w:docGrid w:linePitch="360"/>
        </w:sectPr>
      </w:pPr>
    </w:p>
    <w:p w:rsidR="00137589" w:rsidRDefault="00137589" w:rsidP="00137589">
      <w:pPr>
        <w:spacing w:after="0" w:line="240" w:lineRule="auto"/>
        <w:jc w:val="center"/>
        <w:rPr>
          <w:rFonts w:cs="Times New Roman"/>
          <w:b/>
        </w:rPr>
      </w:pPr>
      <w:r>
        <w:rPr>
          <w:rFonts w:cs="Times New Roman"/>
          <w:b/>
        </w:rPr>
        <w:lastRenderedPageBreak/>
        <w:t>Table I – Main Elements of the Portuguese Banking Legislation</w:t>
      </w:r>
    </w:p>
    <w:tbl>
      <w:tblPr>
        <w:tblStyle w:val="Tabelacomgrelha2"/>
        <w:tblW w:w="0" w:type="auto"/>
        <w:jc w:val="center"/>
        <w:tblLook w:val="04A0" w:firstRow="1" w:lastRow="0" w:firstColumn="1" w:lastColumn="0" w:noHBand="0" w:noVBand="1"/>
      </w:tblPr>
      <w:tblGrid>
        <w:gridCol w:w="1815"/>
        <w:gridCol w:w="1203"/>
        <w:gridCol w:w="1276"/>
        <w:gridCol w:w="1275"/>
        <w:gridCol w:w="1239"/>
        <w:gridCol w:w="1117"/>
        <w:gridCol w:w="1212"/>
        <w:gridCol w:w="1226"/>
        <w:gridCol w:w="1353"/>
        <w:gridCol w:w="1276"/>
        <w:gridCol w:w="1340"/>
      </w:tblGrid>
      <w:tr w:rsidR="00137589" w:rsidTr="00137589">
        <w:trPr>
          <w:jc w:val="center"/>
        </w:trPr>
        <w:tc>
          <w:tcPr>
            <w:tcW w:w="1815" w:type="dxa"/>
            <w:tcBorders>
              <w:top w:val="single" w:sz="2" w:space="0" w:color="auto"/>
              <w:left w:val="single" w:sz="4" w:space="0" w:color="auto"/>
              <w:bottom w:val="single" w:sz="4" w:space="0" w:color="auto"/>
              <w:right w:val="single" w:sz="4" w:space="0" w:color="auto"/>
            </w:tcBorders>
            <w:shd w:val="clear" w:color="auto" w:fill="A6A6A6" w:themeFill="background1" w:themeFillShade="A6"/>
          </w:tcPr>
          <w:p w:rsidR="00137589" w:rsidRPr="00EB2354" w:rsidRDefault="00137589">
            <w:pPr>
              <w:jc w:val="center"/>
              <w:rPr>
                <w:rFonts w:cs="Times New Roman"/>
                <w:b/>
                <w:sz w:val="24"/>
                <w:szCs w:val="24"/>
                <w:lang w:val="en-US"/>
              </w:rPr>
            </w:pPr>
          </w:p>
        </w:tc>
        <w:tc>
          <w:tcPr>
            <w:tcW w:w="1194" w:type="dxa"/>
            <w:tcBorders>
              <w:top w:val="single" w:sz="2" w:space="0" w:color="auto"/>
              <w:left w:val="single" w:sz="4" w:space="0" w:color="auto"/>
              <w:bottom w:val="single" w:sz="4" w:space="0" w:color="auto"/>
              <w:right w:val="single" w:sz="4" w:space="0" w:color="auto"/>
            </w:tcBorders>
            <w:shd w:val="clear" w:color="auto" w:fill="A6A6A6" w:themeFill="background1" w:themeFillShade="A6"/>
          </w:tcPr>
          <w:p w:rsidR="00137589" w:rsidRPr="00EB2354" w:rsidRDefault="00137589">
            <w:pPr>
              <w:jc w:val="center"/>
              <w:rPr>
                <w:rFonts w:cs="Times New Roman"/>
                <w:b/>
                <w:sz w:val="16"/>
                <w:szCs w:val="16"/>
                <w:lang w:val="en-US"/>
              </w:rPr>
            </w:pPr>
          </w:p>
          <w:p w:rsidR="00137589" w:rsidRDefault="00137589">
            <w:pPr>
              <w:jc w:val="center"/>
              <w:rPr>
                <w:rFonts w:cs="Times New Roman"/>
                <w:b/>
                <w:sz w:val="16"/>
                <w:szCs w:val="16"/>
                <w:lang w:val="pt-PT"/>
              </w:rPr>
            </w:pPr>
            <w:r>
              <w:rPr>
                <w:rFonts w:cs="Times New Roman"/>
                <w:b/>
                <w:sz w:val="16"/>
                <w:szCs w:val="16"/>
                <w:lang w:val="pt-PT"/>
              </w:rPr>
              <w:t>General</w:t>
            </w:r>
          </w:p>
          <w:p w:rsidR="00137589" w:rsidRDefault="00137589">
            <w:pPr>
              <w:jc w:val="center"/>
              <w:rPr>
                <w:rFonts w:cs="Times New Roman"/>
                <w:b/>
                <w:sz w:val="16"/>
                <w:szCs w:val="16"/>
                <w:lang w:val="pt-PT"/>
              </w:rPr>
            </w:pPr>
            <w:r>
              <w:rPr>
                <w:rFonts w:cs="Times New Roman"/>
                <w:b/>
                <w:sz w:val="16"/>
                <w:szCs w:val="16"/>
                <w:lang w:val="pt-PT"/>
              </w:rPr>
              <w:t>Conditions</w:t>
            </w:r>
          </w:p>
        </w:tc>
        <w:tc>
          <w:tcPr>
            <w:tcW w:w="1276" w:type="dxa"/>
            <w:tcBorders>
              <w:top w:val="single" w:sz="2"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16"/>
                <w:szCs w:val="16"/>
                <w:lang w:val="pt-PT"/>
              </w:rPr>
            </w:pPr>
            <w:r>
              <w:rPr>
                <w:rFonts w:cs="Times New Roman"/>
                <w:b/>
                <w:sz w:val="16"/>
                <w:szCs w:val="16"/>
                <w:lang w:val="pt-PT"/>
              </w:rPr>
              <w:t>Capital Requirements</w:t>
            </w:r>
          </w:p>
          <w:p w:rsidR="00137589" w:rsidRDefault="00137589">
            <w:pPr>
              <w:jc w:val="center"/>
              <w:rPr>
                <w:rFonts w:cs="Times New Roman"/>
                <w:b/>
                <w:sz w:val="16"/>
                <w:szCs w:val="16"/>
                <w:lang w:val="pt-PT"/>
              </w:rPr>
            </w:pPr>
          </w:p>
        </w:tc>
        <w:tc>
          <w:tcPr>
            <w:tcW w:w="1275" w:type="dxa"/>
            <w:tcBorders>
              <w:top w:val="single" w:sz="2"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Interest Rates</w:t>
            </w:r>
          </w:p>
        </w:tc>
        <w:tc>
          <w:tcPr>
            <w:tcW w:w="1239" w:type="dxa"/>
            <w:tcBorders>
              <w:top w:val="single" w:sz="2"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Cash Reserves</w:t>
            </w:r>
          </w:p>
        </w:tc>
        <w:tc>
          <w:tcPr>
            <w:tcW w:w="1117" w:type="dxa"/>
            <w:tcBorders>
              <w:top w:val="single" w:sz="2"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16"/>
                <w:szCs w:val="16"/>
                <w:lang w:val="pt-PT"/>
              </w:rPr>
            </w:pPr>
            <w:r>
              <w:rPr>
                <w:rFonts w:cs="Times New Roman"/>
                <w:b/>
                <w:sz w:val="16"/>
                <w:szCs w:val="16"/>
                <w:lang w:val="pt-PT"/>
              </w:rPr>
              <w:t>Operations</w:t>
            </w:r>
          </w:p>
        </w:tc>
        <w:tc>
          <w:tcPr>
            <w:tcW w:w="1212" w:type="dxa"/>
            <w:tcBorders>
              <w:top w:val="single" w:sz="2"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Credit</w:t>
            </w:r>
          </w:p>
        </w:tc>
        <w:tc>
          <w:tcPr>
            <w:tcW w:w="1226" w:type="dxa"/>
            <w:tcBorders>
              <w:top w:val="single" w:sz="2"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Stock/Bonds holdings</w:t>
            </w:r>
          </w:p>
        </w:tc>
        <w:tc>
          <w:tcPr>
            <w:tcW w:w="1353" w:type="dxa"/>
            <w:tcBorders>
              <w:top w:val="single" w:sz="2"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Entry in market</w:t>
            </w:r>
          </w:p>
        </w:tc>
        <w:tc>
          <w:tcPr>
            <w:tcW w:w="1276" w:type="dxa"/>
            <w:tcBorders>
              <w:top w:val="single" w:sz="2"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Mergers &amp; Acquisitions</w:t>
            </w:r>
          </w:p>
        </w:tc>
        <w:tc>
          <w:tcPr>
            <w:tcW w:w="1340" w:type="dxa"/>
            <w:tcBorders>
              <w:top w:val="single" w:sz="2"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Opening of Branches</w:t>
            </w:r>
          </w:p>
        </w:tc>
      </w:tr>
      <w:tr w:rsidR="00137589" w:rsidTr="00137589">
        <w:trPr>
          <w:jc w:val="center"/>
        </w:trPr>
        <w:tc>
          <w:tcPr>
            <w:tcW w:w="1815" w:type="dxa"/>
            <w:tcBorders>
              <w:top w:val="single" w:sz="2" w:space="0" w:color="auto"/>
              <w:left w:val="single" w:sz="4" w:space="0" w:color="auto"/>
              <w:bottom w:val="single" w:sz="4" w:space="0" w:color="auto"/>
              <w:right w:val="single" w:sz="4" w:space="0" w:color="auto"/>
            </w:tcBorders>
          </w:tcPr>
          <w:p w:rsidR="00137589" w:rsidRDefault="00137589">
            <w:pPr>
              <w:spacing w:line="360" w:lineRule="auto"/>
              <w:rPr>
                <w:rFonts w:cs="Times New Roman"/>
                <w:b/>
                <w:sz w:val="16"/>
                <w:szCs w:val="16"/>
                <w:lang w:val="pt-PT"/>
              </w:rPr>
            </w:pPr>
          </w:p>
          <w:p w:rsidR="00137589" w:rsidRDefault="00137589">
            <w:pPr>
              <w:spacing w:line="360" w:lineRule="auto"/>
              <w:rPr>
                <w:rFonts w:cs="Times New Roman"/>
                <w:b/>
                <w:sz w:val="24"/>
                <w:szCs w:val="24"/>
                <w:lang w:val="pt-PT"/>
              </w:rPr>
            </w:pPr>
            <w:r>
              <w:rPr>
                <w:rFonts w:cs="Times New Roman"/>
                <w:b/>
                <w:sz w:val="16"/>
                <w:szCs w:val="16"/>
                <w:lang w:val="pt-PT"/>
              </w:rPr>
              <w:t>Decree-Law 42,641, 12</w:t>
            </w:r>
            <w:r>
              <w:rPr>
                <w:rFonts w:cs="Times New Roman"/>
                <w:b/>
                <w:sz w:val="16"/>
                <w:szCs w:val="16"/>
                <w:vertAlign w:val="superscript"/>
                <w:lang w:val="pt-PT"/>
              </w:rPr>
              <w:t>th</w:t>
            </w:r>
            <w:r>
              <w:rPr>
                <w:rFonts w:cs="Times New Roman"/>
                <w:b/>
                <w:sz w:val="16"/>
                <w:szCs w:val="16"/>
                <w:lang w:val="pt-PT"/>
              </w:rPr>
              <w:t xml:space="preserve">  November 1959</w:t>
            </w:r>
          </w:p>
        </w:tc>
        <w:tc>
          <w:tcPr>
            <w:tcW w:w="1194" w:type="dxa"/>
            <w:tcBorders>
              <w:top w:val="single" w:sz="2" w:space="0" w:color="auto"/>
              <w:left w:val="single" w:sz="4" w:space="0" w:color="auto"/>
              <w:bottom w:val="single" w:sz="4" w:space="0" w:color="auto"/>
              <w:right w:val="single" w:sz="4" w:space="0" w:color="auto"/>
            </w:tcBorders>
          </w:tcPr>
          <w:p w:rsidR="00137589" w:rsidRDefault="00137589">
            <w:pPr>
              <w:rPr>
                <w:sz w:val="16"/>
                <w:szCs w:val="16"/>
                <w:lang w:val="pt-PT"/>
              </w:rPr>
            </w:pPr>
          </w:p>
        </w:tc>
        <w:tc>
          <w:tcPr>
            <w:tcW w:w="1276" w:type="dxa"/>
            <w:tcBorders>
              <w:top w:val="single" w:sz="2" w:space="0" w:color="auto"/>
              <w:left w:val="single" w:sz="4" w:space="0" w:color="auto"/>
              <w:bottom w:val="single" w:sz="4" w:space="0" w:color="auto"/>
              <w:right w:val="single" w:sz="4" w:space="0" w:color="auto"/>
            </w:tcBorders>
            <w:hideMark/>
          </w:tcPr>
          <w:p w:rsidR="00137589" w:rsidRPr="00EB2354" w:rsidRDefault="00137589">
            <w:pPr>
              <w:rPr>
                <w:sz w:val="16"/>
                <w:szCs w:val="16"/>
                <w:lang w:val="en-US"/>
              </w:rPr>
            </w:pPr>
            <w:r w:rsidRPr="00EB2354">
              <w:rPr>
                <w:sz w:val="16"/>
                <w:szCs w:val="16"/>
                <w:lang w:val="en-US"/>
              </w:rPr>
              <w:t>50 million escudos in Lisbon and Porto, and 20 million outside of the two cities for opening banks; 30 million escudos for incorporated banks already functioning in Lisbon or Porto, and 10 million for those functioning outside the two cities; 10 million escudos for non-incorporated banks in Lisbon and Porto; 5 million outside of the two cities</w:t>
            </w:r>
          </w:p>
        </w:tc>
        <w:tc>
          <w:tcPr>
            <w:tcW w:w="1275" w:type="dxa"/>
            <w:tcBorders>
              <w:top w:val="single" w:sz="2"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r w:rsidRPr="00EB2354">
              <w:rPr>
                <w:rFonts w:cs="Times New Roman"/>
                <w:sz w:val="16"/>
                <w:szCs w:val="16"/>
                <w:lang w:val="en-US"/>
              </w:rPr>
              <w:t>Interest on demand deposits: 50% of the Banco de Portugal’s rediscount rate.</w:t>
            </w:r>
          </w:p>
          <w:p w:rsidR="00137589" w:rsidRPr="00EB2354" w:rsidRDefault="00137589">
            <w:pPr>
              <w:jc w:val="both"/>
              <w:rPr>
                <w:rFonts w:cs="Times New Roman"/>
                <w:sz w:val="16"/>
                <w:szCs w:val="16"/>
                <w:lang w:val="en-US"/>
              </w:rPr>
            </w:pPr>
            <w:r w:rsidRPr="00EB2354">
              <w:rPr>
                <w:rFonts w:cs="Times New Roman"/>
                <w:sz w:val="16"/>
                <w:szCs w:val="16"/>
                <w:lang w:val="en-US"/>
              </w:rPr>
              <w:t xml:space="preserve"> Interest on loans: not more than 1.5% above that same rediscount rate.</w:t>
            </w:r>
          </w:p>
          <w:p w:rsidR="00137589" w:rsidRPr="00EB2354" w:rsidRDefault="00137589">
            <w:pPr>
              <w:jc w:val="both"/>
              <w:rPr>
                <w:rFonts w:cs="Times New Roman"/>
                <w:sz w:val="16"/>
                <w:szCs w:val="16"/>
                <w:lang w:val="en-US"/>
              </w:rPr>
            </w:pPr>
            <w:r w:rsidRPr="00EB2354">
              <w:rPr>
                <w:rFonts w:cs="Times New Roman"/>
                <w:sz w:val="16"/>
                <w:szCs w:val="16"/>
                <w:lang w:val="en-US"/>
              </w:rPr>
              <w:t>No limits on time deposits until 1965 (Decree-Law 46,492, 18 August): 1.25% for time deposits of less than one month; 2.5% for time deposits between 30 days and 90 days; 3.5% for deposits between 90 days and one year.</w:t>
            </w:r>
          </w:p>
          <w:p w:rsidR="00137589" w:rsidRPr="00EB2354" w:rsidRDefault="00137589">
            <w:pPr>
              <w:jc w:val="both"/>
              <w:rPr>
                <w:rFonts w:cs="Times New Roman"/>
                <w:b/>
                <w:sz w:val="24"/>
                <w:szCs w:val="24"/>
                <w:lang w:val="en-US"/>
              </w:rPr>
            </w:pPr>
          </w:p>
        </w:tc>
        <w:tc>
          <w:tcPr>
            <w:tcW w:w="1239" w:type="dxa"/>
            <w:tcBorders>
              <w:top w:val="single" w:sz="2" w:space="0" w:color="auto"/>
              <w:left w:val="single" w:sz="4" w:space="0" w:color="auto"/>
              <w:bottom w:val="single" w:sz="4" w:space="0" w:color="auto"/>
              <w:right w:val="single" w:sz="4" w:space="0" w:color="auto"/>
            </w:tcBorders>
            <w:hideMark/>
          </w:tcPr>
          <w:p w:rsidR="00137589" w:rsidRPr="00EB2354" w:rsidRDefault="00137589">
            <w:pPr>
              <w:jc w:val="both"/>
              <w:rPr>
                <w:rFonts w:cs="Times New Roman"/>
                <w:b/>
                <w:sz w:val="16"/>
                <w:szCs w:val="16"/>
                <w:lang w:val="en-US"/>
              </w:rPr>
            </w:pPr>
            <w:r w:rsidRPr="00EB2354">
              <w:rPr>
                <w:sz w:val="16"/>
                <w:szCs w:val="16"/>
                <w:lang w:val="en-US"/>
              </w:rPr>
              <w:t>Equal to at least 15% of demand deposits and of time deposits of less than one month; and 5% of time deposits of more than one month, with the remaining 85% backed by credit instruments of no more than three months’ maturity and no less than one year (slight changes until 1973, Valério, org., 2010)</w:t>
            </w:r>
          </w:p>
        </w:tc>
        <w:tc>
          <w:tcPr>
            <w:tcW w:w="1117" w:type="dxa"/>
            <w:tcBorders>
              <w:top w:val="single" w:sz="2"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12" w:type="dxa"/>
            <w:tcBorders>
              <w:top w:val="single" w:sz="2" w:space="0" w:color="auto"/>
              <w:left w:val="single" w:sz="4" w:space="0" w:color="auto"/>
              <w:bottom w:val="single" w:sz="4" w:space="0" w:color="auto"/>
              <w:right w:val="single" w:sz="4" w:space="0" w:color="auto"/>
            </w:tcBorders>
            <w:hideMark/>
          </w:tcPr>
          <w:p w:rsidR="00137589" w:rsidRPr="00EB2354" w:rsidRDefault="00137589">
            <w:pPr>
              <w:jc w:val="both"/>
              <w:rPr>
                <w:rFonts w:cs="Times New Roman"/>
                <w:b/>
                <w:sz w:val="24"/>
                <w:szCs w:val="24"/>
                <w:lang w:val="en-US"/>
              </w:rPr>
            </w:pPr>
            <w:r w:rsidRPr="00EB2354">
              <w:rPr>
                <w:rFonts w:cs="Times New Roman"/>
                <w:sz w:val="16"/>
                <w:szCs w:val="16"/>
                <w:lang w:val="en-US"/>
              </w:rPr>
              <w:t>Forbidden to grant credit above 10% of the bank’s capital plus the reserve fund to one single firm or individual. This limit was raised to 30% if the collateral was constituted of public bonds; and to 20% if it had the form of bank guarantees.</w:t>
            </w:r>
          </w:p>
        </w:tc>
        <w:tc>
          <w:tcPr>
            <w:tcW w:w="1226" w:type="dxa"/>
            <w:tcBorders>
              <w:top w:val="single" w:sz="2" w:space="0" w:color="auto"/>
              <w:left w:val="single" w:sz="4" w:space="0" w:color="auto"/>
              <w:bottom w:val="single" w:sz="4" w:space="0" w:color="auto"/>
              <w:right w:val="single" w:sz="4" w:space="0" w:color="auto"/>
            </w:tcBorders>
            <w:hideMark/>
          </w:tcPr>
          <w:p w:rsidR="00137589" w:rsidRPr="00EB2354" w:rsidRDefault="00137589">
            <w:pPr>
              <w:jc w:val="both"/>
              <w:rPr>
                <w:rFonts w:cs="Times New Roman"/>
                <w:b/>
                <w:sz w:val="24"/>
                <w:szCs w:val="24"/>
                <w:lang w:val="en-US"/>
              </w:rPr>
            </w:pPr>
            <w:r w:rsidRPr="00EB2354">
              <w:rPr>
                <w:rFonts w:cs="Times New Roman"/>
                <w:sz w:val="16"/>
                <w:szCs w:val="16"/>
                <w:lang w:val="en-US"/>
              </w:rPr>
              <w:t>Forbidden to acquire stock of another firm in more than the reserve fund plus 20% of the capital of the bank; and could not exceed 20% of the capital of the firm.</w:t>
            </w:r>
          </w:p>
        </w:tc>
        <w:tc>
          <w:tcPr>
            <w:tcW w:w="1353" w:type="dxa"/>
            <w:tcBorders>
              <w:top w:val="single" w:sz="2" w:space="0" w:color="auto"/>
              <w:left w:val="single" w:sz="4" w:space="0" w:color="auto"/>
              <w:bottom w:val="single" w:sz="4" w:space="0" w:color="auto"/>
              <w:right w:val="single" w:sz="4" w:space="0" w:color="auto"/>
            </w:tcBorders>
            <w:hideMark/>
          </w:tcPr>
          <w:p w:rsidR="00137589" w:rsidRPr="00EB2354" w:rsidRDefault="00137589">
            <w:pPr>
              <w:jc w:val="both"/>
              <w:rPr>
                <w:rFonts w:cs="Times New Roman"/>
                <w:b/>
                <w:sz w:val="24"/>
                <w:szCs w:val="24"/>
                <w:lang w:val="en-US"/>
              </w:rPr>
            </w:pPr>
            <w:r w:rsidRPr="00EB2354">
              <w:rPr>
                <w:rFonts w:cs="Times New Roman"/>
                <w:sz w:val="16"/>
                <w:szCs w:val="16"/>
                <w:lang w:val="en-US"/>
              </w:rPr>
              <w:t>Dependent on authorisation by the Minister of Finance.</w:t>
            </w:r>
          </w:p>
        </w:tc>
        <w:tc>
          <w:tcPr>
            <w:tcW w:w="1276" w:type="dxa"/>
            <w:tcBorders>
              <w:top w:val="single" w:sz="2" w:space="0" w:color="auto"/>
              <w:left w:val="single" w:sz="4" w:space="0" w:color="auto"/>
              <w:bottom w:val="single" w:sz="4" w:space="0" w:color="auto"/>
              <w:right w:val="single" w:sz="4" w:space="0" w:color="auto"/>
            </w:tcBorders>
            <w:hideMark/>
          </w:tcPr>
          <w:p w:rsidR="00137589" w:rsidRPr="00EB2354" w:rsidRDefault="00137589">
            <w:pPr>
              <w:jc w:val="both"/>
              <w:rPr>
                <w:rFonts w:cs="Times New Roman"/>
                <w:b/>
                <w:sz w:val="24"/>
                <w:szCs w:val="24"/>
                <w:lang w:val="en-US"/>
              </w:rPr>
            </w:pPr>
            <w:r w:rsidRPr="00EB2354">
              <w:rPr>
                <w:rFonts w:cs="Times New Roman"/>
                <w:sz w:val="16"/>
                <w:szCs w:val="16"/>
                <w:lang w:val="en-US"/>
              </w:rPr>
              <w:t>Dependent on authorisation by the Minister of Finance.</w:t>
            </w:r>
          </w:p>
        </w:tc>
        <w:tc>
          <w:tcPr>
            <w:tcW w:w="1340" w:type="dxa"/>
            <w:tcBorders>
              <w:top w:val="single" w:sz="2" w:space="0" w:color="auto"/>
              <w:left w:val="single" w:sz="4" w:space="0" w:color="auto"/>
              <w:bottom w:val="single" w:sz="4" w:space="0" w:color="auto"/>
              <w:right w:val="single" w:sz="4" w:space="0" w:color="auto"/>
            </w:tcBorders>
            <w:hideMark/>
          </w:tcPr>
          <w:p w:rsidR="00137589" w:rsidRPr="00EB2354" w:rsidRDefault="00137589">
            <w:pPr>
              <w:jc w:val="both"/>
              <w:rPr>
                <w:rFonts w:cs="Times New Roman"/>
                <w:b/>
                <w:sz w:val="24"/>
                <w:szCs w:val="24"/>
                <w:lang w:val="en-US"/>
              </w:rPr>
            </w:pPr>
            <w:r w:rsidRPr="00EB2354">
              <w:rPr>
                <w:rFonts w:cs="Times New Roman"/>
                <w:sz w:val="16"/>
                <w:szCs w:val="16"/>
                <w:lang w:val="en-US"/>
              </w:rPr>
              <w:t>Dependent on authorisation by the Minister of Finance.</w:t>
            </w:r>
          </w:p>
        </w:tc>
      </w:tr>
      <w:tr w:rsidR="00137589" w:rsidTr="00137589">
        <w:trPr>
          <w:jc w:val="center"/>
        </w:trPr>
        <w:tc>
          <w:tcPr>
            <w:tcW w:w="1815" w:type="dxa"/>
            <w:tcBorders>
              <w:top w:val="single" w:sz="2" w:space="0" w:color="auto"/>
              <w:left w:val="single" w:sz="4" w:space="0" w:color="auto"/>
              <w:bottom w:val="single" w:sz="4" w:space="0" w:color="auto"/>
              <w:right w:val="single" w:sz="4" w:space="0" w:color="auto"/>
            </w:tcBorders>
            <w:hideMark/>
          </w:tcPr>
          <w:p w:rsidR="00137589" w:rsidRDefault="00137589">
            <w:pPr>
              <w:spacing w:line="360" w:lineRule="auto"/>
              <w:rPr>
                <w:rFonts w:cs="Times New Roman"/>
                <w:b/>
                <w:sz w:val="16"/>
                <w:szCs w:val="16"/>
                <w:lang w:val="pt-PT"/>
              </w:rPr>
            </w:pPr>
            <w:r>
              <w:rPr>
                <w:rFonts w:cs="Times New Roman"/>
                <w:b/>
                <w:sz w:val="16"/>
                <w:szCs w:val="16"/>
                <w:lang w:val="pt-PT"/>
              </w:rPr>
              <w:t>Decree-Law 132-A/75, 14 March 1975</w:t>
            </w:r>
          </w:p>
        </w:tc>
        <w:tc>
          <w:tcPr>
            <w:tcW w:w="1194" w:type="dxa"/>
            <w:tcBorders>
              <w:top w:val="single" w:sz="2" w:space="0" w:color="auto"/>
              <w:left w:val="single" w:sz="4" w:space="0" w:color="auto"/>
              <w:bottom w:val="single" w:sz="4" w:space="0" w:color="auto"/>
              <w:right w:val="single" w:sz="4" w:space="0" w:color="auto"/>
            </w:tcBorders>
            <w:hideMark/>
          </w:tcPr>
          <w:p w:rsidR="00137589" w:rsidRDefault="00137589">
            <w:pPr>
              <w:jc w:val="center"/>
              <w:rPr>
                <w:rFonts w:cs="Times New Roman"/>
                <w:sz w:val="16"/>
                <w:szCs w:val="16"/>
                <w:lang w:val="pt-PT"/>
              </w:rPr>
            </w:pPr>
            <w:r>
              <w:rPr>
                <w:rFonts w:cs="Times New Roman"/>
                <w:sz w:val="16"/>
                <w:szCs w:val="16"/>
                <w:lang w:val="pt-PT"/>
              </w:rPr>
              <w:t>Nationalisation of commercial banks</w:t>
            </w:r>
          </w:p>
        </w:tc>
        <w:tc>
          <w:tcPr>
            <w:tcW w:w="1276" w:type="dxa"/>
            <w:tcBorders>
              <w:top w:val="single" w:sz="2" w:space="0" w:color="auto"/>
              <w:left w:val="single" w:sz="4" w:space="0" w:color="auto"/>
              <w:bottom w:val="single" w:sz="4" w:space="0" w:color="auto"/>
              <w:right w:val="single" w:sz="4" w:space="0" w:color="auto"/>
            </w:tcBorders>
          </w:tcPr>
          <w:p w:rsidR="00137589" w:rsidRDefault="00137589">
            <w:pPr>
              <w:rPr>
                <w:sz w:val="16"/>
                <w:szCs w:val="16"/>
                <w:lang w:val="pt-PT"/>
              </w:rPr>
            </w:pPr>
          </w:p>
        </w:tc>
        <w:tc>
          <w:tcPr>
            <w:tcW w:w="1275" w:type="dxa"/>
            <w:tcBorders>
              <w:top w:val="single" w:sz="2" w:space="0" w:color="auto"/>
              <w:left w:val="single" w:sz="4" w:space="0" w:color="auto"/>
              <w:bottom w:val="single" w:sz="4" w:space="0" w:color="auto"/>
              <w:right w:val="single" w:sz="4" w:space="0" w:color="auto"/>
            </w:tcBorders>
          </w:tcPr>
          <w:p w:rsidR="00137589" w:rsidRDefault="00137589">
            <w:pPr>
              <w:jc w:val="both"/>
              <w:rPr>
                <w:rFonts w:cs="Times New Roman"/>
                <w:sz w:val="16"/>
                <w:szCs w:val="16"/>
                <w:lang w:val="pt-PT"/>
              </w:rPr>
            </w:pPr>
          </w:p>
        </w:tc>
        <w:tc>
          <w:tcPr>
            <w:tcW w:w="1239" w:type="dxa"/>
            <w:tcBorders>
              <w:top w:val="single" w:sz="2" w:space="0" w:color="auto"/>
              <w:left w:val="single" w:sz="4" w:space="0" w:color="auto"/>
              <w:bottom w:val="single" w:sz="4" w:space="0" w:color="auto"/>
              <w:right w:val="single" w:sz="4" w:space="0" w:color="auto"/>
            </w:tcBorders>
          </w:tcPr>
          <w:p w:rsidR="00137589" w:rsidRDefault="00137589">
            <w:pPr>
              <w:jc w:val="both"/>
              <w:rPr>
                <w:sz w:val="16"/>
                <w:szCs w:val="16"/>
                <w:lang w:val="pt-PT"/>
              </w:rPr>
            </w:pPr>
          </w:p>
        </w:tc>
        <w:tc>
          <w:tcPr>
            <w:tcW w:w="1117" w:type="dxa"/>
            <w:tcBorders>
              <w:top w:val="single" w:sz="2" w:space="0" w:color="auto"/>
              <w:left w:val="single" w:sz="4" w:space="0" w:color="auto"/>
              <w:bottom w:val="single" w:sz="4" w:space="0" w:color="auto"/>
              <w:right w:val="single" w:sz="4" w:space="0" w:color="auto"/>
            </w:tcBorders>
          </w:tcPr>
          <w:p w:rsidR="00137589" w:rsidRDefault="00137589">
            <w:pPr>
              <w:jc w:val="both"/>
              <w:rPr>
                <w:rFonts w:cs="Times New Roman"/>
                <w:sz w:val="16"/>
                <w:szCs w:val="16"/>
                <w:lang w:val="pt-PT"/>
              </w:rPr>
            </w:pPr>
          </w:p>
        </w:tc>
        <w:tc>
          <w:tcPr>
            <w:tcW w:w="1212" w:type="dxa"/>
            <w:tcBorders>
              <w:top w:val="single" w:sz="2" w:space="0" w:color="auto"/>
              <w:left w:val="single" w:sz="4" w:space="0" w:color="auto"/>
              <w:bottom w:val="single" w:sz="4" w:space="0" w:color="auto"/>
              <w:right w:val="single" w:sz="4" w:space="0" w:color="auto"/>
            </w:tcBorders>
          </w:tcPr>
          <w:p w:rsidR="00137589" w:rsidRDefault="00137589">
            <w:pPr>
              <w:jc w:val="both"/>
              <w:rPr>
                <w:rFonts w:cs="Times New Roman"/>
                <w:sz w:val="16"/>
                <w:szCs w:val="16"/>
                <w:lang w:val="pt-PT"/>
              </w:rPr>
            </w:pPr>
          </w:p>
        </w:tc>
        <w:tc>
          <w:tcPr>
            <w:tcW w:w="1226" w:type="dxa"/>
            <w:tcBorders>
              <w:top w:val="single" w:sz="2" w:space="0" w:color="auto"/>
              <w:left w:val="single" w:sz="4" w:space="0" w:color="auto"/>
              <w:bottom w:val="single" w:sz="4" w:space="0" w:color="auto"/>
              <w:right w:val="single" w:sz="4" w:space="0" w:color="auto"/>
            </w:tcBorders>
          </w:tcPr>
          <w:p w:rsidR="00137589" w:rsidRDefault="00137589">
            <w:pPr>
              <w:jc w:val="both"/>
              <w:rPr>
                <w:rFonts w:cs="Times New Roman"/>
                <w:sz w:val="16"/>
                <w:szCs w:val="16"/>
                <w:lang w:val="pt-PT"/>
              </w:rPr>
            </w:pPr>
          </w:p>
        </w:tc>
        <w:tc>
          <w:tcPr>
            <w:tcW w:w="1353" w:type="dxa"/>
            <w:tcBorders>
              <w:top w:val="single" w:sz="2" w:space="0" w:color="auto"/>
              <w:left w:val="single" w:sz="4" w:space="0" w:color="auto"/>
              <w:bottom w:val="single" w:sz="4" w:space="0" w:color="auto"/>
              <w:right w:val="single" w:sz="4" w:space="0" w:color="auto"/>
            </w:tcBorders>
          </w:tcPr>
          <w:p w:rsidR="00137589" w:rsidRDefault="00137589">
            <w:pPr>
              <w:jc w:val="both"/>
              <w:rPr>
                <w:rFonts w:cs="Times New Roman"/>
                <w:sz w:val="16"/>
                <w:szCs w:val="16"/>
                <w:lang w:val="pt-PT"/>
              </w:rPr>
            </w:pPr>
          </w:p>
        </w:tc>
        <w:tc>
          <w:tcPr>
            <w:tcW w:w="1276" w:type="dxa"/>
            <w:tcBorders>
              <w:top w:val="single" w:sz="2" w:space="0" w:color="auto"/>
              <w:left w:val="single" w:sz="4" w:space="0" w:color="auto"/>
              <w:bottom w:val="single" w:sz="4" w:space="0" w:color="auto"/>
              <w:right w:val="single" w:sz="4" w:space="0" w:color="auto"/>
            </w:tcBorders>
          </w:tcPr>
          <w:p w:rsidR="00137589" w:rsidRDefault="00137589">
            <w:pPr>
              <w:jc w:val="both"/>
              <w:rPr>
                <w:rFonts w:cs="Times New Roman"/>
                <w:sz w:val="16"/>
                <w:szCs w:val="16"/>
                <w:lang w:val="pt-PT"/>
              </w:rPr>
            </w:pPr>
          </w:p>
        </w:tc>
        <w:tc>
          <w:tcPr>
            <w:tcW w:w="1340" w:type="dxa"/>
            <w:tcBorders>
              <w:top w:val="single" w:sz="2" w:space="0" w:color="auto"/>
              <w:left w:val="single" w:sz="4" w:space="0" w:color="auto"/>
              <w:bottom w:val="single" w:sz="4" w:space="0" w:color="auto"/>
              <w:right w:val="single" w:sz="4" w:space="0" w:color="auto"/>
            </w:tcBorders>
          </w:tcPr>
          <w:p w:rsidR="00137589" w:rsidRDefault="00137589">
            <w:pPr>
              <w:jc w:val="both"/>
              <w:rPr>
                <w:rFonts w:cs="Times New Roman"/>
                <w:sz w:val="16"/>
                <w:szCs w:val="16"/>
                <w:lang w:val="pt-PT"/>
              </w:rPr>
            </w:pPr>
          </w:p>
        </w:tc>
      </w:tr>
      <w:tr w:rsidR="00137589" w:rsidTr="00137589">
        <w:trPr>
          <w:jc w:val="center"/>
        </w:trPr>
        <w:tc>
          <w:tcPr>
            <w:tcW w:w="1815" w:type="dxa"/>
            <w:tcBorders>
              <w:top w:val="single" w:sz="2" w:space="0" w:color="auto"/>
              <w:left w:val="single" w:sz="4" w:space="0" w:color="auto"/>
              <w:bottom w:val="single" w:sz="4" w:space="0" w:color="auto"/>
              <w:right w:val="single" w:sz="4" w:space="0" w:color="auto"/>
            </w:tcBorders>
          </w:tcPr>
          <w:p w:rsidR="00137589" w:rsidRDefault="00137589">
            <w:pPr>
              <w:spacing w:line="360" w:lineRule="auto"/>
              <w:rPr>
                <w:rFonts w:cs="Times New Roman"/>
                <w:b/>
                <w:sz w:val="16"/>
                <w:szCs w:val="16"/>
                <w:lang w:val="pt-PT"/>
              </w:rPr>
            </w:pPr>
            <w:r>
              <w:rPr>
                <w:rFonts w:cs="Times New Roman"/>
                <w:b/>
                <w:sz w:val="16"/>
                <w:szCs w:val="16"/>
                <w:lang w:val="pt-PT"/>
              </w:rPr>
              <w:t>Decree 644/75, 15 November 1975</w:t>
            </w:r>
          </w:p>
          <w:p w:rsidR="00137589" w:rsidRDefault="00137589">
            <w:pPr>
              <w:spacing w:line="360" w:lineRule="auto"/>
              <w:rPr>
                <w:rFonts w:cs="Times New Roman"/>
                <w:b/>
                <w:sz w:val="16"/>
                <w:szCs w:val="16"/>
                <w:lang w:val="pt-PT"/>
              </w:rPr>
            </w:pPr>
          </w:p>
        </w:tc>
        <w:tc>
          <w:tcPr>
            <w:tcW w:w="1194" w:type="dxa"/>
            <w:tcBorders>
              <w:top w:val="single" w:sz="2" w:space="0" w:color="auto"/>
              <w:left w:val="single" w:sz="4" w:space="0" w:color="auto"/>
              <w:bottom w:val="single" w:sz="4" w:space="0" w:color="auto"/>
              <w:right w:val="single" w:sz="4" w:space="0" w:color="auto"/>
            </w:tcBorders>
          </w:tcPr>
          <w:p w:rsidR="00137589" w:rsidRDefault="00137589">
            <w:pPr>
              <w:jc w:val="center"/>
              <w:rPr>
                <w:rFonts w:cs="Times New Roman"/>
                <w:sz w:val="16"/>
                <w:szCs w:val="16"/>
                <w:lang w:val="pt-PT"/>
              </w:rPr>
            </w:pPr>
          </w:p>
        </w:tc>
        <w:tc>
          <w:tcPr>
            <w:tcW w:w="1276" w:type="dxa"/>
            <w:tcBorders>
              <w:top w:val="single" w:sz="2" w:space="0" w:color="auto"/>
              <w:left w:val="single" w:sz="4" w:space="0" w:color="auto"/>
              <w:bottom w:val="single" w:sz="4" w:space="0" w:color="auto"/>
              <w:right w:val="single" w:sz="4" w:space="0" w:color="auto"/>
            </w:tcBorders>
          </w:tcPr>
          <w:p w:rsidR="00137589" w:rsidRDefault="00137589">
            <w:pPr>
              <w:jc w:val="center"/>
              <w:rPr>
                <w:rFonts w:cs="Times New Roman"/>
                <w:b/>
                <w:sz w:val="24"/>
                <w:szCs w:val="24"/>
                <w:lang w:val="pt-PT"/>
              </w:rPr>
            </w:pPr>
          </w:p>
        </w:tc>
        <w:tc>
          <w:tcPr>
            <w:tcW w:w="1275" w:type="dxa"/>
            <w:tcBorders>
              <w:top w:val="single" w:sz="2" w:space="0" w:color="auto"/>
              <w:left w:val="single" w:sz="4" w:space="0" w:color="auto"/>
              <w:bottom w:val="single" w:sz="4" w:space="0" w:color="auto"/>
              <w:right w:val="single" w:sz="4" w:space="0" w:color="auto"/>
            </w:tcBorders>
            <w:hideMark/>
          </w:tcPr>
          <w:p w:rsidR="00137589" w:rsidRPr="00EB2354" w:rsidRDefault="00137589">
            <w:pPr>
              <w:jc w:val="both"/>
              <w:rPr>
                <w:rFonts w:cs="Times New Roman"/>
                <w:sz w:val="16"/>
                <w:szCs w:val="16"/>
                <w:lang w:val="en-US"/>
              </w:rPr>
            </w:pPr>
            <w:r w:rsidRPr="00EB2354">
              <w:rPr>
                <w:rFonts w:cs="Times New Roman"/>
                <w:sz w:val="16"/>
                <w:szCs w:val="16"/>
                <w:lang w:val="en-US"/>
              </w:rPr>
              <w:t>Set by the Bank of Portugal</w:t>
            </w:r>
          </w:p>
        </w:tc>
        <w:tc>
          <w:tcPr>
            <w:tcW w:w="1239" w:type="dxa"/>
            <w:tcBorders>
              <w:top w:val="single" w:sz="2"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r w:rsidRPr="00EB2354">
              <w:rPr>
                <w:rFonts w:cs="Times New Roman"/>
                <w:sz w:val="16"/>
                <w:szCs w:val="16"/>
                <w:lang w:val="en-US"/>
              </w:rPr>
              <w:t>Set by the Bank of Portugal</w:t>
            </w:r>
          </w:p>
          <w:p w:rsidR="00137589" w:rsidRPr="00EB2354" w:rsidRDefault="00137589">
            <w:pPr>
              <w:jc w:val="both"/>
              <w:rPr>
                <w:rFonts w:cs="Times New Roman"/>
                <w:sz w:val="16"/>
                <w:szCs w:val="16"/>
                <w:lang w:val="en-US"/>
              </w:rPr>
            </w:pPr>
          </w:p>
          <w:p w:rsidR="00137589" w:rsidRPr="00EB2354" w:rsidRDefault="00137589">
            <w:pPr>
              <w:jc w:val="both"/>
              <w:rPr>
                <w:rFonts w:cs="Times New Roman"/>
                <w:sz w:val="16"/>
                <w:szCs w:val="16"/>
                <w:lang w:val="en-US"/>
              </w:rPr>
            </w:pPr>
          </w:p>
        </w:tc>
        <w:tc>
          <w:tcPr>
            <w:tcW w:w="1117" w:type="dxa"/>
            <w:tcBorders>
              <w:top w:val="single" w:sz="2"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12" w:type="dxa"/>
            <w:tcBorders>
              <w:top w:val="single" w:sz="2"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26" w:type="dxa"/>
            <w:tcBorders>
              <w:top w:val="single" w:sz="2"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353" w:type="dxa"/>
            <w:tcBorders>
              <w:top w:val="single" w:sz="2"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76" w:type="dxa"/>
            <w:tcBorders>
              <w:top w:val="single" w:sz="2"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340" w:type="dxa"/>
            <w:tcBorders>
              <w:top w:val="single" w:sz="2"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r>
      <w:tr w:rsidR="00137589" w:rsidTr="00137589">
        <w:trPr>
          <w:trHeight w:val="846"/>
          <w:jc w:val="center"/>
        </w:trPr>
        <w:tc>
          <w:tcPr>
            <w:tcW w:w="1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Pr="00EB2354" w:rsidRDefault="00137589">
            <w:pPr>
              <w:jc w:val="center"/>
              <w:rPr>
                <w:rFonts w:cs="Times New Roman"/>
                <w:b/>
                <w:sz w:val="24"/>
                <w:szCs w:val="24"/>
                <w:lang w:val="en-US"/>
              </w:rPr>
            </w:pPr>
          </w:p>
        </w:tc>
        <w:tc>
          <w:tcPr>
            <w:tcW w:w="11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Pr="00EB2354" w:rsidRDefault="00137589">
            <w:pPr>
              <w:jc w:val="center"/>
              <w:rPr>
                <w:rFonts w:cs="Times New Roman"/>
                <w:b/>
                <w:sz w:val="16"/>
                <w:szCs w:val="16"/>
                <w:lang w:val="en-US"/>
              </w:rPr>
            </w:pPr>
          </w:p>
          <w:p w:rsidR="00137589" w:rsidRDefault="00137589">
            <w:pPr>
              <w:jc w:val="center"/>
              <w:rPr>
                <w:rFonts w:cs="Times New Roman"/>
                <w:b/>
                <w:sz w:val="16"/>
                <w:szCs w:val="16"/>
                <w:lang w:val="pt-PT"/>
              </w:rPr>
            </w:pPr>
            <w:r>
              <w:rPr>
                <w:rFonts w:cs="Times New Roman"/>
                <w:b/>
                <w:sz w:val="16"/>
                <w:szCs w:val="16"/>
                <w:lang w:val="pt-PT"/>
              </w:rPr>
              <w:t>General</w:t>
            </w:r>
          </w:p>
          <w:p w:rsidR="00137589" w:rsidRDefault="00137589">
            <w:pPr>
              <w:jc w:val="center"/>
              <w:rPr>
                <w:rFonts w:cs="Times New Roman"/>
                <w:b/>
                <w:sz w:val="16"/>
                <w:szCs w:val="16"/>
                <w:lang w:val="pt-PT"/>
              </w:rPr>
            </w:pPr>
            <w:r>
              <w:rPr>
                <w:rFonts w:cs="Times New Roman"/>
                <w:b/>
                <w:sz w:val="16"/>
                <w:szCs w:val="16"/>
                <w:lang w:val="pt-PT"/>
              </w:rPr>
              <w:t>Conditions</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16"/>
                <w:szCs w:val="16"/>
                <w:lang w:val="pt-PT"/>
              </w:rPr>
            </w:pPr>
            <w:r>
              <w:rPr>
                <w:rFonts w:cs="Times New Roman"/>
                <w:b/>
                <w:sz w:val="16"/>
                <w:szCs w:val="16"/>
                <w:lang w:val="pt-PT"/>
              </w:rPr>
              <w:t>Capital Requirements</w:t>
            </w:r>
          </w:p>
          <w:p w:rsidR="00137589" w:rsidRDefault="00137589">
            <w:pPr>
              <w:jc w:val="center"/>
              <w:rPr>
                <w:rFonts w:cs="Times New Roman"/>
                <w:b/>
                <w:sz w:val="16"/>
                <w:szCs w:val="16"/>
                <w:lang w:val="pt-PT"/>
              </w:rPr>
            </w:pP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Interest Rates</w:t>
            </w:r>
          </w:p>
        </w:tc>
        <w:tc>
          <w:tcPr>
            <w:tcW w:w="123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Cash Reserves</w:t>
            </w:r>
          </w:p>
        </w:tc>
        <w:tc>
          <w:tcPr>
            <w:tcW w:w="1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16"/>
                <w:szCs w:val="16"/>
                <w:lang w:val="pt-PT"/>
              </w:rPr>
            </w:pPr>
            <w:r>
              <w:rPr>
                <w:rFonts w:cs="Times New Roman"/>
                <w:b/>
                <w:sz w:val="16"/>
                <w:szCs w:val="16"/>
                <w:lang w:val="pt-PT"/>
              </w:rPr>
              <w:t>Operations</w:t>
            </w:r>
          </w:p>
        </w:tc>
        <w:tc>
          <w:tcPr>
            <w:tcW w:w="121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Credit</w:t>
            </w:r>
          </w:p>
        </w:tc>
        <w:tc>
          <w:tcPr>
            <w:tcW w:w="12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Stock/Bonds holdings</w:t>
            </w:r>
          </w:p>
        </w:tc>
        <w:tc>
          <w:tcPr>
            <w:tcW w:w="1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Entry in market</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Mergers &amp; Acquisitions</w:t>
            </w:r>
          </w:p>
        </w:tc>
        <w:tc>
          <w:tcPr>
            <w:tcW w:w="13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Branches</w:t>
            </w:r>
          </w:p>
        </w:tc>
      </w:tr>
      <w:tr w:rsidR="00137589" w:rsidTr="00137589">
        <w:trPr>
          <w:trHeight w:val="977"/>
          <w:jc w:val="center"/>
        </w:trPr>
        <w:tc>
          <w:tcPr>
            <w:tcW w:w="1815" w:type="dxa"/>
            <w:tcBorders>
              <w:top w:val="single" w:sz="4" w:space="0" w:color="auto"/>
              <w:left w:val="single" w:sz="4" w:space="0" w:color="auto"/>
              <w:bottom w:val="single" w:sz="4" w:space="0" w:color="auto"/>
              <w:right w:val="single" w:sz="4" w:space="0" w:color="auto"/>
            </w:tcBorders>
            <w:hideMark/>
          </w:tcPr>
          <w:p w:rsidR="00137589" w:rsidRDefault="00137589">
            <w:pPr>
              <w:spacing w:line="360" w:lineRule="auto"/>
              <w:rPr>
                <w:rFonts w:cs="Times New Roman"/>
                <w:b/>
                <w:sz w:val="16"/>
                <w:szCs w:val="16"/>
                <w:lang w:val="pt-PT"/>
              </w:rPr>
            </w:pPr>
            <w:r>
              <w:rPr>
                <w:rFonts w:cs="Times New Roman"/>
                <w:b/>
                <w:sz w:val="16"/>
                <w:szCs w:val="16"/>
                <w:lang w:val="pt-PT"/>
              </w:rPr>
              <w:t>Decree-Law 729-F/75, 22 December 1975</w:t>
            </w:r>
          </w:p>
        </w:tc>
        <w:tc>
          <w:tcPr>
            <w:tcW w:w="1194"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center"/>
              <w:rPr>
                <w:rFonts w:cs="Times New Roman"/>
                <w:sz w:val="16"/>
                <w:szCs w:val="16"/>
                <w:lang w:val="en-US"/>
              </w:rPr>
            </w:pPr>
            <w:r w:rsidRPr="00EB2354">
              <w:rPr>
                <w:rFonts w:cs="Times New Roman"/>
                <w:sz w:val="16"/>
                <w:szCs w:val="16"/>
                <w:lang w:val="en-US"/>
              </w:rPr>
              <w:t>Transformed nationalised banks into state-owned enterprises</w:t>
            </w: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39"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117"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212"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22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353"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c>
          <w:tcPr>
            <w:tcW w:w="1340"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r>
      <w:tr w:rsidR="00137589" w:rsidTr="00137589">
        <w:trPr>
          <w:trHeight w:val="977"/>
          <w:jc w:val="center"/>
        </w:trPr>
        <w:tc>
          <w:tcPr>
            <w:tcW w:w="1815" w:type="dxa"/>
            <w:tcBorders>
              <w:top w:val="single" w:sz="4" w:space="0" w:color="auto"/>
              <w:left w:val="single" w:sz="4" w:space="0" w:color="auto"/>
              <w:bottom w:val="single" w:sz="4" w:space="0" w:color="auto"/>
              <w:right w:val="single" w:sz="4" w:space="0" w:color="auto"/>
            </w:tcBorders>
            <w:hideMark/>
          </w:tcPr>
          <w:p w:rsidR="00137589" w:rsidRDefault="00137589">
            <w:pPr>
              <w:spacing w:line="360" w:lineRule="auto"/>
              <w:rPr>
                <w:rFonts w:cs="Times New Roman"/>
                <w:b/>
                <w:sz w:val="16"/>
                <w:szCs w:val="16"/>
                <w:lang w:val="pt-PT"/>
              </w:rPr>
            </w:pPr>
            <w:r>
              <w:rPr>
                <w:rFonts w:cs="Times New Roman"/>
                <w:b/>
                <w:sz w:val="16"/>
                <w:szCs w:val="16"/>
                <w:lang w:val="pt-PT"/>
              </w:rPr>
              <w:t>Decree-Law 729-H/75, 22 December 1975</w:t>
            </w:r>
          </w:p>
        </w:tc>
        <w:tc>
          <w:tcPr>
            <w:tcW w:w="1194" w:type="dxa"/>
            <w:tcBorders>
              <w:top w:val="single" w:sz="4" w:space="0" w:color="auto"/>
              <w:left w:val="single" w:sz="4" w:space="0" w:color="auto"/>
              <w:bottom w:val="single" w:sz="4" w:space="0" w:color="auto"/>
              <w:right w:val="single" w:sz="4" w:space="0" w:color="auto"/>
            </w:tcBorders>
          </w:tcPr>
          <w:p w:rsidR="00137589" w:rsidRDefault="00137589">
            <w:pPr>
              <w:jc w:val="center"/>
              <w:rPr>
                <w:rFonts w:cs="Times New Roman"/>
                <w:sz w:val="16"/>
                <w:szCs w:val="16"/>
                <w:lang w:val="pt-PT"/>
              </w:rPr>
            </w:pPr>
          </w:p>
        </w:tc>
        <w:tc>
          <w:tcPr>
            <w:tcW w:w="1276" w:type="dxa"/>
            <w:tcBorders>
              <w:top w:val="single" w:sz="4" w:space="0" w:color="auto"/>
              <w:left w:val="single" w:sz="4" w:space="0" w:color="auto"/>
              <w:bottom w:val="single" w:sz="4" w:space="0" w:color="auto"/>
              <w:right w:val="single" w:sz="4" w:space="0" w:color="auto"/>
            </w:tcBorders>
          </w:tcPr>
          <w:p w:rsidR="00137589" w:rsidRDefault="00137589">
            <w:pPr>
              <w:jc w:val="center"/>
              <w:rPr>
                <w:rFonts w:cs="Times New Roman"/>
                <w:b/>
                <w:sz w:val="24"/>
                <w:szCs w:val="24"/>
                <w:lang w:val="pt-PT"/>
              </w:rPr>
            </w:pPr>
          </w:p>
        </w:tc>
        <w:tc>
          <w:tcPr>
            <w:tcW w:w="1275" w:type="dxa"/>
            <w:tcBorders>
              <w:top w:val="single" w:sz="4" w:space="0" w:color="auto"/>
              <w:left w:val="single" w:sz="4" w:space="0" w:color="auto"/>
              <w:bottom w:val="single" w:sz="4" w:space="0" w:color="auto"/>
              <w:right w:val="single" w:sz="4" w:space="0" w:color="auto"/>
            </w:tcBorders>
          </w:tcPr>
          <w:p w:rsidR="00137589" w:rsidRDefault="00137589">
            <w:pPr>
              <w:jc w:val="both"/>
              <w:rPr>
                <w:rFonts w:cs="Times New Roman"/>
                <w:sz w:val="16"/>
                <w:szCs w:val="16"/>
                <w:lang w:val="pt-PT"/>
              </w:rPr>
            </w:pPr>
          </w:p>
        </w:tc>
        <w:tc>
          <w:tcPr>
            <w:tcW w:w="1239" w:type="dxa"/>
            <w:tcBorders>
              <w:top w:val="single" w:sz="4" w:space="0" w:color="auto"/>
              <w:left w:val="single" w:sz="4" w:space="0" w:color="auto"/>
              <w:bottom w:val="single" w:sz="4" w:space="0" w:color="auto"/>
              <w:right w:val="single" w:sz="4" w:space="0" w:color="auto"/>
            </w:tcBorders>
          </w:tcPr>
          <w:p w:rsidR="00137589" w:rsidRDefault="00137589">
            <w:pPr>
              <w:jc w:val="center"/>
              <w:rPr>
                <w:rFonts w:cs="Times New Roman"/>
                <w:b/>
                <w:sz w:val="24"/>
                <w:szCs w:val="24"/>
                <w:lang w:val="pt-PT"/>
              </w:rPr>
            </w:pPr>
          </w:p>
        </w:tc>
        <w:tc>
          <w:tcPr>
            <w:tcW w:w="1117"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center"/>
              <w:rPr>
                <w:rFonts w:cs="Times New Roman"/>
                <w:sz w:val="16"/>
                <w:szCs w:val="16"/>
                <w:lang w:val="en-US"/>
              </w:rPr>
            </w:pPr>
            <w:r w:rsidRPr="00EB2354">
              <w:rPr>
                <w:rFonts w:cs="Times New Roman"/>
                <w:sz w:val="16"/>
                <w:szCs w:val="16"/>
                <w:lang w:val="en-US"/>
              </w:rPr>
              <w:t>Commercial banks can open accounts in foreign currency, as long as belonging to emigrants</w:t>
            </w:r>
          </w:p>
        </w:tc>
        <w:tc>
          <w:tcPr>
            <w:tcW w:w="1212"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22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353"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c>
          <w:tcPr>
            <w:tcW w:w="1340"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r>
      <w:tr w:rsidR="00137589" w:rsidTr="00137589">
        <w:trPr>
          <w:trHeight w:val="977"/>
          <w:jc w:val="center"/>
        </w:trPr>
        <w:tc>
          <w:tcPr>
            <w:tcW w:w="1815" w:type="dxa"/>
            <w:tcBorders>
              <w:top w:val="single" w:sz="4" w:space="0" w:color="auto"/>
              <w:left w:val="single" w:sz="4" w:space="0" w:color="auto"/>
              <w:bottom w:val="single" w:sz="4" w:space="0" w:color="auto"/>
              <w:right w:val="single" w:sz="4" w:space="0" w:color="auto"/>
            </w:tcBorders>
            <w:hideMark/>
          </w:tcPr>
          <w:p w:rsidR="00137589" w:rsidRDefault="00137589">
            <w:pPr>
              <w:spacing w:line="360" w:lineRule="auto"/>
              <w:rPr>
                <w:rFonts w:cs="Times New Roman"/>
                <w:b/>
                <w:sz w:val="16"/>
                <w:szCs w:val="16"/>
                <w:lang w:val="pt-PT"/>
              </w:rPr>
            </w:pPr>
            <w:r>
              <w:rPr>
                <w:rFonts w:cs="Times New Roman"/>
                <w:b/>
                <w:sz w:val="16"/>
                <w:szCs w:val="16"/>
                <w:lang w:val="pt-PT"/>
              </w:rPr>
              <w:t>Constitution 1976</w:t>
            </w:r>
          </w:p>
        </w:tc>
        <w:tc>
          <w:tcPr>
            <w:tcW w:w="1194"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center"/>
              <w:rPr>
                <w:rFonts w:cs="Times New Roman"/>
                <w:sz w:val="16"/>
                <w:szCs w:val="16"/>
                <w:lang w:val="en-US"/>
              </w:rPr>
            </w:pPr>
            <w:r w:rsidRPr="00EB2354">
              <w:rPr>
                <w:rFonts w:cs="Times New Roman"/>
                <w:sz w:val="16"/>
                <w:szCs w:val="16"/>
                <w:lang w:val="en-US"/>
              </w:rPr>
              <w:t>Forbade privatisation of all companies nationalised in 1975 (including commercial banks)</w:t>
            </w: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39"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117"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212"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22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353"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both"/>
              <w:rPr>
                <w:rFonts w:cs="Times New Roman"/>
                <w:b/>
                <w:sz w:val="24"/>
                <w:szCs w:val="24"/>
                <w:lang w:val="en-US"/>
              </w:rPr>
            </w:pPr>
            <w:r w:rsidRPr="00EB2354">
              <w:rPr>
                <w:rFonts w:cs="Times New Roman"/>
                <w:sz w:val="16"/>
                <w:szCs w:val="16"/>
                <w:lang w:val="en-US"/>
              </w:rPr>
              <w:t>The Constitution forbade entries in the market.</w:t>
            </w:r>
          </w:p>
        </w:tc>
        <w:tc>
          <w:tcPr>
            <w:tcW w:w="1276"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both"/>
              <w:rPr>
                <w:rFonts w:cs="Times New Roman"/>
                <w:b/>
                <w:sz w:val="24"/>
                <w:szCs w:val="24"/>
                <w:lang w:val="en-US"/>
              </w:rPr>
            </w:pPr>
            <w:r w:rsidRPr="00EB2354">
              <w:rPr>
                <w:rFonts w:cs="Times New Roman"/>
                <w:sz w:val="16"/>
                <w:szCs w:val="16"/>
                <w:lang w:val="en-US"/>
              </w:rPr>
              <w:t>Became an administrative issue, dependent on government decision.</w:t>
            </w:r>
          </w:p>
        </w:tc>
        <w:tc>
          <w:tcPr>
            <w:tcW w:w="1340"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both"/>
              <w:rPr>
                <w:rFonts w:cs="Times New Roman"/>
                <w:b/>
                <w:sz w:val="24"/>
                <w:szCs w:val="24"/>
                <w:lang w:val="en-US"/>
              </w:rPr>
            </w:pPr>
            <w:r w:rsidRPr="00EB2354">
              <w:rPr>
                <w:rFonts w:cs="Times New Roman"/>
                <w:sz w:val="16"/>
                <w:szCs w:val="16"/>
                <w:lang w:val="en-US"/>
              </w:rPr>
              <w:t>Became an administrative issue, dependent on government decision.</w:t>
            </w:r>
          </w:p>
        </w:tc>
      </w:tr>
      <w:tr w:rsidR="00137589" w:rsidTr="00137589">
        <w:trPr>
          <w:trHeight w:val="977"/>
          <w:jc w:val="center"/>
        </w:trPr>
        <w:tc>
          <w:tcPr>
            <w:tcW w:w="1815" w:type="dxa"/>
            <w:tcBorders>
              <w:top w:val="single" w:sz="4" w:space="0" w:color="auto"/>
              <w:left w:val="single" w:sz="4" w:space="0" w:color="auto"/>
              <w:bottom w:val="single" w:sz="4" w:space="0" w:color="auto"/>
              <w:right w:val="single" w:sz="4" w:space="0" w:color="auto"/>
            </w:tcBorders>
            <w:hideMark/>
          </w:tcPr>
          <w:p w:rsidR="00137589" w:rsidRDefault="00137589">
            <w:pPr>
              <w:spacing w:line="360" w:lineRule="auto"/>
              <w:rPr>
                <w:rFonts w:cs="Times New Roman"/>
                <w:b/>
                <w:sz w:val="16"/>
                <w:szCs w:val="16"/>
                <w:lang w:val="pt-PT"/>
              </w:rPr>
            </w:pPr>
            <w:r>
              <w:rPr>
                <w:rFonts w:cs="Times New Roman"/>
                <w:b/>
                <w:sz w:val="16"/>
                <w:szCs w:val="16"/>
                <w:lang w:val="pt-PT"/>
              </w:rPr>
              <w:t>Law 46/77, 8 July 1977</w:t>
            </w:r>
          </w:p>
        </w:tc>
        <w:tc>
          <w:tcPr>
            <w:tcW w:w="1194"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center"/>
              <w:rPr>
                <w:rFonts w:cs="Times New Roman"/>
                <w:sz w:val="16"/>
                <w:szCs w:val="16"/>
                <w:lang w:val="en-US"/>
              </w:rPr>
            </w:pPr>
            <w:r w:rsidRPr="00EB2354">
              <w:rPr>
                <w:rFonts w:cs="Times New Roman"/>
                <w:sz w:val="16"/>
                <w:szCs w:val="16"/>
                <w:lang w:val="en-US"/>
              </w:rPr>
              <w:t>Sets the limits between the public and the private sectors of the economy (commercial banking is public)</w:t>
            </w: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39"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117"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212"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22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353"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c>
          <w:tcPr>
            <w:tcW w:w="1340"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r>
      <w:tr w:rsidR="00137589" w:rsidTr="00137589">
        <w:trPr>
          <w:trHeight w:val="977"/>
          <w:jc w:val="center"/>
        </w:trPr>
        <w:tc>
          <w:tcPr>
            <w:tcW w:w="1815" w:type="dxa"/>
            <w:tcBorders>
              <w:top w:val="single" w:sz="4" w:space="0" w:color="auto"/>
              <w:left w:val="single" w:sz="4" w:space="0" w:color="auto"/>
              <w:bottom w:val="single" w:sz="4" w:space="0" w:color="auto"/>
              <w:right w:val="single" w:sz="4" w:space="0" w:color="auto"/>
            </w:tcBorders>
            <w:hideMark/>
          </w:tcPr>
          <w:p w:rsidR="00137589" w:rsidRDefault="00137589">
            <w:pPr>
              <w:spacing w:line="360" w:lineRule="auto"/>
              <w:rPr>
                <w:rFonts w:cs="Times New Roman"/>
                <w:b/>
                <w:sz w:val="16"/>
                <w:szCs w:val="16"/>
                <w:lang w:val="pt-PT"/>
              </w:rPr>
            </w:pPr>
            <w:r>
              <w:rPr>
                <w:rFonts w:cs="Times New Roman"/>
                <w:b/>
                <w:sz w:val="16"/>
                <w:szCs w:val="16"/>
                <w:lang w:val="pt-PT"/>
              </w:rPr>
              <w:t>Decree-Law 353-O/77, 29 August 1977</w:t>
            </w:r>
          </w:p>
        </w:tc>
        <w:tc>
          <w:tcPr>
            <w:tcW w:w="1194" w:type="dxa"/>
            <w:tcBorders>
              <w:top w:val="single" w:sz="4" w:space="0" w:color="auto"/>
              <w:left w:val="single" w:sz="4" w:space="0" w:color="auto"/>
              <w:bottom w:val="single" w:sz="4" w:space="0" w:color="auto"/>
              <w:right w:val="single" w:sz="4" w:space="0" w:color="auto"/>
            </w:tcBorders>
          </w:tcPr>
          <w:p w:rsidR="00137589" w:rsidRDefault="00137589">
            <w:pPr>
              <w:jc w:val="center"/>
              <w:rPr>
                <w:rFonts w:cs="Times New Roman"/>
                <w:sz w:val="16"/>
                <w:szCs w:val="16"/>
                <w:lang w:val="pt-PT"/>
              </w:rPr>
            </w:pPr>
          </w:p>
        </w:tc>
        <w:tc>
          <w:tcPr>
            <w:tcW w:w="1276" w:type="dxa"/>
            <w:tcBorders>
              <w:top w:val="single" w:sz="4" w:space="0" w:color="auto"/>
              <w:left w:val="single" w:sz="4" w:space="0" w:color="auto"/>
              <w:bottom w:val="single" w:sz="4" w:space="0" w:color="auto"/>
              <w:right w:val="single" w:sz="4" w:space="0" w:color="auto"/>
            </w:tcBorders>
          </w:tcPr>
          <w:p w:rsidR="00137589" w:rsidRDefault="00137589">
            <w:pPr>
              <w:jc w:val="center"/>
              <w:rPr>
                <w:rFonts w:cs="Times New Roman"/>
                <w:b/>
                <w:sz w:val="24"/>
                <w:szCs w:val="24"/>
                <w:lang w:val="pt-PT"/>
              </w:rPr>
            </w:pPr>
          </w:p>
        </w:tc>
        <w:tc>
          <w:tcPr>
            <w:tcW w:w="1275" w:type="dxa"/>
            <w:tcBorders>
              <w:top w:val="single" w:sz="4" w:space="0" w:color="auto"/>
              <w:left w:val="single" w:sz="4" w:space="0" w:color="auto"/>
              <w:bottom w:val="single" w:sz="4" w:space="0" w:color="auto"/>
              <w:right w:val="single" w:sz="4" w:space="0" w:color="auto"/>
            </w:tcBorders>
          </w:tcPr>
          <w:p w:rsidR="00137589" w:rsidRDefault="00137589">
            <w:pPr>
              <w:jc w:val="both"/>
              <w:rPr>
                <w:rFonts w:cs="Times New Roman"/>
                <w:sz w:val="16"/>
                <w:szCs w:val="16"/>
                <w:lang w:val="pt-PT"/>
              </w:rPr>
            </w:pPr>
          </w:p>
        </w:tc>
        <w:tc>
          <w:tcPr>
            <w:tcW w:w="1239" w:type="dxa"/>
            <w:tcBorders>
              <w:top w:val="single" w:sz="4" w:space="0" w:color="auto"/>
              <w:left w:val="single" w:sz="4" w:space="0" w:color="auto"/>
              <w:bottom w:val="single" w:sz="4" w:space="0" w:color="auto"/>
              <w:right w:val="single" w:sz="4" w:space="0" w:color="auto"/>
            </w:tcBorders>
          </w:tcPr>
          <w:p w:rsidR="00137589" w:rsidRDefault="00137589">
            <w:pPr>
              <w:jc w:val="center"/>
              <w:rPr>
                <w:rFonts w:cs="Times New Roman"/>
                <w:b/>
                <w:sz w:val="24"/>
                <w:szCs w:val="24"/>
                <w:lang w:val="pt-PT"/>
              </w:rPr>
            </w:pPr>
          </w:p>
        </w:tc>
        <w:tc>
          <w:tcPr>
            <w:tcW w:w="1117"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center"/>
              <w:rPr>
                <w:rFonts w:cs="Times New Roman"/>
                <w:sz w:val="16"/>
                <w:szCs w:val="16"/>
                <w:lang w:val="en-US"/>
              </w:rPr>
            </w:pPr>
            <w:r w:rsidRPr="00EB2354">
              <w:rPr>
                <w:rFonts w:cs="Times New Roman"/>
                <w:sz w:val="16"/>
                <w:szCs w:val="16"/>
                <w:lang w:val="en-US"/>
              </w:rPr>
              <w:t>Commercial banks can open accounts of non-residents, but only of time deposits</w:t>
            </w:r>
          </w:p>
        </w:tc>
        <w:tc>
          <w:tcPr>
            <w:tcW w:w="1212"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22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353"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c>
          <w:tcPr>
            <w:tcW w:w="1340"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r>
      <w:tr w:rsidR="00137589" w:rsidTr="00137589">
        <w:trPr>
          <w:trHeight w:val="987"/>
          <w:jc w:val="center"/>
        </w:trPr>
        <w:tc>
          <w:tcPr>
            <w:tcW w:w="1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Pr="00EB2354" w:rsidRDefault="00137589">
            <w:pPr>
              <w:jc w:val="center"/>
              <w:rPr>
                <w:rFonts w:cs="Times New Roman"/>
                <w:b/>
                <w:sz w:val="24"/>
                <w:szCs w:val="24"/>
                <w:lang w:val="en-US"/>
              </w:rPr>
            </w:pPr>
          </w:p>
        </w:tc>
        <w:tc>
          <w:tcPr>
            <w:tcW w:w="11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Pr="00EB2354" w:rsidRDefault="00137589">
            <w:pPr>
              <w:jc w:val="center"/>
              <w:rPr>
                <w:rFonts w:cs="Times New Roman"/>
                <w:b/>
                <w:sz w:val="16"/>
                <w:szCs w:val="16"/>
                <w:lang w:val="en-US"/>
              </w:rPr>
            </w:pPr>
          </w:p>
          <w:p w:rsidR="00137589" w:rsidRDefault="00137589">
            <w:pPr>
              <w:jc w:val="center"/>
              <w:rPr>
                <w:rFonts w:cs="Times New Roman"/>
                <w:b/>
                <w:sz w:val="16"/>
                <w:szCs w:val="16"/>
                <w:lang w:val="pt-PT"/>
              </w:rPr>
            </w:pPr>
            <w:r>
              <w:rPr>
                <w:rFonts w:cs="Times New Roman"/>
                <w:b/>
                <w:sz w:val="16"/>
                <w:szCs w:val="16"/>
                <w:lang w:val="pt-PT"/>
              </w:rPr>
              <w:t>General</w:t>
            </w:r>
          </w:p>
          <w:p w:rsidR="00137589" w:rsidRDefault="00137589">
            <w:pPr>
              <w:jc w:val="center"/>
              <w:rPr>
                <w:rFonts w:cs="Times New Roman"/>
                <w:b/>
                <w:sz w:val="16"/>
                <w:szCs w:val="16"/>
                <w:lang w:val="pt-PT"/>
              </w:rPr>
            </w:pPr>
            <w:r>
              <w:rPr>
                <w:rFonts w:cs="Times New Roman"/>
                <w:b/>
                <w:sz w:val="16"/>
                <w:szCs w:val="16"/>
                <w:lang w:val="pt-PT"/>
              </w:rPr>
              <w:t>Conditions</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16"/>
                <w:szCs w:val="16"/>
                <w:lang w:val="pt-PT"/>
              </w:rPr>
            </w:pPr>
            <w:r>
              <w:rPr>
                <w:rFonts w:cs="Times New Roman"/>
                <w:b/>
                <w:sz w:val="16"/>
                <w:szCs w:val="16"/>
                <w:lang w:val="pt-PT"/>
              </w:rPr>
              <w:t>Capital Requirements</w:t>
            </w:r>
          </w:p>
          <w:p w:rsidR="00137589" w:rsidRDefault="00137589">
            <w:pPr>
              <w:jc w:val="center"/>
              <w:rPr>
                <w:rFonts w:cs="Times New Roman"/>
                <w:b/>
                <w:sz w:val="16"/>
                <w:szCs w:val="16"/>
                <w:lang w:val="pt-PT"/>
              </w:rPr>
            </w:pP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Interest Rates</w:t>
            </w:r>
          </w:p>
        </w:tc>
        <w:tc>
          <w:tcPr>
            <w:tcW w:w="123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Cash Reserves</w:t>
            </w:r>
          </w:p>
        </w:tc>
        <w:tc>
          <w:tcPr>
            <w:tcW w:w="1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16"/>
                <w:szCs w:val="16"/>
                <w:lang w:val="pt-PT"/>
              </w:rPr>
            </w:pPr>
            <w:r>
              <w:rPr>
                <w:rFonts w:cs="Times New Roman"/>
                <w:b/>
                <w:sz w:val="16"/>
                <w:szCs w:val="16"/>
                <w:lang w:val="pt-PT"/>
              </w:rPr>
              <w:t>Operations</w:t>
            </w:r>
          </w:p>
        </w:tc>
        <w:tc>
          <w:tcPr>
            <w:tcW w:w="121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Credit</w:t>
            </w:r>
          </w:p>
        </w:tc>
        <w:tc>
          <w:tcPr>
            <w:tcW w:w="12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Stock/Bonds holdings</w:t>
            </w:r>
          </w:p>
        </w:tc>
        <w:tc>
          <w:tcPr>
            <w:tcW w:w="1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Entry in market</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Mergers &amp; Acquisitions</w:t>
            </w:r>
          </w:p>
        </w:tc>
        <w:tc>
          <w:tcPr>
            <w:tcW w:w="13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Branches</w:t>
            </w:r>
          </w:p>
        </w:tc>
      </w:tr>
      <w:tr w:rsidR="00137589" w:rsidTr="00137589">
        <w:trPr>
          <w:trHeight w:val="977"/>
          <w:jc w:val="center"/>
        </w:trPr>
        <w:tc>
          <w:tcPr>
            <w:tcW w:w="1815" w:type="dxa"/>
            <w:tcBorders>
              <w:top w:val="single" w:sz="4" w:space="0" w:color="auto"/>
              <w:left w:val="single" w:sz="4" w:space="0" w:color="auto"/>
              <w:bottom w:val="single" w:sz="4" w:space="0" w:color="auto"/>
              <w:right w:val="single" w:sz="4" w:space="0" w:color="auto"/>
            </w:tcBorders>
            <w:hideMark/>
          </w:tcPr>
          <w:p w:rsidR="00137589" w:rsidRDefault="00137589">
            <w:pPr>
              <w:spacing w:line="360" w:lineRule="auto"/>
              <w:rPr>
                <w:rFonts w:cs="Times New Roman"/>
                <w:b/>
                <w:sz w:val="16"/>
                <w:szCs w:val="16"/>
                <w:lang w:val="pt-PT"/>
              </w:rPr>
            </w:pPr>
            <w:r>
              <w:rPr>
                <w:rFonts w:cs="Times New Roman"/>
                <w:b/>
                <w:sz w:val="16"/>
                <w:szCs w:val="16"/>
                <w:lang w:val="pt-PT"/>
              </w:rPr>
              <w:t>Decree-Law 353-J/77, 29 August 1977</w:t>
            </w:r>
          </w:p>
        </w:tc>
        <w:tc>
          <w:tcPr>
            <w:tcW w:w="1194" w:type="dxa"/>
            <w:tcBorders>
              <w:top w:val="single" w:sz="4" w:space="0" w:color="auto"/>
              <w:left w:val="single" w:sz="4" w:space="0" w:color="auto"/>
              <w:bottom w:val="single" w:sz="4" w:space="0" w:color="auto"/>
              <w:right w:val="single" w:sz="4" w:space="0" w:color="auto"/>
            </w:tcBorders>
          </w:tcPr>
          <w:p w:rsidR="00137589" w:rsidRDefault="00137589">
            <w:pPr>
              <w:jc w:val="center"/>
              <w:rPr>
                <w:rFonts w:cs="Times New Roman"/>
                <w:sz w:val="16"/>
                <w:szCs w:val="16"/>
                <w:lang w:val="pt-PT"/>
              </w:rPr>
            </w:pPr>
          </w:p>
        </w:tc>
        <w:tc>
          <w:tcPr>
            <w:tcW w:w="1276" w:type="dxa"/>
            <w:tcBorders>
              <w:top w:val="single" w:sz="4" w:space="0" w:color="auto"/>
              <w:left w:val="single" w:sz="4" w:space="0" w:color="auto"/>
              <w:bottom w:val="single" w:sz="4" w:space="0" w:color="auto"/>
              <w:right w:val="single" w:sz="4" w:space="0" w:color="auto"/>
            </w:tcBorders>
          </w:tcPr>
          <w:p w:rsidR="00137589" w:rsidRDefault="00137589">
            <w:pPr>
              <w:jc w:val="center"/>
              <w:rPr>
                <w:rFonts w:cs="Times New Roman"/>
                <w:b/>
                <w:sz w:val="24"/>
                <w:szCs w:val="24"/>
                <w:lang w:val="pt-PT"/>
              </w:rPr>
            </w:pPr>
          </w:p>
        </w:tc>
        <w:tc>
          <w:tcPr>
            <w:tcW w:w="1275" w:type="dxa"/>
            <w:tcBorders>
              <w:top w:val="single" w:sz="4" w:space="0" w:color="auto"/>
              <w:left w:val="single" w:sz="4" w:space="0" w:color="auto"/>
              <w:bottom w:val="single" w:sz="4" w:space="0" w:color="auto"/>
              <w:right w:val="single" w:sz="4" w:space="0" w:color="auto"/>
            </w:tcBorders>
          </w:tcPr>
          <w:p w:rsidR="00137589" w:rsidRDefault="00137589">
            <w:pPr>
              <w:jc w:val="both"/>
              <w:rPr>
                <w:rFonts w:cs="Times New Roman"/>
                <w:sz w:val="16"/>
                <w:szCs w:val="16"/>
                <w:lang w:val="pt-PT"/>
              </w:rPr>
            </w:pPr>
          </w:p>
        </w:tc>
        <w:tc>
          <w:tcPr>
            <w:tcW w:w="1239" w:type="dxa"/>
            <w:tcBorders>
              <w:top w:val="single" w:sz="4" w:space="0" w:color="auto"/>
              <w:left w:val="single" w:sz="4" w:space="0" w:color="auto"/>
              <w:bottom w:val="single" w:sz="4" w:space="0" w:color="auto"/>
              <w:right w:val="single" w:sz="4" w:space="0" w:color="auto"/>
            </w:tcBorders>
          </w:tcPr>
          <w:p w:rsidR="00137589" w:rsidRDefault="00137589">
            <w:pPr>
              <w:jc w:val="center"/>
              <w:rPr>
                <w:rFonts w:cs="Times New Roman"/>
                <w:b/>
                <w:sz w:val="24"/>
                <w:szCs w:val="24"/>
                <w:lang w:val="pt-PT"/>
              </w:rPr>
            </w:pPr>
          </w:p>
        </w:tc>
        <w:tc>
          <w:tcPr>
            <w:tcW w:w="1117"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center"/>
              <w:rPr>
                <w:rFonts w:cs="Times New Roman"/>
                <w:sz w:val="16"/>
                <w:szCs w:val="16"/>
                <w:lang w:val="en-US"/>
              </w:rPr>
            </w:pPr>
            <w:r w:rsidRPr="00EB2354">
              <w:rPr>
                <w:rFonts w:cs="Times New Roman"/>
                <w:sz w:val="16"/>
                <w:szCs w:val="16"/>
                <w:lang w:val="en-US"/>
              </w:rPr>
              <w:t>Commercial banks can grant medium- and long-run credit</w:t>
            </w:r>
          </w:p>
        </w:tc>
        <w:tc>
          <w:tcPr>
            <w:tcW w:w="1212"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22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353"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c>
          <w:tcPr>
            <w:tcW w:w="1340"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r>
      <w:tr w:rsidR="00137589" w:rsidTr="00137589">
        <w:trPr>
          <w:trHeight w:val="977"/>
          <w:jc w:val="center"/>
        </w:trPr>
        <w:tc>
          <w:tcPr>
            <w:tcW w:w="1815" w:type="dxa"/>
            <w:tcBorders>
              <w:top w:val="single" w:sz="4" w:space="0" w:color="auto"/>
              <w:left w:val="single" w:sz="4" w:space="0" w:color="auto"/>
              <w:bottom w:val="single" w:sz="4" w:space="0" w:color="auto"/>
              <w:right w:val="single" w:sz="4" w:space="0" w:color="auto"/>
            </w:tcBorders>
            <w:hideMark/>
          </w:tcPr>
          <w:p w:rsidR="00137589" w:rsidRDefault="00137589">
            <w:pPr>
              <w:spacing w:line="360" w:lineRule="auto"/>
              <w:rPr>
                <w:rFonts w:cs="Times New Roman"/>
                <w:b/>
                <w:sz w:val="16"/>
                <w:szCs w:val="16"/>
                <w:lang w:val="pt-PT"/>
              </w:rPr>
            </w:pPr>
            <w:r>
              <w:rPr>
                <w:rFonts w:cs="Times New Roman"/>
                <w:b/>
                <w:sz w:val="16"/>
                <w:szCs w:val="16"/>
                <w:lang w:val="pt-PT"/>
              </w:rPr>
              <w:t>Decree-Law 137/79, 18 May 1979</w:t>
            </w:r>
          </w:p>
        </w:tc>
        <w:tc>
          <w:tcPr>
            <w:tcW w:w="1194"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center"/>
              <w:rPr>
                <w:rFonts w:cs="Times New Roman"/>
                <w:sz w:val="16"/>
                <w:szCs w:val="16"/>
                <w:lang w:val="en-US"/>
              </w:rPr>
            </w:pPr>
            <w:r w:rsidRPr="00EB2354">
              <w:rPr>
                <w:rFonts w:cs="Times New Roman"/>
                <w:sz w:val="16"/>
                <w:szCs w:val="16"/>
                <w:lang w:val="en-US"/>
              </w:rPr>
              <w:t>Investment companies could be established</w:t>
            </w: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39"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117"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sz w:val="16"/>
                <w:szCs w:val="16"/>
                <w:lang w:val="en-US"/>
              </w:rPr>
            </w:pPr>
          </w:p>
        </w:tc>
        <w:tc>
          <w:tcPr>
            <w:tcW w:w="1212"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22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353"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c>
          <w:tcPr>
            <w:tcW w:w="1340"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r>
      <w:tr w:rsidR="00137589" w:rsidTr="00137589">
        <w:trPr>
          <w:jc w:val="center"/>
        </w:trPr>
        <w:tc>
          <w:tcPr>
            <w:tcW w:w="1815" w:type="dxa"/>
            <w:tcBorders>
              <w:top w:val="single" w:sz="4" w:space="0" w:color="auto"/>
              <w:left w:val="single" w:sz="4" w:space="0" w:color="auto"/>
              <w:bottom w:val="single" w:sz="4" w:space="0" w:color="auto"/>
              <w:right w:val="single" w:sz="4" w:space="0" w:color="auto"/>
            </w:tcBorders>
            <w:hideMark/>
          </w:tcPr>
          <w:p w:rsidR="00137589" w:rsidRDefault="00137589">
            <w:pPr>
              <w:spacing w:line="360" w:lineRule="auto"/>
              <w:rPr>
                <w:rFonts w:cs="Times New Roman"/>
                <w:b/>
                <w:sz w:val="16"/>
                <w:szCs w:val="16"/>
                <w:lang w:val="pt-PT"/>
              </w:rPr>
            </w:pPr>
            <w:r>
              <w:rPr>
                <w:rFonts w:cs="Times New Roman"/>
                <w:b/>
                <w:sz w:val="16"/>
                <w:szCs w:val="16"/>
                <w:lang w:val="pt-PT"/>
              </w:rPr>
              <w:t>Decree-Law 499/80, 20  October 1980</w:t>
            </w:r>
          </w:p>
        </w:tc>
        <w:tc>
          <w:tcPr>
            <w:tcW w:w="1194"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sz w:val="16"/>
                <w:szCs w:val="16"/>
                <w:lang w:val="en-US"/>
              </w:rPr>
            </w:pPr>
            <w:r w:rsidRPr="00EB2354">
              <w:rPr>
                <w:rFonts w:cs="Times New Roman"/>
                <w:sz w:val="16"/>
                <w:szCs w:val="16"/>
                <w:lang w:val="en-US"/>
              </w:rPr>
              <w:t>Regional Development Societies could be established</w:t>
            </w:r>
          </w:p>
          <w:p w:rsidR="00137589" w:rsidRPr="00EB2354" w:rsidRDefault="00137589">
            <w:pPr>
              <w:jc w:val="center"/>
              <w:rPr>
                <w:rFonts w:cs="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39"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117"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12"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2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353"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c>
          <w:tcPr>
            <w:tcW w:w="1340"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r>
      <w:tr w:rsidR="00137589" w:rsidTr="00137589">
        <w:trPr>
          <w:trHeight w:val="1816"/>
          <w:jc w:val="center"/>
        </w:trPr>
        <w:tc>
          <w:tcPr>
            <w:tcW w:w="1815" w:type="dxa"/>
            <w:tcBorders>
              <w:top w:val="single" w:sz="4" w:space="0" w:color="auto"/>
              <w:left w:val="single" w:sz="4" w:space="0" w:color="auto"/>
              <w:bottom w:val="single" w:sz="4" w:space="0" w:color="auto"/>
              <w:right w:val="single" w:sz="4" w:space="0" w:color="auto"/>
            </w:tcBorders>
            <w:hideMark/>
          </w:tcPr>
          <w:p w:rsidR="00137589" w:rsidRDefault="00137589">
            <w:pPr>
              <w:spacing w:line="360" w:lineRule="auto"/>
              <w:rPr>
                <w:rFonts w:cs="Times New Roman"/>
                <w:b/>
                <w:sz w:val="16"/>
                <w:szCs w:val="16"/>
                <w:lang w:val="pt-PT"/>
              </w:rPr>
            </w:pPr>
            <w:r>
              <w:rPr>
                <w:rFonts w:cs="Times New Roman"/>
                <w:b/>
                <w:sz w:val="16"/>
                <w:szCs w:val="16"/>
                <w:lang w:val="pt-PT"/>
              </w:rPr>
              <w:t>Law 11/83, 16 August 1983</w:t>
            </w:r>
          </w:p>
        </w:tc>
        <w:tc>
          <w:tcPr>
            <w:tcW w:w="1194"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center"/>
              <w:rPr>
                <w:rFonts w:cs="Times New Roman"/>
                <w:sz w:val="16"/>
                <w:szCs w:val="16"/>
                <w:lang w:val="en-US"/>
              </w:rPr>
            </w:pPr>
            <w:r w:rsidRPr="00EB2354">
              <w:rPr>
                <w:rFonts w:cs="Times New Roman"/>
                <w:sz w:val="16"/>
                <w:szCs w:val="16"/>
                <w:lang w:val="en-US"/>
              </w:rPr>
              <w:t>Authorised the Government to revise the limit between the public and the private sectors of the economy established by Law 46/77</w:t>
            </w: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39"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117"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12"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2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353"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c>
          <w:tcPr>
            <w:tcW w:w="1340"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r>
      <w:tr w:rsidR="00137589" w:rsidTr="00137589">
        <w:trPr>
          <w:trHeight w:val="1273"/>
          <w:jc w:val="center"/>
        </w:trPr>
        <w:tc>
          <w:tcPr>
            <w:tcW w:w="1815" w:type="dxa"/>
            <w:tcBorders>
              <w:top w:val="single" w:sz="4" w:space="0" w:color="auto"/>
              <w:left w:val="single" w:sz="4" w:space="0" w:color="auto"/>
              <w:bottom w:val="single" w:sz="4" w:space="0" w:color="auto"/>
              <w:right w:val="single" w:sz="4" w:space="0" w:color="auto"/>
            </w:tcBorders>
            <w:hideMark/>
          </w:tcPr>
          <w:p w:rsidR="00137589" w:rsidRDefault="00137589">
            <w:pPr>
              <w:spacing w:line="360" w:lineRule="auto"/>
              <w:rPr>
                <w:rFonts w:cs="Times New Roman"/>
                <w:b/>
                <w:sz w:val="16"/>
                <w:szCs w:val="16"/>
                <w:lang w:val="pt-PT"/>
              </w:rPr>
            </w:pPr>
            <w:r>
              <w:rPr>
                <w:rFonts w:cs="Times New Roman"/>
                <w:b/>
                <w:sz w:val="16"/>
                <w:szCs w:val="16"/>
                <w:lang w:val="pt-PT"/>
              </w:rPr>
              <w:t>Decree-Law 406/83, 19 November 1983</w:t>
            </w:r>
          </w:p>
        </w:tc>
        <w:tc>
          <w:tcPr>
            <w:tcW w:w="1194"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sz w:val="16"/>
                <w:szCs w:val="16"/>
                <w:lang w:val="en-US"/>
              </w:rPr>
            </w:pPr>
            <w:r w:rsidRPr="00EB2354">
              <w:rPr>
                <w:rFonts w:cs="Times New Roman"/>
                <w:sz w:val="16"/>
                <w:szCs w:val="16"/>
                <w:lang w:val="en-US"/>
              </w:rPr>
              <w:t>Opened commercial banking to private activity</w:t>
            </w:r>
          </w:p>
          <w:p w:rsidR="00137589" w:rsidRPr="00EB2354" w:rsidRDefault="00137589">
            <w:pPr>
              <w:jc w:val="center"/>
              <w:rPr>
                <w:rFonts w:cs="Times New Roman"/>
                <w:sz w:val="16"/>
                <w:szCs w:val="16"/>
                <w:lang w:val="en-US"/>
              </w:rPr>
            </w:pPr>
          </w:p>
          <w:p w:rsidR="00137589" w:rsidRPr="00EB2354" w:rsidRDefault="00137589">
            <w:pPr>
              <w:jc w:val="center"/>
              <w:rPr>
                <w:rFonts w:cs="Times New Roman"/>
                <w:sz w:val="16"/>
                <w:szCs w:val="16"/>
                <w:lang w:val="en-US"/>
              </w:rPr>
            </w:pPr>
          </w:p>
          <w:p w:rsidR="00137589" w:rsidRPr="00EB2354" w:rsidRDefault="00137589">
            <w:pPr>
              <w:jc w:val="center"/>
              <w:rPr>
                <w:rFonts w:cs="Times New Roman"/>
                <w:sz w:val="16"/>
                <w:szCs w:val="16"/>
                <w:lang w:val="en-US"/>
              </w:rPr>
            </w:pPr>
          </w:p>
          <w:p w:rsidR="00137589" w:rsidRPr="00EB2354" w:rsidRDefault="00137589">
            <w:pPr>
              <w:jc w:val="center"/>
              <w:rPr>
                <w:rFonts w:cs="Times New Roman"/>
                <w:sz w:val="16"/>
                <w:szCs w:val="16"/>
                <w:lang w:val="en-US"/>
              </w:rPr>
            </w:pPr>
          </w:p>
          <w:p w:rsidR="00137589" w:rsidRPr="00EB2354" w:rsidRDefault="00137589">
            <w:pPr>
              <w:jc w:val="center"/>
              <w:rPr>
                <w:rFonts w:cs="Times New Roman"/>
                <w:sz w:val="16"/>
                <w:szCs w:val="16"/>
                <w:lang w:val="en-US"/>
              </w:rPr>
            </w:pPr>
          </w:p>
          <w:p w:rsidR="00137589" w:rsidRPr="00EB2354" w:rsidRDefault="00137589">
            <w:pPr>
              <w:jc w:val="center"/>
              <w:rPr>
                <w:rFonts w:cs="Times New Roman"/>
                <w:sz w:val="16"/>
                <w:szCs w:val="16"/>
                <w:lang w:val="en-US"/>
              </w:rPr>
            </w:pPr>
          </w:p>
          <w:p w:rsidR="00137589" w:rsidRPr="00EB2354" w:rsidRDefault="00137589">
            <w:pPr>
              <w:jc w:val="center"/>
              <w:rPr>
                <w:rFonts w:cs="Times New Roman"/>
                <w:sz w:val="16"/>
                <w:szCs w:val="16"/>
                <w:lang w:val="en-US"/>
              </w:rPr>
            </w:pPr>
          </w:p>
          <w:p w:rsidR="00137589" w:rsidRPr="00EB2354" w:rsidRDefault="00137589">
            <w:pPr>
              <w:jc w:val="center"/>
              <w:rPr>
                <w:rFonts w:cs="Times New Roman"/>
                <w:sz w:val="16"/>
                <w:szCs w:val="16"/>
                <w:lang w:val="en-US"/>
              </w:rPr>
            </w:pPr>
          </w:p>
          <w:p w:rsidR="00137589" w:rsidRPr="00EB2354" w:rsidRDefault="00137589">
            <w:pPr>
              <w:jc w:val="center"/>
              <w:rPr>
                <w:rFonts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39"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117"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12"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2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353"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c>
          <w:tcPr>
            <w:tcW w:w="1340"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r>
      <w:tr w:rsidR="00137589" w:rsidTr="00137589">
        <w:trPr>
          <w:jc w:val="center"/>
        </w:trPr>
        <w:tc>
          <w:tcPr>
            <w:tcW w:w="1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Pr="00EB2354" w:rsidRDefault="00137589">
            <w:pPr>
              <w:jc w:val="center"/>
              <w:rPr>
                <w:rFonts w:cs="Times New Roman"/>
                <w:b/>
                <w:sz w:val="24"/>
                <w:szCs w:val="24"/>
                <w:lang w:val="en-US"/>
              </w:rPr>
            </w:pPr>
          </w:p>
        </w:tc>
        <w:tc>
          <w:tcPr>
            <w:tcW w:w="11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Pr="00EB2354" w:rsidRDefault="00137589">
            <w:pPr>
              <w:jc w:val="center"/>
              <w:rPr>
                <w:rFonts w:cs="Times New Roman"/>
                <w:b/>
                <w:sz w:val="16"/>
                <w:szCs w:val="16"/>
                <w:lang w:val="en-US"/>
              </w:rPr>
            </w:pPr>
          </w:p>
          <w:p w:rsidR="00137589" w:rsidRDefault="00137589">
            <w:pPr>
              <w:jc w:val="center"/>
              <w:rPr>
                <w:rFonts w:cs="Times New Roman"/>
                <w:b/>
                <w:sz w:val="16"/>
                <w:szCs w:val="16"/>
                <w:lang w:val="pt-PT"/>
              </w:rPr>
            </w:pPr>
            <w:r>
              <w:rPr>
                <w:rFonts w:cs="Times New Roman"/>
                <w:b/>
                <w:sz w:val="16"/>
                <w:szCs w:val="16"/>
                <w:lang w:val="pt-PT"/>
              </w:rPr>
              <w:t>General</w:t>
            </w:r>
          </w:p>
          <w:p w:rsidR="00137589" w:rsidRDefault="00137589">
            <w:pPr>
              <w:jc w:val="center"/>
              <w:rPr>
                <w:rFonts w:cs="Times New Roman"/>
                <w:b/>
                <w:sz w:val="16"/>
                <w:szCs w:val="16"/>
                <w:lang w:val="pt-PT"/>
              </w:rPr>
            </w:pPr>
            <w:r>
              <w:rPr>
                <w:rFonts w:cs="Times New Roman"/>
                <w:b/>
                <w:sz w:val="16"/>
                <w:szCs w:val="16"/>
                <w:lang w:val="pt-PT"/>
              </w:rPr>
              <w:t>Conditions</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16"/>
                <w:szCs w:val="16"/>
                <w:lang w:val="pt-PT"/>
              </w:rPr>
            </w:pPr>
            <w:r>
              <w:rPr>
                <w:rFonts w:cs="Times New Roman"/>
                <w:b/>
                <w:sz w:val="16"/>
                <w:szCs w:val="16"/>
                <w:lang w:val="pt-PT"/>
              </w:rPr>
              <w:t>Capital Requirements</w:t>
            </w:r>
          </w:p>
          <w:p w:rsidR="00137589" w:rsidRDefault="00137589">
            <w:pPr>
              <w:jc w:val="center"/>
              <w:rPr>
                <w:rFonts w:cs="Times New Roman"/>
                <w:b/>
                <w:sz w:val="16"/>
                <w:szCs w:val="16"/>
                <w:lang w:val="pt-PT"/>
              </w:rPr>
            </w:pP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Interest Rates</w:t>
            </w:r>
          </w:p>
        </w:tc>
        <w:tc>
          <w:tcPr>
            <w:tcW w:w="123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Cash Reserves</w:t>
            </w:r>
          </w:p>
        </w:tc>
        <w:tc>
          <w:tcPr>
            <w:tcW w:w="1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16"/>
                <w:szCs w:val="16"/>
                <w:lang w:val="pt-PT"/>
              </w:rPr>
            </w:pPr>
            <w:r>
              <w:rPr>
                <w:rFonts w:cs="Times New Roman"/>
                <w:b/>
                <w:sz w:val="16"/>
                <w:szCs w:val="16"/>
                <w:lang w:val="pt-PT"/>
              </w:rPr>
              <w:t>Operations</w:t>
            </w:r>
          </w:p>
        </w:tc>
        <w:tc>
          <w:tcPr>
            <w:tcW w:w="121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Credit</w:t>
            </w:r>
          </w:p>
        </w:tc>
        <w:tc>
          <w:tcPr>
            <w:tcW w:w="12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Stock/Bonds holdings</w:t>
            </w:r>
          </w:p>
        </w:tc>
        <w:tc>
          <w:tcPr>
            <w:tcW w:w="1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Entry in market</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Mergers &amp; Acquisitions</w:t>
            </w:r>
          </w:p>
        </w:tc>
        <w:tc>
          <w:tcPr>
            <w:tcW w:w="13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Branches</w:t>
            </w:r>
          </w:p>
        </w:tc>
      </w:tr>
      <w:tr w:rsidR="00137589" w:rsidTr="00137589">
        <w:trPr>
          <w:trHeight w:val="964"/>
          <w:jc w:val="center"/>
        </w:trPr>
        <w:tc>
          <w:tcPr>
            <w:tcW w:w="1815" w:type="dxa"/>
            <w:tcBorders>
              <w:top w:val="single" w:sz="4" w:space="0" w:color="auto"/>
              <w:left w:val="single" w:sz="4" w:space="0" w:color="auto"/>
              <w:bottom w:val="single" w:sz="4" w:space="0" w:color="auto"/>
              <w:right w:val="single" w:sz="4" w:space="0" w:color="auto"/>
            </w:tcBorders>
            <w:hideMark/>
          </w:tcPr>
          <w:p w:rsidR="00137589" w:rsidRDefault="00137589">
            <w:pPr>
              <w:spacing w:line="360" w:lineRule="auto"/>
              <w:rPr>
                <w:rFonts w:cs="Times New Roman"/>
                <w:b/>
                <w:sz w:val="16"/>
                <w:szCs w:val="16"/>
                <w:lang w:val="pt-PT"/>
              </w:rPr>
            </w:pPr>
            <w:r>
              <w:rPr>
                <w:rFonts w:cs="Times New Roman"/>
                <w:b/>
                <w:sz w:val="16"/>
                <w:szCs w:val="16"/>
                <w:lang w:val="pt-PT"/>
              </w:rPr>
              <w:t>Decree-Law 51/84, 11 February 1984</w:t>
            </w:r>
          </w:p>
        </w:tc>
        <w:tc>
          <w:tcPr>
            <w:tcW w:w="1194" w:type="dxa"/>
            <w:tcBorders>
              <w:top w:val="single" w:sz="4" w:space="0" w:color="auto"/>
              <w:left w:val="single" w:sz="4" w:space="0" w:color="auto"/>
              <w:bottom w:val="single" w:sz="4" w:space="0" w:color="auto"/>
              <w:right w:val="single" w:sz="4" w:space="0" w:color="auto"/>
            </w:tcBorders>
          </w:tcPr>
          <w:p w:rsidR="00137589" w:rsidRDefault="00137589">
            <w:pPr>
              <w:jc w:val="center"/>
              <w:rPr>
                <w:rFonts w:cs="Times New Roman"/>
                <w:sz w:val="16"/>
                <w:szCs w:val="16"/>
                <w:lang w:val="pt-PT"/>
              </w:rPr>
            </w:pPr>
          </w:p>
        </w:tc>
        <w:tc>
          <w:tcPr>
            <w:tcW w:w="1276"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center"/>
              <w:rPr>
                <w:rFonts w:cs="Times New Roman"/>
                <w:sz w:val="16"/>
                <w:szCs w:val="16"/>
                <w:lang w:val="en-US"/>
              </w:rPr>
            </w:pPr>
            <w:r w:rsidRPr="00EB2354">
              <w:rPr>
                <w:rFonts w:cs="Times New Roman"/>
                <w:sz w:val="16"/>
                <w:szCs w:val="16"/>
                <w:lang w:val="en-US"/>
              </w:rPr>
              <w:t>All banks had to be incorporated and with a minimum capital requirement of 1,5 billion escudos</w:t>
            </w:r>
          </w:p>
        </w:tc>
        <w:tc>
          <w:tcPr>
            <w:tcW w:w="1275"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39"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117"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12"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2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353"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both"/>
              <w:rPr>
                <w:rFonts w:cs="Times New Roman"/>
                <w:sz w:val="16"/>
                <w:szCs w:val="16"/>
                <w:lang w:val="en-US"/>
              </w:rPr>
            </w:pPr>
            <w:r w:rsidRPr="00EB2354">
              <w:rPr>
                <w:rFonts w:cs="Times New Roman"/>
                <w:sz w:val="16"/>
                <w:szCs w:val="16"/>
                <w:lang w:val="en-US"/>
              </w:rPr>
              <w:t>Dependent on the authorisation by the Minister of Finance.</w:t>
            </w:r>
          </w:p>
        </w:tc>
        <w:tc>
          <w:tcPr>
            <w:tcW w:w="1276"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both"/>
              <w:rPr>
                <w:rFonts w:cs="Times New Roman"/>
                <w:b/>
                <w:sz w:val="24"/>
                <w:szCs w:val="24"/>
                <w:lang w:val="en-US"/>
              </w:rPr>
            </w:pPr>
            <w:r w:rsidRPr="00EB2354">
              <w:rPr>
                <w:rFonts w:cs="Times New Roman"/>
                <w:sz w:val="16"/>
                <w:szCs w:val="16"/>
                <w:lang w:val="en-US"/>
              </w:rPr>
              <w:t>Dependent on the authorisation by the Minister of Finance.</w:t>
            </w:r>
          </w:p>
        </w:tc>
        <w:tc>
          <w:tcPr>
            <w:tcW w:w="1340"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both"/>
              <w:rPr>
                <w:rFonts w:cs="Times New Roman"/>
                <w:b/>
                <w:sz w:val="24"/>
                <w:szCs w:val="24"/>
                <w:lang w:val="en-US"/>
              </w:rPr>
            </w:pPr>
            <w:r w:rsidRPr="00EB2354">
              <w:rPr>
                <w:rFonts w:cs="Times New Roman"/>
                <w:sz w:val="16"/>
                <w:szCs w:val="16"/>
                <w:lang w:val="en-US"/>
              </w:rPr>
              <w:t>Dependent on the authorisation by the Minister of Finance.</w:t>
            </w:r>
          </w:p>
        </w:tc>
      </w:tr>
      <w:tr w:rsidR="00137589" w:rsidTr="00137589">
        <w:trPr>
          <w:trHeight w:val="964"/>
          <w:jc w:val="center"/>
        </w:trPr>
        <w:tc>
          <w:tcPr>
            <w:tcW w:w="1815" w:type="dxa"/>
            <w:tcBorders>
              <w:top w:val="single" w:sz="4" w:space="0" w:color="auto"/>
              <w:left w:val="single" w:sz="4" w:space="0" w:color="auto"/>
              <w:bottom w:val="single" w:sz="4" w:space="0" w:color="auto"/>
              <w:right w:val="single" w:sz="4" w:space="0" w:color="auto"/>
            </w:tcBorders>
          </w:tcPr>
          <w:p w:rsidR="00137589" w:rsidRDefault="00137589">
            <w:pPr>
              <w:spacing w:line="360" w:lineRule="auto"/>
              <w:rPr>
                <w:rFonts w:cs="Times New Roman"/>
                <w:b/>
                <w:sz w:val="16"/>
                <w:szCs w:val="16"/>
                <w:lang w:val="pt-PT"/>
              </w:rPr>
            </w:pPr>
            <w:r>
              <w:rPr>
                <w:rFonts w:cs="Times New Roman"/>
                <w:b/>
                <w:sz w:val="16"/>
                <w:szCs w:val="16"/>
                <w:lang w:val="pt-PT"/>
              </w:rPr>
              <w:t>Decree-Law 246/85, 12 July 1985</w:t>
            </w:r>
          </w:p>
          <w:p w:rsidR="00137589" w:rsidRDefault="00137589">
            <w:pPr>
              <w:spacing w:line="360" w:lineRule="auto"/>
              <w:rPr>
                <w:rFonts w:cs="Times New Roman"/>
                <w:b/>
                <w:sz w:val="16"/>
                <w:szCs w:val="16"/>
                <w:lang w:val="pt-PT"/>
              </w:rPr>
            </w:pPr>
          </w:p>
        </w:tc>
        <w:tc>
          <w:tcPr>
            <w:tcW w:w="1194"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sz w:val="16"/>
                <w:szCs w:val="16"/>
                <w:lang w:val="en-US"/>
              </w:rPr>
            </w:pPr>
            <w:r w:rsidRPr="00EB2354">
              <w:rPr>
                <w:rFonts w:cs="Times New Roman"/>
                <w:sz w:val="16"/>
                <w:szCs w:val="16"/>
                <w:lang w:val="en-US"/>
              </w:rPr>
              <w:t>Investment funds (real estate) could be established</w:t>
            </w:r>
          </w:p>
          <w:p w:rsidR="00137589" w:rsidRPr="00EB2354" w:rsidRDefault="00137589">
            <w:pPr>
              <w:jc w:val="center"/>
              <w:rPr>
                <w:rFonts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39"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117"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12"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2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353"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c>
          <w:tcPr>
            <w:tcW w:w="1340"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r>
      <w:tr w:rsidR="00137589" w:rsidTr="00137589">
        <w:trPr>
          <w:jc w:val="center"/>
        </w:trPr>
        <w:tc>
          <w:tcPr>
            <w:tcW w:w="1815" w:type="dxa"/>
            <w:tcBorders>
              <w:top w:val="single" w:sz="4" w:space="0" w:color="auto"/>
              <w:left w:val="single" w:sz="4" w:space="0" w:color="auto"/>
              <w:bottom w:val="single" w:sz="4" w:space="0" w:color="auto"/>
              <w:right w:val="single" w:sz="4" w:space="0" w:color="auto"/>
            </w:tcBorders>
          </w:tcPr>
          <w:p w:rsidR="00137589" w:rsidRDefault="00137589">
            <w:pPr>
              <w:spacing w:line="360" w:lineRule="auto"/>
              <w:rPr>
                <w:rFonts w:cs="Times New Roman"/>
                <w:b/>
                <w:sz w:val="16"/>
                <w:szCs w:val="16"/>
                <w:lang w:val="pt-PT"/>
              </w:rPr>
            </w:pPr>
            <w:r>
              <w:rPr>
                <w:rFonts w:cs="Times New Roman"/>
                <w:b/>
                <w:sz w:val="16"/>
                <w:szCs w:val="16"/>
                <w:lang w:val="pt-PT"/>
              </w:rPr>
              <w:t>Decree-Law 17/86, 5 February 1986</w:t>
            </w:r>
          </w:p>
          <w:p w:rsidR="00137589" w:rsidRDefault="00137589">
            <w:pPr>
              <w:spacing w:line="360" w:lineRule="auto"/>
              <w:rPr>
                <w:rFonts w:cs="Times New Roman"/>
                <w:b/>
                <w:sz w:val="16"/>
                <w:szCs w:val="16"/>
                <w:lang w:val="pt-PT"/>
              </w:rPr>
            </w:pPr>
          </w:p>
        </w:tc>
        <w:tc>
          <w:tcPr>
            <w:tcW w:w="1194"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sz w:val="16"/>
                <w:szCs w:val="16"/>
                <w:lang w:val="en-US"/>
              </w:rPr>
            </w:pPr>
            <w:r w:rsidRPr="00EB2354">
              <w:rPr>
                <w:rFonts w:cs="Times New Roman"/>
                <w:sz w:val="16"/>
                <w:szCs w:val="16"/>
                <w:lang w:val="en-US"/>
              </w:rPr>
              <w:t>Venture capital companies could be established</w:t>
            </w:r>
          </w:p>
          <w:p w:rsidR="00137589" w:rsidRPr="00EB2354" w:rsidRDefault="00137589">
            <w:pPr>
              <w:jc w:val="center"/>
              <w:rPr>
                <w:rFonts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39"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117"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12"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2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353"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c>
          <w:tcPr>
            <w:tcW w:w="1340"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r>
      <w:tr w:rsidR="00137589" w:rsidTr="00137589">
        <w:trPr>
          <w:trHeight w:val="851"/>
          <w:jc w:val="center"/>
        </w:trPr>
        <w:tc>
          <w:tcPr>
            <w:tcW w:w="1815" w:type="dxa"/>
            <w:tcBorders>
              <w:top w:val="single" w:sz="4" w:space="0" w:color="auto"/>
              <w:left w:val="single" w:sz="4" w:space="0" w:color="auto"/>
              <w:bottom w:val="single" w:sz="4" w:space="0" w:color="auto"/>
              <w:right w:val="single" w:sz="4" w:space="0" w:color="auto"/>
            </w:tcBorders>
          </w:tcPr>
          <w:p w:rsidR="00137589" w:rsidRDefault="00137589">
            <w:pPr>
              <w:spacing w:line="360" w:lineRule="auto"/>
              <w:rPr>
                <w:rFonts w:cs="Times New Roman"/>
                <w:b/>
                <w:sz w:val="16"/>
                <w:szCs w:val="16"/>
                <w:lang w:val="pt-PT"/>
              </w:rPr>
            </w:pPr>
            <w:r>
              <w:rPr>
                <w:rFonts w:cs="Times New Roman"/>
                <w:b/>
                <w:sz w:val="16"/>
                <w:szCs w:val="16"/>
                <w:lang w:val="pt-PT"/>
              </w:rPr>
              <w:t>Decree-Law 56/86, 18 March 1986</w:t>
            </w:r>
          </w:p>
          <w:p w:rsidR="00137589" w:rsidRDefault="00137589">
            <w:pPr>
              <w:spacing w:line="360" w:lineRule="auto"/>
              <w:rPr>
                <w:rFonts w:cs="Times New Roman"/>
                <w:b/>
                <w:sz w:val="16"/>
                <w:szCs w:val="16"/>
                <w:lang w:val="pt-PT"/>
              </w:rPr>
            </w:pPr>
          </w:p>
        </w:tc>
        <w:tc>
          <w:tcPr>
            <w:tcW w:w="1194" w:type="dxa"/>
            <w:tcBorders>
              <w:top w:val="single" w:sz="4" w:space="0" w:color="auto"/>
              <w:left w:val="single" w:sz="4" w:space="0" w:color="auto"/>
              <w:bottom w:val="single" w:sz="4" w:space="0" w:color="auto"/>
              <w:right w:val="single" w:sz="4" w:space="0" w:color="auto"/>
            </w:tcBorders>
          </w:tcPr>
          <w:p w:rsidR="00137589" w:rsidRDefault="00137589">
            <w:pPr>
              <w:jc w:val="center"/>
              <w:rPr>
                <w:rFonts w:cs="Times New Roman"/>
                <w:sz w:val="16"/>
                <w:szCs w:val="16"/>
                <w:lang w:val="pt-PT"/>
              </w:rPr>
            </w:pPr>
            <w:r>
              <w:rPr>
                <w:rFonts w:cs="Times New Roman"/>
                <w:sz w:val="16"/>
                <w:szCs w:val="16"/>
                <w:lang w:val="pt-PT"/>
              </w:rPr>
              <w:t>Factoring companies could be established</w:t>
            </w:r>
          </w:p>
          <w:p w:rsidR="00137589" w:rsidRDefault="00137589">
            <w:pPr>
              <w:jc w:val="center"/>
              <w:rPr>
                <w:rFonts w:cs="Times New Roman"/>
                <w:sz w:val="16"/>
                <w:szCs w:val="16"/>
                <w:lang w:val="pt-PT"/>
              </w:rPr>
            </w:pPr>
          </w:p>
        </w:tc>
        <w:tc>
          <w:tcPr>
            <w:tcW w:w="1276" w:type="dxa"/>
            <w:tcBorders>
              <w:top w:val="single" w:sz="4" w:space="0" w:color="auto"/>
              <w:left w:val="single" w:sz="4" w:space="0" w:color="auto"/>
              <w:bottom w:val="single" w:sz="4" w:space="0" w:color="auto"/>
              <w:right w:val="single" w:sz="4" w:space="0" w:color="auto"/>
            </w:tcBorders>
          </w:tcPr>
          <w:p w:rsidR="00137589" w:rsidRDefault="00137589">
            <w:pPr>
              <w:jc w:val="center"/>
              <w:rPr>
                <w:rFonts w:cs="Times New Roman"/>
                <w:b/>
                <w:sz w:val="24"/>
                <w:szCs w:val="24"/>
                <w:lang w:val="pt-PT"/>
              </w:rPr>
            </w:pPr>
          </w:p>
        </w:tc>
        <w:tc>
          <w:tcPr>
            <w:tcW w:w="1275" w:type="dxa"/>
            <w:tcBorders>
              <w:top w:val="single" w:sz="4" w:space="0" w:color="auto"/>
              <w:left w:val="single" w:sz="4" w:space="0" w:color="auto"/>
              <w:bottom w:val="single" w:sz="4" w:space="0" w:color="auto"/>
              <w:right w:val="single" w:sz="4" w:space="0" w:color="auto"/>
            </w:tcBorders>
          </w:tcPr>
          <w:p w:rsidR="00137589" w:rsidRDefault="00137589">
            <w:pPr>
              <w:jc w:val="both"/>
              <w:rPr>
                <w:rFonts w:cs="Times New Roman"/>
                <w:sz w:val="16"/>
                <w:szCs w:val="16"/>
                <w:lang w:val="pt-PT"/>
              </w:rPr>
            </w:pPr>
          </w:p>
        </w:tc>
        <w:tc>
          <w:tcPr>
            <w:tcW w:w="1239" w:type="dxa"/>
            <w:tcBorders>
              <w:top w:val="single" w:sz="4" w:space="0" w:color="auto"/>
              <w:left w:val="single" w:sz="4" w:space="0" w:color="auto"/>
              <w:bottom w:val="single" w:sz="4" w:space="0" w:color="auto"/>
              <w:right w:val="single" w:sz="4" w:space="0" w:color="auto"/>
            </w:tcBorders>
          </w:tcPr>
          <w:p w:rsidR="00137589" w:rsidRDefault="00137589">
            <w:pPr>
              <w:jc w:val="center"/>
              <w:rPr>
                <w:rFonts w:cs="Times New Roman"/>
                <w:b/>
                <w:sz w:val="24"/>
                <w:szCs w:val="24"/>
                <w:lang w:val="pt-PT"/>
              </w:rPr>
            </w:pPr>
          </w:p>
        </w:tc>
        <w:tc>
          <w:tcPr>
            <w:tcW w:w="1117" w:type="dxa"/>
            <w:tcBorders>
              <w:top w:val="single" w:sz="4" w:space="0" w:color="auto"/>
              <w:left w:val="single" w:sz="4" w:space="0" w:color="auto"/>
              <w:bottom w:val="single" w:sz="4" w:space="0" w:color="auto"/>
              <w:right w:val="single" w:sz="4" w:space="0" w:color="auto"/>
            </w:tcBorders>
          </w:tcPr>
          <w:p w:rsidR="00137589" w:rsidRDefault="00137589">
            <w:pPr>
              <w:jc w:val="both"/>
              <w:rPr>
                <w:rFonts w:cs="Times New Roman"/>
                <w:sz w:val="16"/>
                <w:szCs w:val="16"/>
                <w:lang w:val="pt-PT"/>
              </w:rPr>
            </w:pPr>
          </w:p>
        </w:tc>
        <w:tc>
          <w:tcPr>
            <w:tcW w:w="1212" w:type="dxa"/>
            <w:tcBorders>
              <w:top w:val="single" w:sz="4" w:space="0" w:color="auto"/>
              <w:left w:val="single" w:sz="4" w:space="0" w:color="auto"/>
              <w:bottom w:val="single" w:sz="4" w:space="0" w:color="auto"/>
              <w:right w:val="single" w:sz="4" w:space="0" w:color="auto"/>
            </w:tcBorders>
          </w:tcPr>
          <w:p w:rsidR="00137589" w:rsidRDefault="00137589">
            <w:pPr>
              <w:jc w:val="both"/>
              <w:rPr>
                <w:rFonts w:cs="Times New Roman"/>
                <w:sz w:val="16"/>
                <w:szCs w:val="16"/>
                <w:lang w:val="pt-PT"/>
              </w:rPr>
            </w:pPr>
          </w:p>
        </w:tc>
        <w:tc>
          <w:tcPr>
            <w:tcW w:w="1226" w:type="dxa"/>
            <w:tcBorders>
              <w:top w:val="single" w:sz="4" w:space="0" w:color="auto"/>
              <w:left w:val="single" w:sz="4" w:space="0" w:color="auto"/>
              <w:bottom w:val="single" w:sz="4" w:space="0" w:color="auto"/>
              <w:right w:val="single" w:sz="4" w:space="0" w:color="auto"/>
            </w:tcBorders>
          </w:tcPr>
          <w:p w:rsidR="00137589" w:rsidRDefault="00137589">
            <w:pPr>
              <w:jc w:val="center"/>
              <w:rPr>
                <w:rFonts w:cs="Times New Roman"/>
                <w:b/>
                <w:sz w:val="24"/>
                <w:szCs w:val="24"/>
                <w:lang w:val="pt-PT"/>
              </w:rPr>
            </w:pPr>
          </w:p>
        </w:tc>
        <w:tc>
          <w:tcPr>
            <w:tcW w:w="1353" w:type="dxa"/>
            <w:tcBorders>
              <w:top w:val="single" w:sz="4" w:space="0" w:color="auto"/>
              <w:left w:val="single" w:sz="4" w:space="0" w:color="auto"/>
              <w:bottom w:val="single" w:sz="4" w:space="0" w:color="auto"/>
              <w:right w:val="single" w:sz="4" w:space="0" w:color="auto"/>
            </w:tcBorders>
          </w:tcPr>
          <w:p w:rsidR="00137589" w:rsidRDefault="00137589">
            <w:pPr>
              <w:jc w:val="both"/>
              <w:rPr>
                <w:rFonts w:cs="Times New Roman"/>
                <w:sz w:val="16"/>
                <w:szCs w:val="16"/>
                <w:lang w:val="pt-PT"/>
              </w:rPr>
            </w:pPr>
          </w:p>
        </w:tc>
        <w:tc>
          <w:tcPr>
            <w:tcW w:w="1276" w:type="dxa"/>
            <w:tcBorders>
              <w:top w:val="single" w:sz="4" w:space="0" w:color="auto"/>
              <w:left w:val="single" w:sz="4" w:space="0" w:color="auto"/>
              <w:bottom w:val="single" w:sz="4" w:space="0" w:color="auto"/>
              <w:right w:val="single" w:sz="4" w:space="0" w:color="auto"/>
            </w:tcBorders>
          </w:tcPr>
          <w:p w:rsidR="00137589" w:rsidRDefault="00137589">
            <w:pPr>
              <w:jc w:val="both"/>
              <w:rPr>
                <w:rFonts w:cs="Times New Roman"/>
                <w:b/>
                <w:sz w:val="24"/>
                <w:szCs w:val="24"/>
                <w:lang w:val="pt-PT"/>
              </w:rPr>
            </w:pPr>
          </w:p>
        </w:tc>
        <w:tc>
          <w:tcPr>
            <w:tcW w:w="1340" w:type="dxa"/>
            <w:tcBorders>
              <w:top w:val="single" w:sz="4" w:space="0" w:color="auto"/>
              <w:left w:val="single" w:sz="4" w:space="0" w:color="auto"/>
              <w:bottom w:val="single" w:sz="4" w:space="0" w:color="auto"/>
              <w:right w:val="single" w:sz="4" w:space="0" w:color="auto"/>
            </w:tcBorders>
          </w:tcPr>
          <w:p w:rsidR="00137589" w:rsidRDefault="00137589">
            <w:pPr>
              <w:jc w:val="both"/>
              <w:rPr>
                <w:rFonts w:cs="Times New Roman"/>
                <w:b/>
                <w:sz w:val="24"/>
                <w:szCs w:val="24"/>
                <w:lang w:val="pt-PT"/>
              </w:rPr>
            </w:pPr>
          </w:p>
        </w:tc>
      </w:tr>
      <w:tr w:rsidR="00137589" w:rsidTr="00137589">
        <w:trPr>
          <w:trHeight w:val="1324"/>
          <w:jc w:val="center"/>
        </w:trPr>
        <w:tc>
          <w:tcPr>
            <w:tcW w:w="1815" w:type="dxa"/>
            <w:tcBorders>
              <w:top w:val="single" w:sz="4" w:space="0" w:color="auto"/>
              <w:left w:val="single" w:sz="4" w:space="0" w:color="auto"/>
              <w:bottom w:val="single" w:sz="4" w:space="0" w:color="auto"/>
              <w:right w:val="single" w:sz="4" w:space="0" w:color="auto"/>
            </w:tcBorders>
            <w:hideMark/>
          </w:tcPr>
          <w:p w:rsidR="00137589" w:rsidRDefault="00137589">
            <w:pPr>
              <w:spacing w:line="360" w:lineRule="auto"/>
              <w:rPr>
                <w:rFonts w:cs="Times New Roman"/>
                <w:b/>
                <w:sz w:val="16"/>
                <w:szCs w:val="16"/>
                <w:lang w:val="pt-PT"/>
              </w:rPr>
            </w:pPr>
            <w:r>
              <w:rPr>
                <w:rFonts w:cs="Times New Roman"/>
                <w:b/>
                <w:sz w:val="16"/>
                <w:szCs w:val="16"/>
                <w:lang w:val="pt-PT"/>
              </w:rPr>
              <w:t>Government Warning 5/88, 15 September 1988</w:t>
            </w:r>
          </w:p>
        </w:tc>
        <w:tc>
          <w:tcPr>
            <w:tcW w:w="1194" w:type="dxa"/>
            <w:tcBorders>
              <w:top w:val="single" w:sz="4" w:space="0" w:color="auto"/>
              <w:left w:val="single" w:sz="4" w:space="0" w:color="auto"/>
              <w:bottom w:val="single" w:sz="4" w:space="0" w:color="auto"/>
              <w:right w:val="single" w:sz="4" w:space="0" w:color="auto"/>
            </w:tcBorders>
          </w:tcPr>
          <w:p w:rsidR="00137589" w:rsidRDefault="00137589">
            <w:pPr>
              <w:jc w:val="center"/>
              <w:rPr>
                <w:rFonts w:cs="Times New Roman"/>
                <w:sz w:val="16"/>
                <w:szCs w:val="16"/>
                <w:lang w:val="pt-PT"/>
              </w:rPr>
            </w:pPr>
          </w:p>
        </w:tc>
        <w:tc>
          <w:tcPr>
            <w:tcW w:w="1276" w:type="dxa"/>
            <w:tcBorders>
              <w:top w:val="single" w:sz="4" w:space="0" w:color="auto"/>
              <w:left w:val="single" w:sz="4" w:space="0" w:color="auto"/>
              <w:bottom w:val="single" w:sz="4" w:space="0" w:color="auto"/>
              <w:right w:val="single" w:sz="4" w:space="0" w:color="auto"/>
            </w:tcBorders>
          </w:tcPr>
          <w:p w:rsidR="00137589" w:rsidRDefault="00137589">
            <w:pPr>
              <w:jc w:val="center"/>
              <w:rPr>
                <w:rFonts w:cs="Times New Roman"/>
                <w:b/>
                <w:sz w:val="24"/>
                <w:szCs w:val="24"/>
                <w:lang w:val="pt-PT"/>
              </w:rPr>
            </w:pPr>
          </w:p>
        </w:tc>
        <w:tc>
          <w:tcPr>
            <w:tcW w:w="1275"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both"/>
              <w:rPr>
                <w:rFonts w:cs="Times New Roman"/>
                <w:sz w:val="16"/>
                <w:szCs w:val="16"/>
                <w:lang w:val="en-US"/>
              </w:rPr>
            </w:pPr>
            <w:r w:rsidRPr="00EB2354">
              <w:rPr>
                <w:rFonts w:cs="Times New Roman"/>
                <w:sz w:val="16"/>
                <w:szCs w:val="16"/>
                <w:lang w:val="en-US"/>
              </w:rPr>
              <w:t>Abolished limits to interest rates on loans, except mortgages</w:t>
            </w:r>
          </w:p>
        </w:tc>
        <w:tc>
          <w:tcPr>
            <w:tcW w:w="1239"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117"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12"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2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353"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c>
          <w:tcPr>
            <w:tcW w:w="1340"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r>
      <w:tr w:rsidR="00137589" w:rsidTr="00137589">
        <w:trPr>
          <w:trHeight w:val="883"/>
          <w:jc w:val="center"/>
        </w:trPr>
        <w:tc>
          <w:tcPr>
            <w:tcW w:w="1815" w:type="dxa"/>
            <w:tcBorders>
              <w:top w:val="single" w:sz="4" w:space="0" w:color="auto"/>
              <w:left w:val="single" w:sz="4" w:space="0" w:color="auto"/>
              <w:bottom w:val="single" w:sz="4" w:space="0" w:color="auto"/>
              <w:right w:val="single" w:sz="4" w:space="0" w:color="auto"/>
            </w:tcBorders>
          </w:tcPr>
          <w:p w:rsidR="00137589" w:rsidRDefault="00137589">
            <w:pPr>
              <w:spacing w:line="360" w:lineRule="auto"/>
              <w:rPr>
                <w:rFonts w:cs="Times New Roman"/>
                <w:b/>
                <w:sz w:val="16"/>
                <w:szCs w:val="16"/>
                <w:lang w:val="pt-PT"/>
              </w:rPr>
            </w:pPr>
            <w:r>
              <w:rPr>
                <w:rFonts w:cs="Times New Roman"/>
                <w:b/>
                <w:sz w:val="16"/>
                <w:szCs w:val="16"/>
                <w:lang w:val="pt-PT"/>
              </w:rPr>
              <w:t>Government Warning DD 2341, 18 March 1989</w:t>
            </w:r>
          </w:p>
          <w:p w:rsidR="00137589" w:rsidRDefault="00137589">
            <w:pPr>
              <w:spacing w:line="360" w:lineRule="auto"/>
              <w:rPr>
                <w:rFonts w:cs="Times New Roman"/>
                <w:b/>
                <w:sz w:val="16"/>
                <w:szCs w:val="16"/>
                <w:lang w:val="pt-PT"/>
              </w:rPr>
            </w:pPr>
          </w:p>
          <w:p w:rsidR="00137589" w:rsidRDefault="00137589">
            <w:pPr>
              <w:spacing w:line="360" w:lineRule="auto"/>
              <w:rPr>
                <w:rFonts w:cs="Times New Roman"/>
                <w:b/>
                <w:sz w:val="16"/>
                <w:szCs w:val="16"/>
                <w:lang w:val="pt-PT"/>
              </w:rPr>
            </w:pPr>
          </w:p>
          <w:p w:rsidR="00137589" w:rsidRDefault="00137589">
            <w:pPr>
              <w:spacing w:line="360" w:lineRule="auto"/>
              <w:rPr>
                <w:rFonts w:cs="Times New Roman"/>
                <w:b/>
                <w:sz w:val="16"/>
                <w:szCs w:val="16"/>
                <w:lang w:val="pt-PT"/>
              </w:rPr>
            </w:pPr>
          </w:p>
        </w:tc>
        <w:tc>
          <w:tcPr>
            <w:tcW w:w="1194" w:type="dxa"/>
            <w:tcBorders>
              <w:top w:val="single" w:sz="4" w:space="0" w:color="auto"/>
              <w:left w:val="single" w:sz="4" w:space="0" w:color="auto"/>
              <w:bottom w:val="single" w:sz="4" w:space="0" w:color="auto"/>
              <w:right w:val="single" w:sz="4" w:space="0" w:color="auto"/>
            </w:tcBorders>
          </w:tcPr>
          <w:p w:rsidR="00137589" w:rsidRDefault="00137589">
            <w:pPr>
              <w:jc w:val="center"/>
              <w:rPr>
                <w:rFonts w:cs="Times New Roman"/>
                <w:sz w:val="16"/>
                <w:szCs w:val="16"/>
                <w:lang w:val="pt-PT"/>
              </w:rPr>
            </w:pPr>
          </w:p>
        </w:tc>
        <w:tc>
          <w:tcPr>
            <w:tcW w:w="1276" w:type="dxa"/>
            <w:tcBorders>
              <w:top w:val="single" w:sz="4" w:space="0" w:color="auto"/>
              <w:left w:val="single" w:sz="4" w:space="0" w:color="auto"/>
              <w:bottom w:val="single" w:sz="4" w:space="0" w:color="auto"/>
              <w:right w:val="single" w:sz="4" w:space="0" w:color="auto"/>
            </w:tcBorders>
          </w:tcPr>
          <w:p w:rsidR="00137589" w:rsidRDefault="00137589">
            <w:pPr>
              <w:jc w:val="center"/>
              <w:rPr>
                <w:rFonts w:cs="Times New Roman"/>
                <w:b/>
                <w:sz w:val="24"/>
                <w:szCs w:val="24"/>
                <w:lang w:val="pt-PT"/>
              </w:rPr>
            </w:pPr>
          </w:p>
        </w:tc>
        <w:tc>
          <w:tcPr>
            <w:tcW w:w="1275"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both"/>
              <w:rPr>
                <w:rFonts w:cs="Times New Roman"/>
                <w:sz w:val="16"/>
                <w:szCs w:val="16"/>
                <w:lang w:val="en-US"/>
              </w:rPr>
            </w:pPr>
            <w:r w:rsidRPr="00EB2354">
              <w:rPr>
                <w:rFonts w:cs="Times New Roman"/>
                <w:sz w:val="16"/>
                <w:szCs w:val="16"/>
                <w:lang w:val="en-US"/>
              </w:rPr>
              <w:t>Abolished limits to interest rates on mortgages</w:t>
            </w:r>
          </w:p>
        </w:tc>
        <w:tc>
          <w:tcPr>
            <w:tcW w:w="1239"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117"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12"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2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353"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c>
          <w:tcPr>
            <w:tcW w:w="1340"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r>
      <w:tr w:rsidR="00137589" w:rsidTr="00137589">
        <w:trPr>
          <w:trHeight w:val="567"/>
          <w:jc w:val="center"/>
        </w:trPr>
        <w:tc>
          <w:tcPr>
            <w:tcW w:w="1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Pr="00EB2354" w:rsidRDefault="00137589">
            <w:pPr>
              <w:jc w:val="center"/>
              <w:rPr>
                <w:rFonts w:cs="Times New Roman"/>
                <w:b/>
                <w:sz w:val="24"/>
                <w:szCs w:val="24"/>
                <w:lang w:val="en-US"/>
              </w:rPr>
            </w:pPr>
          </w:p>
        </w:tc>
        <w:tc>
          <w:tcPr>
            <w:tcW w:w="11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Pr="00EB2354" w:rsidRDefault="00137589">
            <w:pPr>
              <w:jc w:val="center"/>
              <w:rPr>
                <w:rFonts w:cs="Times New Roman"/>
                <w:b/>
                <w:sz w:val="16"/>
                <w:szCs w:val="16"/>
                <w:lang w:val="en-US"/>
              </w:rPr>
            </w:pPr>
          </w:p>
          <w:p w:rsidR="00137589" w:rsidRDefault="00137589">
            <w:pPr>
              <w:jc w:val="center"/>
              <w:rPr>
                <w:rFonts w:cs="Times New Roman"/>
                <w:b/>
                <w:sz w:val="16"/>
                <w:szCs w:val="16"/>
                <w:lang w:val="pt-PT"/>
              </w:rPr>
            </w:pPr>
            <w:r>
              <w:rPr>
                <w:rFonts w:cs="Times New Roman"/>
                <w:b/>
                <w:sz w:val="16"/>
                <w:szCs w:val="16"/>
                <w:lang w:val="pt-PT"/>
              </w:rPr>
              <w:t>General</w:t>
            </w:r>
          </w:p>
          <w:p w:rsidR="00137589" w:rsidRDefault="00137589">
            <w:pPr>
              <w:jc w:val="center"/>
              <w:rPr>
                <w:rFonts w:cs="Times New Roman"/>
                <w:b/>
                <w:sz w:val="16"/>
                <w:szCs w:val="16"/>
                <w:lang w:val="pt-PT"/>
              </w:rPr>
            </w:pPr>
            <w:r>
              <w:rPr>
                <w:rFonts w:cs="Times New Roman"/>
                <w:b/>
                <w:sz w:val="16"/>
                <w:szCs w:val="16"/>
                <w:lang w:val="pt-PT"/>
              </w:rPr>
              <w:t>Conditions</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16"/>
                <w:szCs w:val="16"/>
                <w:lang w:val="pt-PT"/>
              </w:rPr>
            </w:pPr>
            <w:r>
              <w:rPr>
                <w:rFonts w:cs="Times New Roman"/>
                <w:b/>
                <w:sz w:val="16"/>
                <w:szCs w:val="16"/>
                <w:lang w:val="pt-PT"/>
              </w:rPr>
              <w:t>Capital Requirements</w:t>
            </w:r>
          </w:p>
          <w:p w:rsidR="00137589" w:rsidRDefault="00137589">
            <w:pPr>
              <w:jc w:val="center"/>
              <w:rPr>
                <w:rFonts w:cs="Times New Roman"/>
                <w:b/>
                <w:sz w:val="16"/>
                <w:szCs w:val="16"/>
                <w:lang w:val="pt-PT"/>
              </w:rPr>
            </w:pP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Interest Rates</w:t>
            </w:r>
          </w:p>
        </w:tc>
        <w:tc>
          <w:tcPr>
            <w:tcW w:w="123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Cash Reserves</w:t>
            </w:r>
          </w:p>
        </w:tc>
        <w:tc>
          <w:tcPr>
            <w:tcW w:w="1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16"/>
                <w:szCs w:val="16"/>
                <w:lang w:val="pt-PT"/>
              </w:rPr>
            </w:pPr>
            <w:r>
              <w:rPr>
                <w:rFonts w:cs="Times New Roman"/>
                <w:b/>
                <w:sz w:val="16"/>
                <w:szCs w:val="16"/>
                <w:lang w:val="pt-PT"/>
              </w:rPr>
              <w:t>Operations</w:t>
            </w:r>
          </w:p>
        </w:tc>
        <w:tc>
          <w:tcPr>
            <w:tcW w:w="121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Credit</w:t>
            </w:r>
          </w:p>
        </w:tc>
        <w:tc>
          <w:tcPr>
            <w:tcW w:w="12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Stock/Bonds holdings</w:t>
            </w:r>
          </w:p>
        </w:tc>
        <w:tc>
          <w:tcPr>
            <w:tcW w:w="13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Entry in market</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Mergers &amp; Acquisitions</w:t>
            </w:r>
          </w:p>
        </w:tc>
        <w:tc>
          <w:tcPr>
            <w:tcW w:w="13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37589" w:rsidRDefault="00137589">
            <w:pPr>
              <w:jc w:val="center"/>
              <w:rPr>
                <w:rFonts w:cs="Times New Roman"/>
                <w:b/>
                <w:sz w:val="16"/>
                <w:szCs w:val="16"/>
                <w:lang w:val="pt-PT"/>
              </w:rPr>
            </w:pPr>
          </w:p>
          <w:p w:rsidR="00137589" w:rsidRDefault="00137589">
            <w:pPr>
              <w:jc w:val="center"/>
              <w:rPr>
                <w:rFonts w:cs="Times New Roman"/>
                <w:b/>
                <w:sz w:val="24"/>
                <w:szCs w:val="24"/>
                <w:lang w:val="pt-PT"/>
              </w:rPr>
            </w:pPr>
            <w:r>
              <w:rPr>
                <w:rFonts w:cs="Times New Roman"/>
                <w:b/>
                <w:sz w:val="16"/>
                <w:szCs w:val="16"/>
                <w:lang w:val="pt-PT"/>
              </w:rPr>
              <w:t>Branches</w:t>
            </w:r>
          </w:p>
        </w:tc>
      </w:tr>
      <w:tr w:rsidR="00137589" w:rsidTr="00137589">
        <w:trPr>
          <w:jc w:val="center"/>
        </w:trPr>
        <w:tc>
          <w:tcPr>
            <w:tcW w:w="1815" w:type="dxa"/>
            <w:tcBorders>
              <w:top w:val="single" w:sz="4" w:space="0" w:color="auto"/>
              <w:left w:val="single" w:sz="4" w:space="0" w:color="auto"/>
              <w:bottom w:val="single" w:sz="4" w:space="0" w:color="auto"/>
              <w:right w:val="single" w:sz="4" w:space="0" w:color="auto"/>
            </w:tcBorders>
            <w:hideMark/>
          </w:tcPr>
          <w:p w:rsidR="00137589" w:rsidRDefault="00137589">
            <w:pPr>
              <w:spacing w:line="360" w:lineRule="auto"/>
              <w:rPr>
                <w:rFonts w:cs="Times New Roman"/>
                <w:b/>
                <w:sz w:val="16"/>
                <w:szCs w:val="16"/>
                <w:lang w:val="pt-PT"/>
              </w:rPr>
            </w:pPr>
            <w:r>
              <w:rPr>
                <w:rFonts w:cs="Times New Roman"/>
                <w:b/>
                <w:sz w:val="16"/>
                <w:szCs w:val="16"/>
                <w:lang w:val="pt-PT"/>
              </w:rPr>
              <w:t>Constitutional Law 1/89, 8 July 1989</w:t>
            </w:r>
          </w:p>
        </w:tc>
        <w:tc>
          <w:tcPr>
            <w:tcW w:w="1194"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center"/>
              <w:rPr>
                <w:rFonts w:cs="Times New Roman"/>
                <w:sz w:val="16"/>
                <w:szCs w:val="16"/>
                <w:lang w:val="en-US"/>
              </w:rPr>
            </w:pPr>
            <w:r w:rsidRPr="00EB2354">
              <w:rPr>
                <w:rFonts w:cs="Times New Roman"/>
                <w:sz w:val="16"/>
                <w:szCs w:val="16"/>
                <w:lang w:val="en-US"/>
              </w:rPr>
              <w:t>Abolished the principle of irreversibility of the assets nationalised in 1975 and 1976</w:t>
            </w: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39"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117"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12"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2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353"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c>
          <w:tcPr>
            <w:tcW w:w="1340"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r>
      <w:tr w:rsidR="00137589" w:rsidTr="00137589">
        <w:trPr>
          <w:jc w:val="center"/>
        </w:trPr>
        <w:tc>
          <w:tcPr>
            <w:tcW w:w="1815" w:type="dxa"/>
            <w:tcBorders>
              <w:top w:val="single" w:sz="4" w:space="0" w:color="auto"/>
              <w:left w:val="single" w:sz="4" w:space="0" w:color="auto"/>
              <w:bottom w:val="single" w:sz="4" w:space="0" w:color="auto"/>
              <w:right w:val="single" w:sz="4" w:space="0" w:color="auto"/>
            </w:tcBorders>
          </w:tcPr>
          <w:p w:rsidR="00137589" w:rsidRDefault="00137589">
            <w:pPr>
              <w:spacing w:line="360" w:lineRule="auto"/>
              <w:rPr>
                <w:rFonts w:cs="Times New Roman"/>
                <w:b/>
                <w:sz w:val="16"/>
                <w:szCs w:val="16"/>
                <w:lang w:val="pt-PT"/>
              </w:rPr>
            </w:pPr>
            <w:r>
              <w:rPr>
                <w:rFonts w:cs="Times New Roman"/>
                <w:b/>
                <w:sz w:val="16"/>
                <w:szCs w:val="16"/>
                <w:lang w:val="pt-PT"/>
              </w:rPr>
              <w:t>Government Warning 5/92, 20 May 1992</w:t>
            </w:r>
          </w:p>
          <w:p w:rsidR="00137589" w:rsidRDefault="00137589">
            <w:pPr>
              <w:spacing w:line="360" w:lineRule="auto"/>
              <w:rPr>
                <w:rFonts w:cs="Times New Roman"/>
                <w:b/>
                <w:sz w:val="16"/>
                <w:szCs w:val="16"/>
                <w:lang w:val="pt-PT"/>
              </w:rPr>
            </w:pPr>
          </w:p>
        </w:tc>
        <w:tc>
          <w:tcPr>
            <w:tcW w:w="1194" w:type="dxa"/>
            <w:tcBorders>
              <w:top w:val="single" w:sz="4" w:space="0" w:color="auto"/>
              <w:left w:val="single" w:sz="4" w:space="0" w:color="auto"/>
              <w:bottom w:val="single" w:sz="4" w:space="0" w:color="auto"/>
              <w:right w:val="single" w:sz="4" w:space="0" w:color="auto"/>
            </w:tcBorders>
          </w:tcPr>
          <w:p w:rsidR="00137589" w:rsidRDefault="00137589">
            <w:pPr>
              <w:jc w:val="center"/>
              <w:rPr>
                <w:rFonts w:cs="Times New Roman"/>
                <w:sz w:val="16"/>
                <w:szCs w:val="16"/>
                <w:lang w:val="pt-PT"/>
              </w:rPr>
            </w:pPr>
          </w:p>
        </w:tc>
        <w:tc>
          <w:tcPr>
            <w:tcW w:w="1276" w:type="dxa"/>
            <w:tcBorders>
              <w:top w:val="single" w:sz="4" w:space="0" w:color="auto"/>
              <w:left w:val="single" w:sz="4" w:space="0" w:color="auto"/>
              <w:bottom w:val="single" w:sz="4" w:space="0" w:color="auto"/>
              <w:right w:val="single" w:sz="4" w:space="0" w:color="auto"/>
            </w:tcBorders>
          </w:tcPr>
          <w:p w:rsidR="00137589" w:rsidRDefault="00137589">
            <w:pPr>
              <w:jc w:val="center"/>
              <w:rPr>
                <w:rFonts w:cs="Times New Roman"/>
                <w:b/>
                <w:sz w:val="24"/>
                <w:szCs w:val="24"/>
                <w:lang w:val="pt-PT"/>
              </w:rPr>
            </w:pPr>
          </w:p>
        </w:tc>
        <w:tc>
          <w:tcPr>
            <w:tcW w:w="1275"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both"/>
              <w:rPr>
                <w:rFonts w:cs="Times New Roman"/>
                <w:sz w:val="16"/>
                <w:szCs w:val="16"/>
                <w:lang w:val="en-US"/>
              </w:rPr>
            </w:pPr>
            <w:r w:rsidRPr="00EB2354">
              <w:rPr>
                <w:rFonts w:cs="Times New Roman"/>
                <w:sz w:val="16"/>
                <w:szCs w:val="16"/>
                <w:lang w:val="en-US"/>
              </w:rPr>
              <w:t>Abolished limits to interest rates on time deposits</w:t>
            </w:r>
          </w:p>
        </w:tc>
        <w:tc>
          <w:tcPr>
            <w:tcW w:w="1239"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117"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12"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2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353"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c>
          <w:tcPr>
            <w:tcW w:w="1340"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b/>
                <w:sz w:val="24"/>
                <w:szCs w:val="24"/>
                <w:lang w:val="en-US"/>
              </w:rPr>
            </w:pPr>
          </w:p>
        </w:tc>
      </w:tr>
      <w:tr w:rsidR="00137589" w:rsidTr="00137589">
        <w:trPr>
          <w:jc w:val="center"/>
        </w:trPr>
        <w:tc>
          <w:tcPr>
            <w:tcW w:w="1815" w:type="dxa"/>
            <w:tcBorders>
              <w:top w:val="single" w:sz="4" w:space="0" w:color="auto"/>
              <w:left w:val="single" w:sz="4" w:space="0" w:color="auto"/>
              <w:bottom w:val="single" w:sz="4" w:space="0" w:color="auto"/>
              <w:right w:val="single" w:sz="4" w:space="0" w:color="auto"/>
            </w:tcBorders>
            <w:hideMark/>
          </w:tcPr>
          <w:p w:rsidR="00137589" w:rsidRDefault="00137589">
            <w:pPr>
              <w:spacing w:line="360" w:lineRule="auto"/>
              <w:rPr>
                <w:rFonts w:cs="Times New Roman"/>
                <w:b/>
                <w:sz w:val="16"/>
                <w:szCs w:val="16"/>
                <w:lang w:val="pt-PT"/>
              </w:rPr>
            </w:pPr>
            <w:r>
              <w:rPr>
                <w:rFonts w:cs="Times New Roman"/>
                <w:b/>
                <w:sz w:val="16"/>
                <w:szCs w:val="16"/>
                <w:lang w:val="pt-PT"/>
              </w:rPr>
              <w:t>Decree-Law 298/92, 31 December 1992</w:t>
            </w:r>
          </w:p>
        </w:tc>
        <w:tc>
          <w:tcPr>
            <w:tcW w:w="1194" w:type="dxa"/>
            <w:tcBorders>
              <w:top w:val="single" w:sz="4" w:space="0" w:color="auto"/>
              <w:left w:val="single" w:sz="4" w:space="0" w:color="auto"/>
              <w:bottom w:val="single" w:sz="4" w:space="0" w:color="auto"/>
              <w:right w:val="single" w:sz="4" w:space="0" w:color="auto"/>
            </w:tcBorders>
          </w:tcPr>
          <w:p w:rsidR="00137589" w:rsidRDefault="00137589">
            <w:pPr>
              <w:jc w:val="center"/>
              <w:rPr>
                <w:rFonts w:cs="Times New Roman"/>
                <w:sz w:val="16"/>
                <w:szCs w:val="16"/>
                <w:lang w:val="pt-PT"/>
              </w:rPr>
            </w:pPr>
          </w:p>
        </w:tc>
        <w:tc>
          <w:tcPr>
            <w:tcW w:w="1276" w:type="dxa"/>
            <w:tcBorders>
              <w:top w:val="single" w:sz="4" w:space="0" w:color="auto"/>
              <w:left w:val="single" w:sz="4" w:space="0" w:color="auto"/>
              <w:bottom w:val="single" w:sz="4" w:space="0" w:color="auto"/>
              <w:right w:val="single" w:sz="4" w:space="0" w:color="auto"/>
            </w:tcBorders>
            <w:hideMark/>
          </w:tcPr>
          <w:p w:rsidR="00137589" w:rsidRDefault="00137589">
            <w:pPr>
              <w:jc w:val="center"/>
              <w:rPr>
                <w:rFonts w:cs="Times New Roman"/>
                <w:sz w:val="16"/>
                <w:szCs w:val="16"/>
                <w:lang w:val="pt-PT"/>
              </w:rPr>
            </w:pPr>
            <w:r>
              <w:rPr>
                <w:rFonts w:cs="Times New Roman"/>
                <w:sz w:val="16"/>
                <w:szCs w:val="16"/>
                <w:lang w:val="pt-PT"/>
              </w:rPr>
              <w:t>Set by the Government</w:t>
            </w:r>
          </w:p>
        </w:tc>
        <w:tc>
          <w:tcPr>
            <w:tcW w:w="1275" w:type="dxa"/>
            <w:tcBorders>
              <w:top w:val="single" w:sz="4" w:space="0" w:color="auto"/>
              <w:left w:val="single" w:sz="4" w:space="0" w:color="auto"/>
              <w:bottom w:val="single" w:sz="4" w:space="0" w:color="auto"/>
              <w:right w:val="single" w:sz="4" w:space="0" w:color="auto"/>
            </w:tcBorders>
          </w:tcPr>
          <w:p w:rsidR="00137589" w:rsidRDefault="00137589">
            <w:pPr>
              <w:jc w:val="both"/>
              <w:rPr>
                <w:rFonts w:cs="Times New Roman"/>
                <w:sz w:val="16"/>
                <w:szCs w:val="16"/>
                <w:lang w:val="pt-PT"/>
              </w:rPr>
            </w:pPr>
          </w:p>
        </w:tc>
        <w:tc>
          <w:tcPr>
            <w:tcW w:w="1239" w:type="dxa"/>
            <w:tcBorders>
              <w:top w:val="single" w:sz="4" w:space="0" w:color="auto"/>
              <w:left w:val="single" w:sz="4" w:space="0" w:color="auto"/>
              <w:bottom w:val="single" w:sz="4" w:space="0" w:color="auto"/>
              <w:right w:val="single" w:sz="4" w:space="0" w:color="auto"/>
            </w:tcBorders>
          </w:tcPr>
          <w:p w:rsidR="00137589" w:rsidRDefault="00137589">
            <w:pPr>
              <w:jc w:val="center"/>
              <w:rPr>
                <w:rFonts w:cs="Times New Roman"/>
                <w:b/>
                <w:sz w:val="24"/>
                <w:szCs w:val="24"/>
                <w:lang w:val="pt-PT"/>
              </w:rPr>
            </w:pPr>
          </w:p>
        </w:tc>
        <w:tc>
          <w:tcPr>
            <w:tcW w:w="1117"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both"/>
              <w:rPr>
                <w:rFonts w:cs="Times New Roman"/>
                <w:sz w:val="16"/>
                <w:szCs w:val="16"/>
                <w:lang w:val="en-US"/>
              </w:rPr>
            </w:pPr>
            <w:r w:rsidRPr="00EB2354">
              <w:rPr>
                <w:rFonts w:cs="Times New Roman"/>
                <w:sz w:val="16"/>
                <w:szCs w:val="16"/>
                <w:lang w:val="en-US"/>
              </w:rPr>
              <w:t>- All kinds of credit operations, including leasing and factoring;</w:t>
            </w:r>
          </w:p>
          <w:p w:rsidR="00137589" w:rsidRPr="00EB2354" w:rsidRDefault="00137589">
            <w:pPr>
              <w:jc w:val="both"/>
              <w:rPr>
                <w:rFonts w:cs="Times New Roman"/>
                <w:sz w:val="16"/>
                <w:szCs w:val="16"/>
                <w:lang w:val="en-US"/>
              </w:rPr>
            </w:pPr>
            <w:r w:rsidRPr="00EB2354">
              <w:rPr>
                <w:rFonts w:cs="Times New Roman"/>
                <w:sz w:val="16"/>
                <w:szCs w:val="16"/>
                <w:lang w:val="en-US"/>
              </w:rPr>
              <w:t>- Buying and selling of stock and bonds;</w:t>
            </w:r>
          </w:p>
          <w:p w:rsidR="00137589" w:rsidRPr="00EB2354" w:rsidRDefault="00137589">
            <w:pPr>
              <w:jc w:val="both"/>
              <w:rPr>
                <w:rFonts w:cs="Times New Roman"/>
                <w:sz w:val="16"/>
                <w:szCs w:val="16"/>
                <w:lang w:val="en-US"/>
              </w:rPr>
            </w:pPr>
            <w:r w:rsidRPr="00EB2354">
              <w:rPr>
                <w:rFonts w:cs="Times New Roman"/>
                <w:sz w:val="16"/>
                <w:szCs w:val="16"/>
                <w:lang w:val="en-US"/>
              </w:rPr>
              <w:t>- Interbank operations;</w:t>
            </w:r>
          </w:p>
          <w:p w:rsidR="00137589" w:rsidRPr="00EB2354" w:rsidRDefault="00137589">
            <w:pPr>
              <w:jc w:val="both"/>
              <w:rPr>
                <w:rFonts w:cs="Times New Roman"/>
                <w:sz w:val="16"/>
                <w:szCs w:val="16"/>
                <w:lang w:val="en-US"/>
              </w:rPr>
            </w:pPr>
            <w:r w:rsidRPr="00EB2354">
              <w:rPr>
                <w:rFonts w:cs="Times New Roman"/>
                <w:sz w:val="16"/>
                <w:szCs w:val="16"/>
                <w:lang w:val="en-US"/>
              </w:rPr>
              <w:t>- Participation in the capital of companies;</w:t>
            </w:r>
          </w:p>
          <w:p w:rsidR="00137589" w:rsidRDefault="00137589">
            <w:pPr>
              <w:jc w:val="both"/>
              <w:rPr>
                <w:rFonts w:cs="Times New Roman"/>
                <w:sz w:val="16"/>
                <w:szCs w:val="16"/>
                <w:lang w:val="pt-PT"/>
              </w:rPr>
            </w:pPr>
            <w:r>
              <w:rPr>
                <w:rFonts w:cs="Times New Roman"/>
                <w:sz w:val="16"/>
                <w:szCs w:val="16"/>
                <w:lang w:val="pt-PT"/>
              </w:rPr>
              <w:t>- Selling of insurance contracts</w:t>
            </w:r>
          </w:p>
        </w:tc>
        <w:tc>
          <w:tcPr>
            <w:tcW w:w="1212" w:type="dxa"/>
            <w:tcBorders>
              <w:top w:val="single" w:sz="4" w:space="0" w:color="auto"/>
              <w:left w:val="single" w:sz="4" w:space="0" w:color="auto"/>
              <w:bottom w:val="single" w:sz="4" w:space="0" w:color="auto"/>
              <w:right w:val="single" w:sz="4" w:space="0" w:color="auto"/>
            </w:tcBorders>
          </w:tcPr>
          <w:p w:rsidR="00137589" w:rsidRDefault="00137589">
            <w:pPr>
              <w:jc w:val="both"/>
              <w:rPr>
                <w:rFonts w:cs="Times New Roman"/>
                <w:sz w:val="16"/>
                <w:szCs w:val="16"/>
                <w:lang w:val="pt-PT"/>
              </w:rPr>
            </w:pPr>
          </w:p>
        </w:tc>
        <w:tc>
          <w:tcPr>
            <w:tcW w:w="1226"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center"/>
              <w:rPr>
                <w:rFonts w:cs="Times New Roman"/>
                <w:sz w:val="24"/>
                <w:szCs w:val="24"/>
                <w:lang w:val="en-US"/>
              </w:rPr>
            </w:pPr>
            <w:r w:rsidRPr="00EB2354">
              <w:rPr>
                <w:rFonts w:cs="Times New Roman"/>
                <w:sz w:val="16"/>
                <w:szCs w:val="16"/>
                <w:lang w:val="en-US"/>
              </w:rPr>
              <w:t>Forbidden to acquire stock of other firm in more than 15% of the capital and reserve of the bank; and forbidden to have more than 25% of the voting rights of the participated firm.</w:t>
            </w:r>
          </w:p>
        </w:tc>
        <w:tc>
          <w:tcPr>
            <w:tcW w:w="1353"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both"/>
              <w:rPr>
                <w:rFonts w:cs="Times New Roman"/>
                <w:sz w:val="16"/>
                <w:szCs w:val="16"/>
                <w:lang w:val="en-US"/>
              </w:rPr>
            </w:pPr>
            <w:r w:rsidRPr="00EB2354">
              <w:rPr>
                <w:rFonts w:cs="Times New Roman"/>
                <w:sz w:val="16"/>
                <w:szCs w:val="16"/>
                <w:lang w:val="en-US"/>
              </w:rPr>
              <w:t>Dependent on the authorisation by the Bank of Portugal.</w:t>
            </w:r>
          </w:p>
        </w:tc>
        <w:tc>
          <w:tcPr>
            <w:tcW w:w="1276"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both"/>
              <w:rPr>
                <w:rFonts w:cs="Times New Roman"/>
                <w:b/>
                <w:sz w:val="24"/>
                <w:szCs w:val="24"/>
                <w:lang w:val="en-US"/>
              </w:rPr>
            </w:pPr>
            <w:r w:rsidRPr="00EB2354">
              <w:rPr>
                <w:rFonts w:cs="Times New Roman"/>
                <w:sz w:val="16"/>
                <w:szCs w:val="16"/>
                <w:lang w:val="en-US"/>
              </w:rPr>
              <w:t>Dependent on the authorisation by the Bank of Portugal.</w:t>
            </w:r>
          </w:p>
        </w:tc>
        <w:tc>
          <w:tcPr>
            <w:tcW w:w="1340"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both"/>
              <w:rPr>
                <w:rFonts w:cs="Times New Roman"/>
                <w:b/>
                <w:sz w:val="24"/>
                <w:szCs w:val="24"/>
                <w:lang w:val="en-US"/>
              </w:rPr>
            </w:pPr>
            <w:r w:rsidRPr="00EB2354">
              <w:rPr>
                <w:rFonts w:cs="Times New Roman"/>
                <w:sz w:val="16"/>
                <w:szCs w:val="16"/>
                <w:lang w:val="en-US"/>
              </w:rPr>
              <w:t>Dependent on the authorisation by the Bank of Portugal.</w:t>
            </w:r>
          </w:p>
        </w:tc>
      </w:tr>
      <w:tr w:rsidR="00137589" w:rsidTr="00137589">
        <w:trPr>
          <w:jc w:val="center"/>
        </w:trPr>
        <w:tc>
          <w:tcPr>
            <w:tcW w:w="1815" w:type="dxa"/>
            <w:tcBorders>
              <w:top w:val="single" w:sz="4" w:space="0" w:color="auto"/>
              <w:left w:val="single" w:sz="4" w:space="0" w:color="auto"/>
              <w:bottom w:val="single" w:sz="4" w:space="0" w:color="auto"/>
              <w:right w:val="single" w:sz="4" w:space="0" w:color="auto"/>
            </w:tcBorders>
            <w:hideMark/>
          </w:tcPr>
          <w:p w:rsidR="00137589" w:rsidRDefault="00137589">
            <w:pPr>
              <w:spacing w:line="360" w:lineRule="auto"/>
              <w:rPr>
                <w:rFonts w:cs="Times New Roman"/>
                <w:b/>
                <w:sz w:val="16"/>
                <w:szCs w:val="16"/>
                <w:lang w:val="pt-PT"/>
              </w:rPr>
            </w:pPr>
            <w:r>
              <w:rPr>
                <w:rFonts w:cs="Times New Roman"/>
                <w:b/>
                <w:sz w:val="16"/>
                <w:szCs w:val="16"/>
                <w:lang w:val="pt-PT"/>
              </w:rPr>
              <w:t>Decree-Law 287/93, 20 August 1993</w:t>
            </w:r>
          </w:p>
        </w:tc>
        <w:tc>
          <w:tcPr>
            <w:tcW w:w="1194" w:type="dxa"/>
            <w:tcBorders>
              <w:top w:val="single" w:sz="4" w:space="0" w:color="auto"/>
              <w:left w:val="single" w:sz="4" w:space="0" w:color="auto"/>
              <w:bottom w:val="single" w:sz="4" w:space="0" w:color="auto"/>
              <w:right w:val="single" w:sz="4" w:space="0" w:color="auto"/>
            </w:tcBorders>
            <w:hideMark/>
          </w:tcPr>
          <w:p w:rsidR="00137589" w:rsidRPr="00EB2354" w:rsidRDefault="00137589">
            <w:pPr>
              <w:jc w:val="center"/>
              <w:rPr>
                <w:rFonts w:cs="Times New Roman"/>
                <w:sz w:val="16"/>
                <w:szCs w:val="16"/>
                <w:lang w:val="en-US"/>
              </w:rPr>
            </w:pPr>
            <w:r w:rsidRPr="00EB2354">
              <w:rPr>
                <w:rFonts w:cs="Times New Roman"/>
                <w:sz w:val="16"/>
                <w:szCs w:val="16"/>
                <w:lang w:val="en-US"/>
              </w:rPr>
              <w:t>Transformed the Caixa Geral de Depósitos into a comercial bank, although owned by the State</w:t>
            </w: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sz w:val="16"/>
                <w:szCs w:val="16"/>
                <w:lang w:val="en-US"/>
              </w:rPr>
            </w:pPr>
          </w:p>
        </w:tc>
        <w:tc>
          <w:tcPr>
            <w:tcW w:w="1275"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39"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117"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12"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26" w:type="dxa"/>
            <w:tcBorders>
              <w:top w:val="single" w:sz="4" w:space="0" w:color="auto"/>
              <w:left w:val="single" w:sz="4" w:space="0" w:color="auto"/>
              <w:bottom w:val="single" w:sz="4" w:space="0" w:color="auto"/>
              <w:right w:val="single" w:sz="4" w:space="0" w:color="auto"/>
            </w:tcBorders>
          </w:tcPr>
          <w:p w:rsidR="00137589" w:rsidRPr="00EB2354" w:rsidRDefault="00137589">
            <w:pPr>
              <w:jc w:val="center"/>
              <w:rPr>
                <w:rFonts w:cs="Times New Roman"/>
                <w:b/>
                <w:sz w:val="24"/>
                <w:szCs w:val="24"/>
                <w:lang w:val="en-US"/>
              </w:rPr>
            </w:pPr>
          </w:p>
        </w:tc>
        <w:tc>
          <w:tcPr>
            <w:tcW w:w="1353"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c>
          <w:tcPr>
            <w:tcW w:w="1340" w:type="dxa"/>
            <w:tcBorders>
              <w:top w:val="single" w:sz="4" w:space="0" w:color="auto"/>
              <w:left w:val="single" w:sz="4" w:space="0" w:color="auto"/>
              <w:bottom w:val="single" w:sz="4" w:space="0" w:color="auto"/>
              <w:right w:val="single" w:sz="4" w:space="0" w:color="auto"/>
            </w:tcBorders>
          </w:tcPr>
          <w:p w:rsidR="00137589" w:rsidRPr="00EB2354" w:rsidRDefault="00137589">
            <w:pPr>
              <w:jc w:val="both"/>
              <w:rPr>
                <w:rFonts w:cs="Times New Roman"/>
                <w:sz w:val="16"/>
                <w:szCs w:val="16"/>
                <w:lang w:val="en-US"/>
              </w:rPr>
            </w:pPr>
          </w:p>
        </w:tc>
      </w:tr>
    </w:tbl>
    <w:p w:rsidR="00137589" w:rsidRDefault="00137589" w:rsidP="00137589"/>
    <w:p w:rsidR="00137589" w:rsidRDefault="00137589" w:rsidP="00137589">
      <w:pPr>
        <w:tabs>
          <w:tab w:val="left" w:pos="930"/>
        </w:tabs>
        <w:spacing w:line="360" w:lineRule="auto"/>
        <w:ind w:left="930" w:hanging="930"/>
        <w:jc w:val="both"/>
        <w:sectPr w:rsidR="00137589" w:rsidSect="00137589">
          <w:endnotePr>
            <w:numFmt w:val="decimal"/>
          </w:endnotePr>
          <w:pgSz w:w="16838" w:h="11906" w:orient="landscape"/>
          <w:pgMar w:top="1418" w:right="1134" w:bottom="1418" w:left="1134" w:header="709" w:footer="709" w:gutter="0"/>
          <w:cols w:space="708"/>
          <w:docGrid w:linePitch="360"/>
        </w:sectPr>
      </w:pPr>
    </w:p>
    <w:p w:rsidR="00137589" w:rsidRDefault="003942C1" w:rsidP="00137589">
      <w:pPr>
        <w:tabs>
          <w:tab w:val="left" w:pos="15015"/>
        </w:tabs>
        <w:spacing w:after="0" w:line="240" w:lineRule="auto"/>
        <w:jc w:val="center"/>
        <w:rPr>
          <w:rFonts w:cs="Times New Roman"/>
          <w:b/>
        </w:rPr>
      </w:pPr>
      <w:r>
        <w:rPr>
          <w:rFonts w:cs="Times New Roman"/>
          <w:b/>
        </w:rPr>
        <w:lastRenderedPageBreak/>
        <w:t>Figure 2</w:t>
      </w:r>
    </w:p>
    <w:p w:rsidR="00137589" w:rsidRDefault="00137589" w:rsidP="00137589">
      <w:pPr>
        <w:tabs>
          <w:tab w:val="left" w:pos="15015"/>
        </w:tabs>
        <w:spacing w:after="0" w:line="240" w:lineRule="auto"/>
        <w:jc w:val="center"/>
        <w:rPr>
          <w:rFonts w:cs="Times New Roman"/>
          <w:b/>
        </w:rPr>
      </w:pPr>
      <w:r>
        <w:rPr>
          <w:rFonts w:cs="Times New Roman"/>
          <w:b/>
        </w:rPr>
        <w:t>Market Concentration in Portuguese Commercial Banking (Hirschman-Herfindahl Index, Assets and Deposits), 1960-2015</w:t>
      </w:r>
    </w:p>
    <w:p w:rsidR="00137589" w:rsidRDefault="00137589" w:rsidP="00137589">
      <w:pPr>
        <w:spacing w:after="0" w:line="240" w:lineRule="auto"/>
        <w:jc w:val="center"/>
      </w:pPr>
      <w:r>
        <w:rPr>
          <w:lang w:eastAsia="en-GB"/>
        </w:rPr>
        <w:drawing>
          <wp:inline distT="0" distB="0" distL="0" distR="0">
            <wp:extent cx="5772150" cy="2905125"/>
            <wp:effectExtent l="0" t="0" r="0" b="9525"/>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7589" w:rsidRPr="00EB2354" w:rsidRDefault="00137589" w:rsidP="00137589">
      <w:pPr>
        <w:tabs>
          <w:tab w:val="left" w:pos="930"/>
        </w:tabs>
        <w:spacing w:after="0" w:line="240" w:lineRule="auto"/>
        <w:jc w:val="both"/>
        <w:rPr>
          <w:rFonts w:cs="Times New Roman"/>
          <w:sz w:val="18"/>
          <w:szCs w:val="18"/>
          <w:lang w:val="pt-PT"/>
        </w:rPr>
      </w:pPr>
      <w:r w:rsidRPr="00EB2354">
        <w:rPr>
          <w:rFonts w:cs="Times New Roman"/>
          <w:sz w:val="18"/>
          <w:szCs w:val="18"/>
          <w:lang w:val="pt-PT"/>
        </w:rPr>
        <w:t xml:space="preserve">Sources: authors’ calculations based on:  </w:t>
      </w:r>
      <w:r w:rsidRPr="00EB2354">
        <w:rPr>
          <w:sz w:val="18"/>
          <w:szCs w:val="18"/>
          <w:lang w:val="pt-PT"/>
        </w:rPr>
        <w:t>1960-1981:</w:t>
      </w:r>
      <w:r w:rsidRPr="00EB2354">
        <w:rPr>
          <w:rFonts w:cs="Times New Roman"/>
          <w:sz w:val="18"/>
          <w:szCs w:val="18"/>
          <w:lang w:val="pt-PT"/>
        </w:rPr>
        <w:t xml:space="preserve"> banks’ annual reports – see bibliography; 1982-1987: Alpalhão and Pinho, 1990; 1988-2009: Associação Portuguesa de Bancos a, 1989-2010; 2010-2015: Associação Portuguesa de Bancos b, 2011-2016</w:t>
      </w:r>
    </w:p>
    <w:p w:rsidR="006B0CD0" w:rsidRDefault="006B0CD0" w:rsidP="00137589">
      <w:pPr>
        <w:pStyle w:val="ListParagraph"/>
        <w:spacing w:after="0" w:line="240" w:lineRule="auto"/>
        <w:jc w:val="center"/>
        <w:rPr>
          <w:rFonts w:cs="Times New Roman"/>
          <w:b/>
          <w:lang w:val="pt-PT"/>
        </w:rPr>
      </w:pPr>
    </w:p>
    <w:p w:rsidR="003942C1" w:rsidRPr="00EB2354" w:rsidRDefault="003942C1" w:rsidP="00137589">
      <w:pPr>
        <w:pStyle w:val="ListParagraph"/>
        <w:spacing w:after="0" w:line="240" w:lineRule="auto"/>
        <w:jc w:val="center"/>
        <w:rPr>
          <w:rFonts w:cs="Times New Roman"/>
          <w:b/>
          <w:lang w:val="pt-PT"/>
        </w:rPr>
      </w:pPr>
    </w:p>
    <w:p w:rsidR="006B0CD0" w:rsidRPr="00EB2354" w:rsidRDefault="006B0CD0" w:rsidP="00137589">
      <w:pPr>
        <w:pStyle w:val="ListParagraph"/>
        <w:spacing w:after="0" w:line="240" w:lineRule="auto"/>
        <w:jc w:val="center"/>
        <w:rPr>
          <w:rFonts w:cs="Times New Roman"/>
          <w:b/>
          <w:lang w:val="pt-PT"/>
        </w:rPr>
      </w:pPr>
    </w:p>
    <w:p w:rsidR="00137589" w:rsidRDefault="00CD6287" w:rsidP="00137589">
      <w:pPr>
        <w:pStyle w:val="ListParagraph"/>
        <w:spacing w:after="0" w:line="240" w:lineRule="auto"/>
        <w:jc w:val="center"/>
        <w:rPr>
          <w:rFonts w:cs="Times New Roman"/>
          <w:b/>
        </w:rPr>
      </w:pPr>
      <w:r>
        <w:rPr>
          <w:rFonts w:cs="Times New Roman"/>
          <w:b/>
        </w:rPr>
        <w:t>Figure 3</w:t>
      </w:r>
    </w:p>
    <w:p w:rsidR="00137589" w:rsidRDefault="00137589" w:rsidP="00137589">
      <w:pPr>
        <w:pStyle w:val="ListParagraph"/>
        <w:spacing w:after="0" w:line="240" w:lineRule="auto"/>
        <w:jc w:val="center"/>
        <w:rPr>
          <w:rFonts w:cs="Times New Roman"/>
          <w:b/>
        </w:rPr>
      </w:pPr>
      <w:r>
        <w:rPr>
          <w:rFonts w:cs="Times New Roman"/>
          <w:b/>
        </w:rPr>
        <w:t>Concentration Ratios in Portuguese Commercial Banking (Assets and Deposits), 1960-2015, (%)</w:t>
      </w:r>
    </w:p>
    <w:p w:rsidR="00137589" w:rsidRDefault="00137589" w:rsidP="00137589">
      <w:pPr>
        <w:spacing w:after="0" w:line="240" w:lineRule="auto"/>
        <w:ind w:left="720"/>
        <w:contextualSpacing/>
        <w:rPr>
          <w:sz w:val="16"/>
          <w:szCs w:val="16"/>
        </w:rPr>
      </w:pPr>
      <w:r>
        <w:rPr>
          <w:lang w:eastAsia="en-GB"/>
        </w:rPr>
        <w:drawing>
          <wp:inline distT="0" distB="0" distL="0" distR="0">
            <wp:extent cx="5676900" cy="3143250"/>
            <wp:effectExtent l="0" t="0" r="0" b="0"/>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7589" w:rsidRDefault="00137589" w:rsidP="00137589">
      <w:pPr>
        <w:pStyle w:val="ListParagraph"/>
        <w:rPr>
          <w:rFonts w:cs="Times New Roman"/>
          <w:sz w:val="18"/>
          <w:szCs w:val="18"/>
        </w:rPr>
      </w:pPr>
      <w:r>
        <w:rPr>
          <w:rFonts w:cs="Times New Roman"/>
          <w:sz w:val="18"/>
          <w:szCs w:val="18"/>
          <w:lang w:val="en-US"/>
        </w:rPr>
        <w:t>CR3: Assets/Deposits of t</w:t>
      </w:r>
      <w:r>
        <w:rPr>
          <w:rFonts w:cs="Times New Roman"/>
          <w:sz w:val="18"/>
          <w:szCs w:val="18"/>
        </w:rPr>
        <w:t>he three largest banks in the market; CR5: Assets/Deposits of the five largest banks in the market.</w:t>
      </w:r>
    </w:p>
    <w:p w:rsidR="00137589" w:rsidRDefault="00137589" w:rsidP="00137589">
      <w:pPr>
        <w:tabs>
          <w:tab w:val="left" w:pos="930"/>
        </w:tabs>
        <w:spacing w:after="0" w:line="240" w:lineRule="auto"/>
        <w:ind w:firstLine="930"/>
        <w:jc w:val="both"/>
        <w:rPr>
          <w:rFonts w:cs="Times New Roman"/>
          <w:sz w:val="18"/>
          <w:szCs w:val="18"/>
        </w:rPr>
      </w:pPr>
      <w:r>
        <w:rPr>
          <w:rFonts w:cs="Times New Roman"/>
          <w:sz w:val="18"/>
          <w:szCs w:val="18"/>
        </w:rPr>
        <w:t>So</w:t>
      </w:r>
      <w:r w:rsidR="003942C1">
        <w:rPr>
          <w:rFonts w:cs="Times New Roman"/>
          <w:sz w:val="18"/>
          <w:szCs w:val="18"/>
        </w:rPr>
        <w:t>urces: see Figure  2</w:t>
      </w:r>
    </w:p>
    <w:p w:rsidR="00137589" w:rsidRDefault="00137589" w:rsidP="00137589">
      <w:pPr>
        <w:tabs>
          <w:tab w:val="left" w:pos="930"/>
        </w:tabs>
        <w:spacing w:after="0" w:line="240" w:lineRule="auto"/>
        <w:ind w:firstLine="930"/>
        <w:jc w:val="both"/>
        <w:rPr>
          <w:rFonts w:cs="Times New Roman"/>
          <w:sz w:val="18"/>
          <w:szCs w:val="18"/>
        </w:rPr>
      </w:pPr>
    </w:p>
    <w:p w:rsidR="00137589" w:rsidRDefault="00137589" w:rsidP="00137589">
      <w:pPr>
        <w:tabs>
          <w:tab w:val="left" w:pos="930"/>
        </w:tabs>
        <w:spacing w:after="0" w:line="240" w:lineRule="auto"/>
        <w:ind w:firstLine="930"/>
        <w:jc w:val="both"/>
      </w:pPr>
    </w:p>
    <w:p w:rsidR="006B0CD0" w:rsidRDefault="006B0CD0" w:rsidP="00137589">
      <w:pPr>
        <w:tabs>
          <w:tab w:val="left" w:pos="930"/>
        </w:tabs>
        <w:spacing w:after="0" w:line="240" w:lineRule="auto"/>
        <w:ind w:firstLine="930"/>
        <w:jc w:val="both"/>
      </w:pPr>
    </w:p>
    <w:p w:rsidR="006B0CD0" w:rsidRDefault="006B0CD0" w:rsidP="00137589">
      <w:pPr>
        <w:tabs>
          <w:tab w:val="left" w:pos="930"/>
        </w:tabs>
        <w:spacing w:after="0" w:line="240" w:lineRule="auto"/>
        <w:ind w:firstLine="930"/>
        <w:jc w:val="both"/>
        <w:sectPr w:rsidR="006B0CD0" w:rsidSect="00137589">
          <w:endnotePr>
            <w:numFmt w:val="decimal"/>
          </w:endnotePr>
          <w:pgSz w:w="11906" w:h="16838"/>
          <w:pgMar w:top="1134" w:right="1418" w:bottom="1134" w:left="1418" w:header="709" w:footer="709" w:gutter="0"/>
          <w:cols w:space="708"/>
          <w:docGrid w:linePitch="360"/>
        </w:sectPr>
      </w:pPr>
    </w:p>
    <w:p w:rsidR="006B0CD0" w:rsidRDefault="00CD6287" w:rsidP="006B0CD0">
      <w:pPr>
        <w:spacing w:after="0" w:line="240" w:lineRule="auto"/>
        <w:jc w:val="center"/>
        <w:rPr>
          <w:rFonts w:cs="Times New Roman"/>
          <w:b/>
        </w:rPr>
      </w:pPr>
      <w:r>
        <w:rPr>
          <w:rFonts w:cs="Times New Roman"/>
          <w:b/>
        </w:rPr>
        <w:lastRenderedPageBreak/>
        <w:t>Table II</w:t>
      </w:r>
    </w:p>
    <w:p w:rsidR="006B0CD0" w:rsidRDefault="006B0CD0" w:rsidP="006B0CD0">
      <w:pPr>
        <w:spacing w:after="0" w:line="240" w:lineRule="auto"/>
        <w:jc w:val="center"/>
        <w:rPr>
          <w:rFonts w:cs="Times New Roman"/>
          <w:b/>
        </w:rPr>
      </w:pPr>
      <w:r>
        <w:rPr>
          <w:rFonts w:cs="Times New Roman"/>
          <w:b/>
        </w:rPr>
        <w:t>Summary statistics</w:t>
      </w:r>
    </w:p>
    <w:tbl>
      <w:tblPr>
        <w:tblStyle w:val="TableGrid"/>
        <w:tblW w:w="0" w:type="auto"/>
        <w:jc w:val="center"/>
        <w:tblLook w:val="04A0" w:firstRow="1" w:lastRow="0" w:firstColumn="1" w:lastColumn="0" w:noHBand="0" w:noVBand="1"/>
      </w:tblPr>
      <w:tblGrid>
        <w:gridCol w:w="974"/>
        <w:gridCol w:w="1377"/>
        <w:gridCol w:w="1316"/>
        <w:gridCol w:w="1316"/>
        <w:gridCol w:w="1041"/>
        <w:gridCol w:w="1591"/>
      </w:tblGrid>
      <w:tr w:rsidR="006B0CD0" w:rsidTr="006B0CD0">
        <w:trPr>
          <w:jc w:val="center"/>
        </w:trPr>
        <w:tc>
          <w:tcPr>
            <w:tcW w:w="0" w:type="auto"/>
            <w:tcBorders>
              <w:top w:val="single" w:sz="4" w:space="0" w:color="auto"/>
              <w:left w:val="single" w:sz="4" w:space="0" w:color="auto"/>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Variable</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Observations</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Mean</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Std. Dev.</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Min.</w:t>
            </w:r>
          </w:p>
        </w:tc>
        <w:tc>
          <w:tcPr>
            <w:tcW w:w="0" w:type="auto"/>
            <w:tcBorders>
              <w:top w:val="single" w:sz="4" w:space="0" w:color="auto"/>
              <w:left w:val="nil"/>
              <w:bottom w:val="single" w:sz="4" w:space="0" w:color="auto"/>
              <w:right w:val="single" w:sz="4" w:space="0" w:color="auto"/>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Max.</w:t>
            </w:r>
          </w:p>
        </w:tc>
      </w:tr>
      <w:tr w:rsidR="006B0CD0" w:rsidTr="006B0CD0">
        <w:trPr>
          <w:jc w:val="center"/>
        </w:trPr>
        <w:tc>
          <w:tcPr>
            <w:tcW w:w="0" w:type="auto"/>
            <w:tcBorders>
              <w:top w:val="single" w:sz="4" w:space="0" w:color="auto"/>
              <w:left w:val="single" w:sz="4" w:space="0" w:color="auto"/>
              <w:bottom w:val="single" w:sz="4" w:space="0" w:color="auto"/>
              <w:right w:val="nil"/>
            </w:tcBorders>
          </w:tcPr>
          <w:p w:rsidR="006B0CD0" w:rsidRDefault="006B0CD0">
            <w:pPr>
              <w:jc w:val="center"/>
              <w:rPr>
                <w:rFonts w:ascii="Times New Roman" w:hAnsi="Times New Roman" w:cs="Times New Roman"/>
                <w:lang w:val="pt-PT"/>
              </w:rPr>
            </w:pPr>
            <w:r>
              <w:rPr>
                <w:rFonts w:ascii="Times New Roman" w:hAnsi="Times New Roman" w:cs="Times New Roman"/>
                <w:lang w:val="pt-PT"/>
              </w:rPr>
              <w:t>IRA</w:t>
            </w:r>
          </w:p>
          <w:p w:rsidR="006B0CD0" w:rsidRDefault="006B0CD0">
            <w:pPr>
              <w:jc w:val="center"/>
              <w:rPr>
                <w:rFonts w:ascii="Times New Roman" w:hAnsi="Times New Roman" w:cs="Times New Roman"/>
                <w:lang w:val="pt-PT"/>
              </w:rPr>
            </w:pP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868</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0.0687</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0.0407</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0.0066</w:t>
            </w:r>
          </w:p>
        </w:tc>
        <w:tc>
          <w:tcPr>
            <w:tcW w:w="0" w:type="auto"/>
            <w:tcBorders>
              <w:top w:val="single" w:sz="4" w:space="0" w:color="auto"/>
              <w:left w:val="nil"/>
              <w:bottom w:val="single" w:sz="4" w:space="0" w:color="auto"/>
              <w:right w:val="single" w:sz="4" w:space="0" w:color="auto"/>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0.2865</w:t>
            </w:r>
          </w:p>
        </w:tc>
      </w:tr>
      <w:tr w:rsidR="006B0CD0" w:rsidTr="006B0CD0">
        <w:trPr>
          <w:jc w:val="center"/>
        </w:trPr>
        <w:tc>
          <w:tcPr>
            <w:tcW w:w="0" w:type="auto"/>
            <w:tcBorders>
              <w:top w:val="single" w:sz="4" w:space="0" w:color="auto"/>
              <w:left w:val="single" w:sz="4" w:space="0" w:color="auto"/>
              <w:bottom w:val="single" w:sz="4" w:space="0" w:color="auto"/>
              <w:right w:val="nil"/>
            </w:tcBorders>
          </w:tcPr>
          <w:p w:rsidR="006B0CD0" w:rsidRDefault="006B0CD0">
            <w:pPr>
              <w:jc w:val="center"/>
              <w:rPr>
                <w:rFonts w:ascii="Times New Roman" w:hAnsi="Times New Roman" w:cs="Times New Roman"/>
                <w:lang w:val="pt-PT"/>
              </w:rPr>
            </w:pPr>
            <w:r>
              <w:rPr>
                <w:rFonts w:ascii="Times New Roman" w:hAnsi="Times New Roman" w:cs="Times New Roman"/>
                <w:lang w:val="pt-PT"/>
              </w:rPr>
              <w:t>TRA</w:t>
            </w:r>
          </w:p>
          <w:p w:rsidR="006B0CD0" w:rsidRDefault="006B0CD0">
            <w:pPr>
              <w:jc w:val="center"/>
              <w:rPr>
                <w:rFonts w:ascii="Times New Roman" w:hAnsi="Times New Roman" w:cs="Times New Roman"/>
                <w:lang w:val="pt-PT"/>
              </w:rPr>
            </w:pPr>
          </w:p>
        </w:tc>
        <w:tc>
          <w:tcPr>
            <w:tcW w:w="0" w:type="auto"/>
            <w:tcBorders>
              <w:top w:val="single" w:sz="4" w:space="0" w:color="auto"/>
              <w:left w:val="nil"/>
              <w:bottom w:val="single" w:sz="4" w:space="0" w:color="auto"/>
              <w:right w:val="nil"/>
            </w:tcBorders>
            <w:hideMark/>
          </w:tcPr>
          <w:p w:rsidR="006B0CD0" w:rsidRDefault="006B0CD0">
            <w:pPr>
              <w:jc w:val="center"/>
              <w:rPr>
                <w:lang w:val="pt-PT"/>
              </w:rPr>
            </w:pPr>
            <w:r>
              <w:rPr>
                <w:rFonts w:ascii="Times New Roman" w:hAnsi="Times New Roman" w:cs="Times New Roman"/>
                <w:lang w:val="pt-PT"/>
              </w:rPr>
              <w:t>868</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0.0893</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0.0511</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0.0146</w:t>
            </w:r>
          </w:p>
        </w:tc>
        <w:tc>
          <w:tcPr>
            <w:tcW w:w="0" w:type="auto"/>
            <w:tcBorders>
              <w:top w:val="single" w:sz="4" w:space="0" w:color="auto"/>
              <w:left w:val="nil"/>
              <w:bottom w:val="single" w:sz="4" w:space="0" w:color="auto"/>
              <w:right w:val="single" w:sz="4" w:space="0" w:color="auto"/>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0.3867</w:t>
            </w:r>
          </w:p>
        </w:tc>
      </w:tr>
      <w:tr w:rsidR="006B0CD0" w:rsidTr="006B0CD0">
        <w:trPr>
          <w:jc w:val="center"/>
        </w:trPr>
        <w:tc>
          <w:tcPr>
            <w:tcW w:w="0" w:type="auto"/>
            <w:tcBorders>
              <w:top w:val="single" w:sz="4" w:space="0" w:color="auto"/>
              <w:left w:val="single" w:sz="4" w:space="0" w:color="auto"/>
              <w:bottom w:val="single" w:sz="4" w:space="0" w:color="auto"/>
              <w:right w:val="nil"/>
            </w:tcBorders>
          </w:tcPr>
          <w:p w:rsidR="006B0CD0" w:rsidRDefault="006B0CD0">
            <w:pPr>
              <w:jc w:val="center"/>
              <w:rPr>
                <w:rFonts w:ascii="Times New Roman" w:hAnsi="Times New Roman" w:cs="Times New Roman"/>
                <w:lang w:val="pt-PT"/>
              </w:rPr>
            </w:pPr>
            <w:r>
              <w:rPr>
                <w:rFonts w:ascii="Times New Roman" w:hAnsi="Times New Roman" w:cs="Times New Roman"/>
                <w:lang w:val="pt-PT"/>
              </w:rPr>
              <w:t>IR</w:t>
            </w:r>
          </w:p>
          <w:p w:rsidR="006B0CD0" w:rsidRDefault="006B0CD0">
            <w:pPr>
              <w:jc w:val="center"/>
              <w:rPr>
                <w:rFonts w:ascii="Times New Roman" w:hAnsi="Times New Roman" w:cs="Times New Roman"/>
                <w:lang w:val="pt-PT"/>
              </w:rPr>
            </w:pPr>
          </w:p>
        </w:tc>
        <w:tc>
          <w:tcPr>
            <w:tcW w:w="0" w:type="auto"/>
            <w:tcBorders>
              <w:top w:val="single" w:sz="4" w:space="0" w:color="auto"/>
              <w:left w:val="nil"/>
              <w:bottom w:val="single" w:sz="4" w:space="0" w:color="auto"/>
              <w:right w:val="nil"/>
            </w:tcBorders>
            <w:hideMark/>
          </w:tcPr>
          <w:p w:rsidR="006B0CD0" w:rsidRDefault="006B0CD0">
            <w:pPr>
              <w:jc w:val="center"/>
              <w:rPr>
                <w:lang w:val="pt-PT"/>
              </w:rPr>
            </w:pPr>
            <w:r>
              <w:rPr>
                <w:rFonts w:ascii="Times New Roman" w:hAnsi="Times New Roman" w:cs="Times New Roman"/>
                <w:lang w:val="pt-PT"/>
              </w:rPr>
              <w:t>868</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329,000,000</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822,000,000</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156.0225</w:t>
            </w:r>
          </w:p>
        </w:tc>
        <w:tc>
          <w:tcPr>
            <w:tcW w:w="0" w:type="auto"/>
            <w:tcBorders>
              <w:top w:val="single" w:sz="4" w:space="0" w:color="auto"/>
              <w:left w:val="nil"/>
              <w:bottom w:val="single" w:sz="4" w:space="0" w:color="auto"/>
              <w:right w:val="single" w:sz="4" w:space="0" w:color="auto"/>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790,000,000</w:t>
            </w:r>
          </w:p>
        </w:tc>
      </w:tr>
      <w:tr w:rsidR="006B0CD0" w:rsidTr="006B0CD0">
        <w:trPr>
          <w:jc w:val="center"/>
        </w:trPr>
        <w:tc>
          <w:tcPr>
            <w:tcW w:w="0" w:type="auto"/>
            <w:tcBorders>
              <w:top w:val="single" w:sz="4" w:space="0" w:color="auto"/>
              <w:left w:val="single" w:sz="4" w:space="0" w:color="auto"/>
              <w:bottom w:val="single" w:sz="4" w:space="0" w:color="auto"/>
              <w:right w:val="nil"/>
            </w:tcBorders>
          </w:tcPr>
          <w:p w:rsidR="006B0CD0" w:rsidRDefault="006B0CD0">
            <w:pPr>
              <w:jc w:val="center"/>
              <w:rPr>
                <w:rFonts w:ascii="Times New Roman" w:hAnsi="Times New Roman" w:cs="Times New Roman"/>
                <w:lang w:val="pt-PT"/>
              </w:rPr>
            </w:pPr>
            <w:r>
              <w:rPr>
                <w:rFonts w:ascii="Times New Roman" w:hAnsi="Times New Roman" w:cs="Times New Roman"/>
                <w:lang w:val="pt-PT"/>
              </w:rPr>
              <w:t>TR</w:t>
            </w:r>
          </w:p>
          <w:p w:rsidR="006B0CD0" w:rsidRDefault="006B0CD0">
            <w:pPr>
              <w:jc w:val="center"/>
              <w:rPr>
                <w:rFonts w:ascii="Times New Roman" w:hAnsi="Times New Roman" w:cs="Times New Roman"/>
                <w:lang w:val="pt-PT"/>
              </w:rPr>
            </w:pPr>
          </w:p>
        </w:tc>
        <w:tc>
          <w:tcPr>
            <w:tcW w:w="0" w:type="auto"/>
            <w:tcBorders>
              <w:top w:val="single" w:sz="4" w:space="0" w:color="auto"/>
              <w:left w:val="nil"/>
              <w:bottom w:val="single" w:sz="4" w:space="0" w:color="auto"/>
              <w:right w:val="nil"/>
            </w:tcBorders>
            <w:hideMark/>
          </w:tcPr>
          <w:p w:rsidR="006B0CD0" w:rsidRDefault="006B0CD0">
            <w:pPr>
              <w:jc w:val="center"/>
              <w:rPr>
                <w:lang w:val="pt-PT"/>
              </w:rPr>
            </w:pPr>
            <w:r>
              <w:rPr>
                <w:rFonts w:ascii="Times New Roman" w:hAnsi="Times New Roman" w:cs="Times New Roman"/>
                <w:lang w:val="pt-PT"/>
              </w:rPr>
              <w:t>868</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465,000,000</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119,000,000</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160.7741</w:t>
            </w:r>
          </w:p>
        </w:tc>
        <w:tc>
          <w:tcPr>
            <w:tcW w:w="0" w:type="auto"/>
            <w:tcBorders>
              <w:top w:val="single" w:sz="4" w:space="0" w:color="auto"/>
              <w:left w:val="nil"/>
              <w:bottom w:val="single" w:sz="4" w:space="0" w:color="auto"/>
              <w:right w:val="single" w:sz="4" w:space="0" w:color="auto"/>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918,000,000</w:t>
            </w:r>
          </w:p>
        </w:tc>
      </w:tr>
      <w:tr w:rsidR="006B0CD0" w:rsidTr="006B0CD0">
        <w:trPr>
          <w:jc w:val="center"/>
        </w:trPr>
        <w:tc>
          <w:tcPr>
            <w:tcW w:w="0" w:type="auto"/>
            <w:tcBorders>
              <w:top w:val="single" w:sz="4" w:space="0" w:color="auto"/>
              <w:left w:val="single" w:sz="4" w:space="0" w:color="auto"/>
              <w:bottom w:val="single" w:sz="4" w:space="0" w:color="auto"/>
              <w:right w:val="nil"/>
            </w:tcBorders>
          </w:tcPr>
          <w:p w:rsidR="006B0CD0" w:rsidRDefault="006B0CD0">
            <w:pPr>
              <w:jc w:val="center"/>
              <w:rPr>
                <w:rFonts w:ascii="Times New Roman" w:hAnsi="Times New Roman" w:cs="Times New Roman"/>
                <w:lang w:val="pt-PT"/>
              </w:rPr>
            </w:pPr>
            <w:r>
              <w:rPr>
                <w:rFonts w:ascii="Times New Roman" w:hAnsi="Times New Roman" w:cs="Times New Roman"/>
                <w:lang w:val="pt-PT"/>
              </w:rPr>
              <w:t>WL</w:t>
            </w:r>
          </w:p>
          <w:p w:rsidR="006B0CD0" w:rsidRDefault="006B0CD0">
            <w:pPr>
              <w:jc w:val="center"/>
              <w:rPr>
                <w:rFonts w:ascii="Times New Roman" w:hAnsi="Times New Roman" w:cs="Times New Roman"/>
                <w:lang w:val="pt-PT"/>
              </w:rPr>
            </w:pPr>
          </w:p>
        </w:tc>
        <w:tc>
          <w:tcPr>
            <w:tcW w:w="0" w:type="auto"/>
            <w:tcBorders>
              <w:top w:val="single" w:sz="4" w:space="0" w:color="auto"/>
              <w:left w:val="nil"/>
              <w:bottom w:val="single" w:sz="4" w:space="0" w:color="auto"/>
              <w:right w:val="nil"/>
            </w:tcBorders>
            <w:hideMark/>
          </w:tcPr>
          <w:p w:rsidR="006B0CD0" w:rsidRDefault="006B0CD0">
            <w:pPr>
              <w:jc w:val="center"/>
              <w:rPr>
                <w:lang w:val="pt-PT"/>
              </w:rPr>
            </w:pPr>
            <w:r>
              <w:rPr>
                <w:rFonts w:ascii="Times New Roman" w:hAnsi="Times New Roman" w:cs="Times New Roman"/>
                <w:lang w:val="pt-PT"/>
              </w:rPr>
              <w:t>868</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0.0121</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0.0053</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0.0016</w:t>
            </w:r>
          </w:p>
        </w:tc>
        <w:tc>
          <w:tcPr>
            <w:tcW w:w="0" w:type="auto"/>
            <w:tcBorders>
              <w:top w:val="single" w:sz="4" w:space="0" w:color="auto"/>
              <w:left w:val="nil"/>
              <w:bottom w:val="single" w:sz="4" w:space="0" w:color="auto"/>
              <w:right w:val="single" w:sz="4" w:space="0" w:color="auto"/>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0.0408</w:t>
            </w:r>
          </w:p>
        </w:tc>
      </w:tr>
      <w:tr w:rsidR="006B0CD0" w:rsidTr="006B0CD0">
        <w:trPr>
          <w:jc w:val="center"/>
        </w:trPr>
        <w:tc>
          <w:tcPr>
            <w:tcW w:w="0" w:type="auto"/>
            <w:tcBorders>
              <w:top w:val="single" w:sz="4" w:space="0" w:color="auto"/>
              <w:left w:val="single" w:sz="4" w:space="0" w:color="auto"/>
              <w:bottom w:val="single" w:sz="4" w:space="0" w:color="auto"/>
              <w:right w:val="nil"/>
            </w:tcBorders>
          </w:tcPr>
          <w:p w:rsidR="006B0CD0" w:rsidRDefault="006B0CD0">
            <w:pPr>
              <w:jc w:val="center"/>
              <w:rPr>
                <w:rFonts w:ascii="Times New Roman" w:hAnsi="Times New Roman" w:cs="Times New Roman"/>
                <w:lang w:val="pt-PT"/>
              </w:rPr>
            </w:pPr>
            <w:r>
              <w:rPr>
                <w:rFonts w:ascii="Times New Roman" w:hAnsi="Times New Roman" w:cs="Times New Roman"/>
                <w:lang w:val="pt-PT"/>
              </w:rPr>
              <w:t>WK</w:t>
            </w:r>
          </w:p>
          <w:p w:rsidR="006B0CD0" w:rsidRDefault="006B0CD0">
            <w:pPr>
              <w:jc w:val="center"/>
              <w:rPr>
                <w:rFonts w:ascii="Times New Roman" w:hAnsi="Times New Roman" w:cs="Times New Roman"/>
                <w:lang w:val="pt-PT"/>
              </w:rPr>
            </w:pPr>
          </w:p>
        </w:tc>
        <w:tc>
          <w:tcPr>
            <w:tcW w:w="0" w:type="auto"/>
            <w:tcBorders>
              <w:top w:val="single" w:sz="4" w:space="0" w:color="auto"/>
              <w:left w:val="nil"/>
              <w:bottom w:val="single" w:sz="4" w:space="0" w:color="auto"/>
              <w:right w:val="nil"/>
            </w:tcBorders>
            <w:hideMark/>
          </w:tcPr>
          <w:p w:rsidR="006B0CD0" w:rsidRDefault="006B0CD0">
            <w:pPr>
              <w:jc w:val="center"/>
              <w:rPr>
                <w:lang w:val="pt-PT"/>
              </w:rPr>
            </w:pPr>
            <w:r>
              <w:rPr>
                <w:rFonts w:ascii="Times New Roman" w:hAnsi="Times New Roman" w:cs="Times New Roman"/>
                <w:lang w:val="pt-PT"/>
              </w:rPr>
              <w:t>868</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2339.657</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34493.43</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0.0503</w:t>
            </w:r>
          </w:p>
        </w:tc>
        <w:tc>
          <w:tcPr>
            <w:tcW w:w="0" w:type="auto"/>
            <w:tcBorders>
              <w:top w:val="single" w:sz="4" w:space="0" w:color="auto"/>
              <w:left w:val="nil"/>
              <w:bottom w:val="single" w:sz="4" w:space="0" w:color="auto"/>
              <w:right w:val="single" w:sz="4" w:space="0" w:color="auto"/>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562417.6</w:t>
            </w:r>
          </w:p>
        </w:tc>
      </w:tr>
      <w:tr w:rsidR="006B0CD0" w:rsidTr="006B0CD0">
        <w:trPr>
          <w:jc w:val="center"/>
        </w:trPr>
        <w:tc>
          <w:tcPr>
            <w:tcW w:w="0" w:type="auto"/>
            <w:tcBorders>
              <w:top w:val="single" w:sz="4" w:space="0" w:color="auto"/>
              <w:left w:val="single" w:sz="4" w:space="0" w:color="auto"/>
              <w:bottom w:val="single" w:sz="4" w:space="0" w:color="auto"/>
              <w:right w:val="nil"/>
            </w:tcBorders>
          </w:tcPr>
          <w:p w:rsidR="006B0CD0" w:rsidRDefault="006B0CD0">
            <w:pPr>
              <w:jc w:val="center"/>
              <w:rPr>
                <w:rFonts w:ascii="Times New Roman" w:hAnsi="Times New Roman" w:cs="Times New Roman"/>
                <w:lang w:val="pt-PT"/>
              </w:rPr>
            </w:pPr>
            <w:r>
              <w:rPr>
                <w:rFonts w:ascii="Times New Roman" w:hAnsi="Times New Roman" w:cs="Times New Roman"/>
                <w:lang w:val="pt-PT"/>
              </w:rPr>
              <w:t>WF</w:t>
            </w:r>
          </w:p>
          <w:p w:rsidR="006B0CD0" w:rsidRDefault="006B0CD0">
            <w:pPr>
              <w:jc w:val="center"/>
              <w:rPr>
                <w:rFonts w:ascii="Times New Roman" w:hAnsi="Times New Roman" w:cs="Times New Roman"/>
                <w:lang w:val="pt-PT"/>
              </w:rPr>
            </w:pPr>
          </w:p>
        </w:tc>
        <w:tc>
          <w:tcPr>
            <w:tcW w:w="0" w:type="auto"/>
            <w:tcBorders>
              <w:top w:val="single" w:sz="4" w:space="0" w:color="auto"/>
              <w:left w:val="nil"/>
              <w:bottom w:val="single" w:sz="4" w:space="0" w:color="auto"/>
              <w:right w:val="nil"/>
            </w:tcBorders>
            <w:hideMark/>
          </w:tcPr>
          <w:p w:rsidR="006B0CD0" w:rsidRDefault="006B0CD0">
            <w:pPr>
              <w:jc w:val="center"/>
              <w:rPr>
                <w:lang w:val="pt-PT"/>
              </w:rPr>
            </w:pPr>
            <w:r>
              <w:rPr>
                <w:rFonts w:ascii="Times New Roman" w:hAnsi="Times New Roman" w:cs="Times New Roman"/>
                <w:lang w:val="pt-PT"/>
              </w:rPr>
              <w:t>868</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1.3506</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10.6238</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0.0061</w:t>
            </w:r>
          </w:p>
        </w:tc>
        <w:tc>
          <w:tcPr>
            <w:tcW w:w="0" w:type="auto"/>
            <w:tcBorders>
              <w:top w:val="single" w:sz="4" w:space="0" w:color="auto"/>
              <w:left w:val="nil"/>
              <w:bottom w:val="single" w:sz="4" w:space="0" w:color="auto"/>
              <w:right w:val="single" w:sz="4" w:space="0" w:color="auto"/>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304.9049</w:t>
            </w:r>
          </w:p>
        </w:tc>
      </w:tr>
      <w:tr w:rsidR="006B0CD0" w:rsidTr="006B0CD0">
        <w:trPr>
          <w:jc w:val="center"/>
        </w:trPr>
        <w:tc>
          <w:tcPr>
            <w:tcW w:w="0" w:type="auto"/>
            <w:tcBorders>
              <w:top w:val="single" w:sz="4" w:space="0" w:color="auto"/>
              <w:left w:val="single" w:sz="4" w:space="0" w:color="auto"/>
              <w:bottom w:val="single" w:sz="4" w:space="0" w:color="auto"/>
              <w:right w:val="nil"/>
            </w:tcBorders>
          </w:tcPr>
          <w:p w:rsidR="006B0CD0" w:rsidRDefault="006B0CD0">
            <w:pPr>
              <w:jc w:val="center"/>
              <w:rPr>
                <w:rFonts w:ascii="Times New Roman" w:hAnsi="Times New Roman" w:cs="Times New Roman"/>
                <w:lang w:val="pt-PT"/>
              </w:rPr>
            </w:pPr>
            <w:r>
              <w:rPr>
                <w:rFonts w:ascii="Times New Roman" w:hAnsi="Times New Roman" w:cs="Times New Roman"/>
                <w:lang w:val="pt-PT"/>
              </w:rPr>
              <w:t>DTD</w:t>
            </w:r>
          </w:p>
          <w:p w:rsidR="006B0CD0" w:rsidRDefault="006B0CD0">
            <w:pPr>
              <w:jc w:val="center"/>
              <w:rPr>
                <w:rFonts w:ascii="Times New Roman" w:hAnsi="Times New Roman" w:cs="Times New Roman"/>
                <w:lang w:val="pt-PT"/>
              </w:rPr>
            </w:pPr>
          </w:p>
        </w:tc>
        <w:tc>
          <w:tcPr>
            <w:tcW w:w="0" w:type="auto"/>
            <w:tcBorders>
              <w:top w:val="single" w:sz="4" w:space="0" w:color="auto"/>
              <w:left w:val="nil"/>
              <w:bottom w:val="single" w:sz="4" w:space="0" w:color="auto"/>
              <w:right w:val="nil"/>
            </w:tcBorders>
            <w:hideMark/>
          </w:tcPr>
          <w:p w:rsidR="006B0CD0" w:rsidRDefault="006B0CD0">
            <w:pPr>
              <w:jc w:val="center"/>
              <w:rPr>
                <w:lang w:val="pt-PT"/>
              </w:rPr>
            </w:pPr>
            <w:r>
              <w:rPr>
                <w:rFonts w:ascii="Times New Roman" w:hAnsi="Times New Roman" w:cs="Times New Roman"/>
                <w:lang w:val="pt-PT"/>
              </w:rPr>
              <w:t>868</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0.3740</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0.2152</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0.0007</w:t>
            </w:r>
          </w:p>
        </w:tc>
        <w:tc>
          <w:tcPr>
            <w:tcW w:w="0" w:type="auto"/>
            <w:tcBorders>
              <w:top w:val="single" w:sz="4" w:space="0" w:color="auto"/>
              <w:left w:val="nil"/>
              <w:bottom w:val="single" w:sz="4" w:space="0" w:color="auto"/>
              <w:right w:val="single" w:sz="4" w:space="0" w:color="auto"/>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0.9900</w:t>
            </w:r>
          </w:p>
        </w:tc>
      </w:tr>
      <w:tr w:rsidR="006B0CD0" w:rsidTr="006B0CD0">
        <w:trPr>
          <w:jc w:val="center"/>
        </w:trPr>
        <w:tc>
          <w:tcPr>
            <w:tcW w:w="0" w:type="auto"/>
            <w:tcBorders>
              <w:top w:val="single" w:sz="4" w:space="0" w:color="auto"/>
              <w:left w:val="single" w:sz="4" w:space="0" w:color="auto"/>
              <w:bottom w:val="single" w:sz="4" w:space="0" w:color="auto"/>
              <w:right w:val="nil"/>
            </w:tcBorders>
          </w:tcPr>
          <w:p w:rsidR="006B0CD0" w:rsidRDefault="006B0CD0">
            <w:pPr>
              <w:jc w:val="center"/>
              <w:rPr>
                <w:rFonts w:ascii="Times New Roman" w:hAnsi="Times New Roman" w:cs="Times New Roman"/>
                <w:lang w:val="pt-PT"/>
              </w:rPr>
            </w:pPr>
            <w:r>
              <w:rPr>
                <w:rFonts w:ascii="Times New Roman" w:hAnsi="Times New Roman" w:cs="Times New Roman"/>
                <w:lang w:val="pt-PT"/>
              </w:rPr>
              <w:t>LA</w:t>
            </w:r>
          </w:p>
          <w:p w:rsidR="006B0CD0" w:rsidRDefault="006B0CD0">
            <w:pPr>
              <w:jc w:val="center"/>
              <w:rPr>
                <w:rFonts w:ascii="Times New Roman" w:hAnsi="Times New Roman" w:cs="Times New Roman"/>
                <w:lang w:val="pt-PT"/>
              </w:rPr>
            </w:pPr>
          </w:p>
        </w:tc>
        <w:tc>
          <w:tcPr>
            <w:tcW w:w="0" w:type="auto"/>
            <w:tcBorders>
              <w:top w:val="single" w:sz="4" w:space="0" w:color="auto"/>
              <w:left w:val="nil"/>
              <w:bottom w:val="single" w:sz="4" w:space="0" w:color="auto"/>
              <w:right w:val="nil"/>
            </w:tcBorders>
            <w:hideMark/>
          </w:tcPr>
          <w:p w:rsidR="006B0CD0" w:rsidRDefault="006B0CD0">
            <w:pPr>
              <w:jc w:val="center"/>
              <w:rPr>
                <w:lang w:val="pt-PT"/>
              </w:rPr>
            </w:pPr>
            <w:r>
              <w:rPr>
                <w:rFonts w:ascii="Times New Roman" w:hAnsi="Times New Roman" w:cs="Times New Roman"/>
                <w:lang w:val="pt-PT"/>
              </w:rPr>
              <w:t>868</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0.5040</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0.1843</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0.0029</w:t>
            </w:r>
          </w:p>
        </w:tc>
        <w:tc>
          <w:tcPr>
            <w:tcW w:w="0" w:type="auto"/>
            <w:tcBorders>
              <w:top w:val="single" w:sz="4" w:space="0" w:color="auto"/>
              <w:left w:val="nil"/>
              <w:bottom w:val="single" w:sz="4" w:space="0" w:color="auto"/>
              <w:right w:val="single" w:sz="4" w:space="0" w:color="auto"/>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1.4770</w:t>
            </w:r>
          </w:p>
        </w:tc>
      </w:tr>
      <w:tr w:rsidR="006B0CD0" w:rsidTr="006B0CD0">
        <w:trPr>
          <w:jc w:val="center"/>
        </w:trPr>
        <w:tc>
          <w:tcPr>
            <w:tcW w:w="0" w:type="auto"/>
            <w:tcBorders>
              <w:top w:val="single" w:sz="4" w:space="0" w:color="auto"/>
              <w:left w:val="single" w:sz="4" w:space="0" w:color="auto"/>
              <w:bottom w:val="single" w:sz="4" w:space="0" w:color="auto"/>
              <w:right w:val="nil"/>
            </w:tcBorders>
          </w:tcPr>
          <w:p w:rsidR="006B0CD0" w:rsidRDefault="006B0CD0">
            <w:pPr>
              <w:jc w:val="center"/>
              <w:rPr>
                <w:rFonts w:ascii="Times New Roman" w:hAnsi="Times New Roman" w:cs="Times New Roman"/>
                <w:lang w:val="pt-PT"/>
              </w:rPr>
            </w:pPr>
            <w:r>
              <w:rPr>
                <w:rFonts w:ascii="Times New Roman" w:hAnsi="Times New Roman" w:cs="Times New Roman"/>
                <w:lang w:val="pt-PT"/>
              </w:rPr>
              <w:t>IBL</w:t>
            </w:r>
          </w:p>
          <w:p w:rsidR="006B0CD0" w:rsidRDefault="006B0CD0">
            <w:pPr>
              <w:jc w:val="center"/>
              <w:rPr>
                <w:rFonts w:ascii="Times New Roman" w:hAnsi="Times New Roman" w:cs="Times New Roman"/>
                <w:lang w:val="pt-PT"/>
              </w:rPr>
            </w:pPr>
          </w:p>
        </w:tc>
        <w:tc>
          <w:tcPr>
            <w:tcW w:w="0" w:type="auto"/>
            <w:tcBorders>
              <w:top w:val="single" w:sz="4" w:space="0" w:color="auto"/>
              <w:left w:val="nil"/>
              <w:bottom w:val="single" w:sz="4" w:space="0" w:color="auto"/>
              <w:right w:val="nil"/>
            </w:tcBorders>
            <w:hideMark/>
          </w:tcPr>
          <w:p w:rsidR="006B0CD0" w:rsidRDefault="006B0CD0">
            <w:pPr>
              <w:jc w:val="center"/>
              <w:rPr>
                <w:lang w:val="pt-PT"/>
              </w:rPr>
            </w:pPr>
            <w:r>
              <w:rPr>
                <w:rFonts w:ascii="Times New Roman" w:hAnsi="Times New Roman" w:cs="Times New Roman"/>
                <w:lang w:val="pt-PT"/>
              </w:rPr>
              <w:t>868</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0.1925</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0.6798</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0.0004</w:t>
            </w:r>
          </w:p>
        </w:tc>
        <w:tc>
          <w:tcPr>
            <w:tcW w:w="0" w:type="auto"/>
            <w:tcBorders>
              <w:top w:val="single" w:sz="4" w:space="0" w:color="auto"/>
              <w:left w:val="nil"/>
              <w:bottom w:val="single" w:sz="4" w:space="0" w:color="auto"/>
              <w:right w:val="single" w:sz="4" w:space="0" w:color="auto"/>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13.8738</w:t>
            </w:r>
          </w:p>
        </w:tc>
      </w:tr>
      <w:tr w:rsidR="006B0CD0" w:rsidTr="006B0CD0">
        <w:trPr>
          <w:jc w:val="center"/>
        </w:trPr>
        <w:tc>
          <w:tcPr>
            <w:tcW w:w="0" w:type="auto"/>
            <w:tcBorders>
              <w:top w:val="single" w:sz="4" w:space="0" w:color="auto"/>
              <w:left w:val="single" w:sz="4" w:space="0" w:color="auto"/>
              <w:bottom w:val="single" w:sz="4" w:space="0" w:color="auto"/>
              <w:right w:val="nil"/>
            </w:tcBorders>
          </w:tcPr>
          <w:p w:rsidR="006B0CD0" w:rsidRDefault="006B0CD0">
            <w:pPr>
              <w:jc w:val="center"/>
              <w:rPr>
                <w:rFonts w:ascii="Times New Roman" w:hAnsi="Times New Roman" w:cs="Times New Roman"/>
                <w:lang w:val="pt-PT"/>
              </w:rPr>
            </w:pPr>
            <w:r>
              <w:rPr>
                <w:rFonts w:ascii="Times New Roman" w:hAnsi="Times New Roman" w:cs="Times New Roman"/>
                <w:lang w:val="pt-PT"/>
              </w:rPr>
              <w:t>OBSA</w:t>
            </w:r>
          </w:p>
          <w:p w:rsidR="006B0CD0" w:rsidRDefault="006B0CD0">
            <w:pPr>
              <w:jc w:val="center"/>
              <w:rPr>
                <w:rFonts w:ascii="Times New Roman" w:hAnsi="Times New Roman" w:cs="Times New Roman"/>
                <w:lang w:val="pt-PT"/>
              </w:rPr>
            </w:pPr>
          </w:p>
        </w:tc>
        <w:tc>
          <w:tcPr>
            <w:tcW w:w="0" w:type="auto"/>
            <w:tcBorders>
              <w:top w:val="single" w:sz="4" w:space="0" w:color="auto"/>
              <w:left w:val="nil"/>
              <w:bottom w:val="single" w:sz="4" w:space="0" w:color="auto"/>
              <w:right w:val="nil"/>
            </w:tcBorders>
            <w:hideMark/>
          </w:tcPr>
          <w:p w:rsidR="006B0CD0" w:rsidRDefault="006B0CD0">
            <w:pPr>
              <w:jc w:val="center"/>
              <w:rPr>
                <w:lang w:val="pt-PT"/>
              </w:rPr>
            </w:pPr>
            <w:r>
              <w:rPr>
                <w:rFonts w:ascii="Times New Roman" w:hAnsi="Times New Roman" w:cs="Times New Roman"/>
                <w:lang w:val="pt-PT"/>
              </w:rPr>
              <w:t>868</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0.8083</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0.9323</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0.0036</w:t>
            </w:r>
          </w:p>
        </w:tc>
        <w:tc>
          <w:tcPr>
            <w:tcW w:w="0" w:type="auto"/>
            <w:tcBorders>
              <w:top w:val="single" w:sz="4" w:space="0" w:color="auto"/>
              <w:left w:val="nil"/>
              <w:bottom w:val="single" w:sz="4" w:space="0" w:color="auto"/>
              <w:right w:val="single" w:sz="4" w:space="0" w:color="auto"/>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4.5383</w:t>
            </w:r>
          </w:p>
        </w:tc>
      </w:tr>
      <w:tr w:rsidR="006B0CD0" w:rsidTr="006B0CD0">
        <w:trPr>
          <w:jc w:val="center"/>
        </w:trPr>
        <w:tc>
          <w:tcPr>
            <w:tcW w:w="0" w:type="auto"/>
            <w:tcBorders>
              <w:top w:val="single" w:sz="4" w:space="0" w:color="auto"/>
              <w:left w:val="single" w:sz="4" w:space="0" w:color="auto"/>
              <w:bottom w:val="single" w:sz="4" w:space="0" w:color="auto"/>
              <w:right w:val="nil"/>
            </w:tcBorders>
          </w:tcPr>
          <w:p w:rsidR="006B0CD0" w:rsidRDefault="006B0CD0">
            <w:pPr>
              <w:jc w:val="center"/>
              <w:rPr>
                <w:rFonts w:ascii="Times New Roman" w:hAnsi="Times New Roman" w:cs="Times New Roman"/>
                <w:lang w:val="pt-PT"/>
              </w:rPr>
            </w:pPr>
            <w:r>
              <w:rPr>
                <w:rFonts w:ascii="Times New Roman" w:hAnsi="Times New Roman" w:cs="Times New Roman"/>
                <w:lang w:val="pt-PT"/>
              </w:rPr>
              <w:t>AB</w:t>
            </w:r>
          </w:p>
          <w:p w:rsidR="006B0CD0" w:rsidRDefault="006B0CD0">
            <w:pPr>
              <w:jc w:val="center"/>
              <w:rPr>
                <w:rFonts w:ascii="Times New Roman" w:hAnsi="Times New Roman" w:cs="Times New Roman"/>
                <w:lang w:val="pt-PT"/>
              </w:rPr>
            </w:pPr>
          </w:p>
        </w:tc>
        <w:tc>
          <w:tcPr>
            <w:tcW w:w="0" w:type="auto"/>
            <w:tcBorders>
              <w:top w:val="single" w:sz="4" w:space="0" w:color="auto"/>
              <w:left w:val="nil"/>
              <w:bottom w:val="single" w:sz="4" w:space="0" w:color="auto"/>
              <w:right w:val="nil"/>
            </w:tcBorders>
            <w:hideMark/>
          </w:tcPr>
          <w:p w:rsidR="006B0CD0" w:rsidRDefault="006B0CD0">
            <w:pPr>
              <w:jc w:val="center"/>
              <w:rPr>
                <w:lang w:val="pt-PT"/>
              </w:rPr>
            </w:pPr>
            <w:r>
              <w:rPr>
                <w:rFonts w:ascii="Times New Roman" w:hAnsi="Times New Roman" w:cs="Times New Roman"/>
                <w:lang w:val="pt-PT"/>
              </w:rPr>
              <w:t>868</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44,200,000</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137,000,000</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2186,375</w:t>
            </w:r>
          </w:p>
        </w:tc>
        <w:tc>
          <w:tcPr>
            <w:tcW w:w="0" w:type="auto"/>
            <w:tcBorders>
              <w:top w:val="single" w:sz="4" w:space="0" w:color="auto"/>
              <w:left w:val="nil"/>
              <w:bottom w:val="single" w:sz="4" w:space="0" w:color="auto"/>
              <w:right w:val="single" w:sz="4" w:space="0" w:color="auto"/>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17,300,000,000</w:t>
            </w:r>
          </w:p>
        </w:tc>
      </w:tr>
      <w:tr w:rsidR="006B0CD0" w:rsidTr="006B0CD0">
        <w:trPr>
          <w:jc w:val="center"/>
        </w:trPr>
        <w:tc>
          <w:tcPr>
            <w:tcW w:w="0" w:type="auto"/>
            <w:tcBorders>
              <w:top w:val="single" w:sz="4" w:space="0" w:color="auto"/>
              <w:left w:val="single" w:sz="4" w:space="0" w:color="auto"/>
              <w:bottom w:val="single" w:sz="4" w:space="0" w:color="auto"/>
              <w:right w:val="nil"/>
            </w:tcBorders>
          </w:tcPr>
          <w:p w:rsidR="006B0CD0" w:rsidRDefault="006B0CD0">
            <w:pPr>
              <w:jc w:val="center"/>
              <w:rPr>
                <w:rFonts w:ascii="Times New Roman" w:hAnsi="Times New Roman" w:cs="Times New Roman"/>
                <w:lang w:val="pt-PT"/>
              </w:rPr>
            </w:pPr>
            <w:r>
              <w:rPr>
                <w:rFonts w:ascii="Times New Roman" w:hAnsi="Times New Roman" w:cs="Times New Roman"/>
                <w:lang w:val="pt-PT"/>
              </w:rPr>
              <w:t>KA</w:t>
            </w:r>
          </w:p>
          <w:p w:rsidR="006B0CD0" w:rsidRDefault="006B0CD0">
            <w:pPr>
              <w:jc w:val="center"/>
              <w:rPr>
                <w:rFonts w:ascii="Times New Roman" w:hAnsi="Times New Roman" w:cs="Times New Roman"/>
                <w:lang w:val="pt-PT"/>
              </w:rPr>
            </w:pPr>
          </w:p>
        </w:tc>
        <w:tc>
          <w:tcPr>
            <w:tcW w:w="0" w:type="auto"/>
            <w:tcBorders>
              <w:top w:val="single" w:sz="4" w:space="0" w:color="auto"/>
              <w:left w:val="nil"/>
              <w:bottom w:val="single" w:sz="4" w:space="0" w:color="auto"/>
              <w:right w:val="nil"/>
            </w:tcBorders>
            <w:hideMark/>
          </w:tcPr>
          <w:p w:rsidR="006B0CD0" w:rsidRDefault="006B0CD0">
            <w:pPr>
              <w:jc w:val="center"/>
              <w:rPr>
                <w:lang w:val="pt-PT"/>
              </w:rPr>
            </w:pPr>
            <w:r>
              <w:rPr>
                <w:rFonts w:ascii="Times New Roman" w:hAnsi="Times New Roman" w:cs="Times New Roman"/>
                <w:lang w:val="pt-PT"/>
              </w:rPr>
              <w:t>868</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0.0830</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0.0776</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0.0010</w:t>
            </w:r>
          </w:p>
        </w:tc>
        <w:tc>
          <w:tcPr>
            <w:tcW w:w="0" w:type="auto"/>
            <w:tcBorders>
              <w:top w:val="single" w:sz="4" w:space="0" w:color="auto"/>
              <w:left w:val="nil"/>
              <w:bottom w:val="single" w:sz="4" w:space="0" w:color="auto"/>
              <w:right w:val="single" w:sz="4" w:space="0" w:color="auto"/>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0.7945</w:t>
            </w:r>
          </w:p>
        </w:tc>
      </w:tr>
      <w:tr w:rsidR="006B0CD0" w:rsidTr="006B0CD0">
        <w:trPr>
          <w:jc w:val="center"/>
        </w:trPr>
        <w:tc>
          <w:tcPr>
            <w:tcW w:w="0" w:type="auto"/>
            <w:tcBorders>
              <w:top w:val="single" w:sz="4" w:space="0" w:color="auto"/>
              <w:left w:val="single" w:sz="4" w:space="0" w:color="auto"/>
              <w:bottom w:val="single" w:sz="4" w:space="0" w:color="auto"/>
              <w:right w:val="nil"/>
            </w:tcBorders>
          </w:tcPr>
          <w:p w:rsidR="006B0CD0" w:rsidRDefault="006B0CD0">
            <w:pPr>
              <w:jc w:val="center"/>
              <w:rPr>
                <w:rFonts w:ascii="Times New Roman" w:hAnsi="Times New Roman" w:cs="Times New Roman"/>
                <w:lang w:val="pt-PT"/>
              </w:rPr>
            </w:pPr>
            <w:r>
              <w:rPr>
                <w:rFonts w:ascii="Times New Roman" w:hAnsi="Times New Roman" w:cs="Times New Roman"/>
                <w:lang w:val="pt-PT"/>
              </w:rPr>
              <w:t>OIIR</w:t>
            </w:r>
          </w:p>
          <w:p w:rsidR="006B0CD0" w:rsidRDefault="006B0CD0">
            <w:pPr>
              <w:jc w:val="center"/>
              <w:rPr>
                <w:rFonts w:ascii="Times New Roman" w:hAnsi="Times New Roman" w:cs="Times New Roman"/>
                <w:lang w:val="pt-PT"/>
              </w:rPr>
            </w:pPr>
          </w:p>
        </w:tc>
        <w:tc>
          <w:tcPr>
            <w:tcW w:w="0" w:type="auto"/>
            <w:tcBorders>
              <w:top w:val="single" w:sz="4" w:space="0" w:color="auto"/>
              <w:left w:val="nil"/>
              <w:bottom w:val="single" w:sz="4" w:space="0" w:color="auto"/>
              <w:right w:val="nil"/>
            </w:tcBorders>
            <w:hideMark/>
          </w:tcPr>
          <w:p w:rsidR="006B0CD0" w:rsidRDefault="006B0CD0">
            <w:pPr>
              <w:jc w:val="center"/>
              <w:rPr>
                <w:lang w:val="pt-PT"/>
              </w:rPr>
            </w:pPr>
            <w:r>
              <w:rPr>
                <w:rFonts w:ascii="Times New Roman" w:hAnsi="Times New Roman" w:cs="Times New Roman"/>
                <w:lang w:val="pt-PT"/>
              </w:rPr>
              <w:t>868</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0.2168</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0.1602</w:t>
            </w:r>
          </w:p>
        </w:tc>
        <w:tc>
          <w:tcPr>
            <w:tcW w:w="0" w:type="auto"/>
            <w:tcBorders>
              <w:top w:val="single" w:sz="4" w:space="0" w:color="auto"/>
              <w:left w:val="nil"/>
              <w:bottom w:val="single" w:sz="4" w:space="0" w:color="auto"/>
              <w:right w:val="nil"/>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0.0038</w:t>
            </w:r>
          </w:p>
        </w:tc>
        <w:tc>
          <w:tcPr>
            <w:tcW w:w="0" w:type="auto"/>
            <w:tcBorders>
              <w:top w:val="single" w:sz="4" w:space="0" w:color="auto"/>
              <w:left w:val="nil"/>
              <w:bottom w:val="single" w:sz="4" w:space="0" w:color="auto"/>
              <w:right w:val="single" w:sz="4" w:space="0" w:color="auto"/>
            </w:tcBorders>
            <w:hideMark/>
          </w:tcPr>
          <w:p w:rsidR="006B0CD0" w:rsidRDefault="006B0CD0">
            <w:pPr>
              <w:jc w:val="center"/>
              <w:rPr>
                <w:rFonts w:ascii="Times New Roman" w:hAnsi="Times New Roman" w:cs="Times New Roman"/>
                <w:lang w:val="pt-PT"/>
              </w:rPr>
            </w:pPr>
            <w:r>
              <w:rPr>
                <w:rFonts w:ascii="Times New Roman" w:hAnsi="Times New Roman" w:cs="Times New Roman"/>
                <w:lang w:val="pt-PT"/>
              </w:rPr>
              <w:t>0.9231</w:t>
            </w:r>
          </w:p>
        </w:tc>
      </w:tr>
    </w:tbl>
    <w:p w:rsidR="006B0CD0" w:rsidRDefault="006B0CD0" w:rsidP="006B0CD0">
      <w:pPr>
        <w:spacing w:after="0" w:line="240" w:lineRule="auto"/>
        <w:jc w:val="center"/>
        <w:rPr>
          <w:rFonts w:ascii="Times New Roman" w:hAnsi="Times New Roman" w:cs="Times New Roman"/>
        </w:rPr>
      </w:pPr>
    </w:p>
    <w:p w:rsidR="006B0CD0" w:rsidRDefault="006B0CD0" w:rsidP="006B0CD0">
      <w:pPr>
        <w:tabs>
          <w:tab w:val="left" w:pos="930"/>
        </w:tabs>
        <w:spacing w:after="0" w:line="240" w:lineRule="auto"/>
        <w:ind w:firstLine="930"/>
        <w:jc w:val="both"/>
        <w:rPr>
          <w:rFonts w:cs="Times New Roman"/>
        </w:rPr>
      </w:pPr>
      <w:r>
        <w:rPr>
          <w:rFonts w:cs="Times New Roman"/>
        </w:rPr>
        <w:t>Legend: IRA = Interest revenue scaled by total assets; TRA = Total revenue scaled by total assets; IR = Interest revenue not scaled by total assets; TR = Total revenue not scaled by total assets; WL = Wages; WK = Price of capital; WF = Funding cost; DTD = Deposits/Total debt; LA = Loans/Total assets; IBL = Interbank deposits/Loans; OBSA = Off-balance sheet/Total assets; AB = Total assets/Branches; KA = Capital/Total assets; OIIR = Other revenue/Interest revenue</w:t>
      </w:r>
    </w:p>
    <w:p w:rsidR="006B0CD0" w:rsidRDefault="006B0CD0" w:rsidP="006B0CD0">
      <w:pPr>
        <w:tabs>
          <w:tab w:val="left" w:pos="930"/>
        </w:tabs>
        <w:spacing w:after="0" w:line="240" w:lineRule="auto"/>
        <w:ind w:firstLine="930"/>
        <w:jc w:val="both"/>
        <w:rPr>
          <w:rFonts w:cs="Times New Roman"/>
        </w:rPr>
      </w:pPr>
    </w:p>
    <w:p w:rsidR="006B0CD0" w:rsidRDefault="006B0CD0" w:rsidP="006B0CD0">
      <w:pPr>
        <w:tabs>
          <w:tab w:val="left" w:pos="930"/>
        </w:tabs>
        <w:spacing w:after="0" w:line="240" w:lineRule="auto"/>
        <w:ind w:firstLine="930"/>
        <w:jc w:val="both"/>
        <w:rPr>
          <w:rFonts w:cs="Times New Roman"/>
        </w:rPr>
      </w:pPr>
    </w:p>
    <w:p w:rsidR="006B0CD0" w:rsidRDefault="006B0CD0" w:rsidP="006B0CD0">
      <w:pPr>
        <w:tabs>
          <w:tab w:val="left" w:pos="930"/>
        </w:tabs>
        <w:spacing w:after="0" w:line="240" w:lineRule="auto"/>
        <w:ind w:firstLine="930"/>
        <w:jc w:val="both"/>
        <w:rPr>
          <w:rFonts w:cs="Times New Roman"/>
        </w:rPr>
      </w:pPr>
    </w:p>
    <w:p w:rsidR="006B0CD0" w:rsidRDefault="006B0CD0" w:rsidP="006B0CD0">
      <w:pPr>
        <w:tabs>
          <w:tab w:val="left" w:pos="930"/>
        </w:tabs>
        <w:spacing w:after="0" w:line="240" w:lineRule="auto"/>
        <w:ind w:firstLine="930"/>
        <w:jc w:val="both"/>
        <w:rPr>
          <w:rFonts w:cs="Times New Roman"/>
        </w:rPr>
      </w:pPr>
    </w:p>
    <w:p w:rsidR="006B0CD0" w:rsidRDefault="006B0CD0" w:rsidP="006B0CD0">
      <w:pPr>
        <w:tabs>
          <w:tab w:val="left" w:pos="930"/>
        </w:tabs>
        <w:spacing w:after="0" w:line="240" w:lineRule="auto"/>
        <w:ind w:firstLine="930"/>
        <w:jc w:val="both"/>
        <w:rPr>
          <w:rFonts w:cs="Times New Roman"/>
        </w:rPr>
      </w:pPr>
    </w:p>
    <w:p w:rsidR="006B0CD0" w:rsidRDefault="006B0CD0" w:rsidP="006B0CD0">
      <w:pPr>
        <w:tabs>
          <w:tab w:val="left" w:pos="930"/>
        </w:tabs>
        <w:spacing w:after="0" w:line="240" w:lineRule="auto"/>
        <w:ind w:firstLine="930"/>
        <w:jc w:val="both"/>
        <w:rPr>
          <w:rFonts w:cs="Times New Roman"/>
        </w:rPr>
      </w:pPr>
    </w:p>
    <w:p w:rsidR="006B0CD0" w:rsidRDefault="006B0CD0" w:rsidP="006B0CD0">
      <w:pPr>
        <w:tabs>
          <w:tab w:val="left" w:pos="930"/>
        </w:tabs>
        <w:spacing w:after="0" w:line="240" w:lineRule="auto"/>
        <w:ind w:firstLine="930"/>
        <w:jc w:val="both"/>
        <w:rPr>
          <w:rFonts w:cs="Times New Roman"/>
        </w:rPr>
      </w:pPr>
    </w:p>
    <w:p w:rsidR="006B0CD0" w:rsidRDefault="006B0CD0" w:rsidP="006B0CD0">
      <w:pPr>
        <w:tabs>
          <w:tab w:val="left" w:pos="930"/>
        </w:tabs>
        <w:spacing w:after="0" w:line="240" w:lineRule="auto"/>
        <w:ind w:firstLine="930"/>
        <w:jc w:val="both"/>
        <w:rPr>
          <w:rFonts w:cs="Times New Roman"/>
        </w:rPr>
      </w:pPr>
    </w:p>
    <w:p w:rsidR="006B0CD0" w:rsidRDefault="006B0CD0" w:rsidP="006B0CD0">
      <w:pPr>
        <w:tabs>
          <w:tab w:val="left" w:pos="930"/>
        </w:tabs>
        <w:spacing w:after="0" w:line="240" w:lineRule="auto"/>
        <w:ind w:firstLine="930"/>
        <w:jc w:val="both"/>
        <w:rPr>
          <w:rFonts w:cs="Times New Roman"/>
        </w:rPr>
      </w:pPr>
    </w:p>
    <w:p w:rsidR="006B0CD0" w:rsidRDefault="006B0CD0" w:rsidP="006B0CD0">
      <w:pPr>
        <w:tabs>
          <w:tab w:val="left" w:pos="930"/>
        </w:tabs>
        <w:spacing w:after="0" w:line="240" w:lineRule="auto"/>
        <w:ind w:firstLine="930"/>
        <w:jc w:val="both"/>
        <w:rPr>
          <w:rFonts w:cs="Times New Roman"/>
        </w:rPr>
      </w:pPr>
    </w:p>
    <w:p w:rsidR="006B0CD0" w:rsidRDefault="006B0CD0" w:rsidP="006B0CD0">
      <w:pPr>
        <w:tabs>
          <w:tab w:val="left" w:pos="930"/>
        </w:tabs>
        <w:spacing w:after="0" w:line="240" w:lineRule="auto"/>
        <w:ind w:firstLine="930"/>
        <w:jc w:val="both"/>
        <w:rPr>
          <w:rFonts w:cs="Times New Roman"/>
        </w:rPr>
      </w:pPr>
    </w:p>
    <w:p w:rsidR="006B0CD0" w:rsidRDefault="006B0CD0" w:rsidP="006B0CD0">
      <w:pPr>
        <w:tabs>
          <w:tab w:val="left" w:pos="930"/>
        </w:tabs>
        <w:spacing w:after="0" w:line="240" w:lineRule="auto"/>
        <w:ind w:firstLine="930"/>
        <w:jc w:val="both"/>
        <w:rPr>
          <w:rFonts w:cs="Times New Roman"/>
        </w:rPr>
      </w:pPr>
    </w:p>
    <w:p w:rsidR="006B0CD0" w:rsidRDefault="006B0CD0" w:rsidP="006B0CD0">
      <w:pPr>
        <w:tabs>
          <w:tab w:val="left" w:pos="930"/>
        </w:tabs>
        <w:spacing w:after="0" w:line="240" w:lineRule="auto"/>
        <w:ind w:firstLine="930"/>
        <w:jc w:val="both"/>
        <w:rPr>
          <w:rFonts w:cs="Times New Roman"/>
        </w:rPr>
      </w:pPr>
    </w:p>
    <w:p w:rsidR="006B0CD0" w:rsidRDefault="006B0CD0" w:rsidP="006B0CD0">
      <w:pPr>
        <w:tabs>
          <w:tab w:val="left" w:pos="930"/>
        </w:tabs>
        <w:spacing w:after="0" w:line="240" w:lineRule="auto"/>
        <w:ind w:firstLine="930"/>
        <w:jc w:val="both"/>
        <w:rPr>
          <w:rFonts w:cs="Times New Roman"/>
        </w:rPr>
      </w:pPr>
    </w:p>
    <w:p w:rsidR="006B0CD0" w:rsidRDefault="006B0CD0" w:rsidP="006B0CD0">
      <w:pPr>
        <w:tabs>
          <w:tab w:val="left" w:pos="930"/>
        </w:tabs>
        <w:spacing w:after="0" w:line="240" w:lineRule="auto"/>
        <w:ind w:firstLine="930"/>
        <w:jc w:val="both"/>
        <w:rPr>
          <w:rFonts w:cs="Times New Roman"/>
        </w:rPr>
      </w:pPr>
    </w:p>
    <w:p w:rsidR="006B0CD0" w:rsidRDefault="006B0CD0" w:rsidP="006B0CD0">
      <w:pPr>
        <w:tabs>
          <w:tab w:val="left" w:pos="930"/>
        </w:tabs>
        <w:spacing w:after="0" w:line="240" w:lineRule="auto"/>
        <w:ind w:firstLine="930"/>
        <w:jc w:val="both"/>
        <w:rPr>
          <w:rFonts w:cs="Times New Roman"/>
        </w:rPr>
      </w:pPr>
    </w:p>
    <w:p w:rsidR="006B0CD0" w:rsidRDefault="006B0CD0" w:rsidP="006B0CD0">
      <w:pPr>
        <w:tabs>
          <w:tab w:val="left" w:pos="930"/>
        </w:tabs>
        <w:spacing w:after="0" w:line="240" w:lineRule="auto"/>
        <w:ind w:firstLine="930"/>
        <w:jc w:val="both"/>
        <w:rPr>
          <w:rFonts w:cs="Times New Roman"/>
        </w:rPr>
      </w:pPr>
    </w:p>
    <w:p w:rsidR="006B0CD0" w:rsidRDefault="006B0CD0" w:rsidP="006B0CD0">
      <w:pPr>
        <w:tabs>
          <w:tab w:val="left" w:pos="930"/>
        </w:tabs>
        <w:spacing w:after="0" w:line="240" w:lineRule="auto"/>
        <w:ind w:firstLine="930"/>
        <w:jc w:val="both"/>
        <w:sectPr w:rsidR="006B0CD0" w:rsidSect="006B0CD0">
          <w:endnotePr>
            <w:numFmt w:val="decimal"/>
          </w:endnotePr>
          <w:pgSz w:w="11906" w:h="16838"/>
          <w:pgMar w:top="1134" w:right="1418" w:bottom="1134" w:left="1418" w:header="709" w:footer="709" w:gutter="0"/>
          <w:cols w:space="708"/>
          <w:docGrid w:linePitch="360"/>
        </w:sectPr>
      </w:pPr>
    </w:p>
    <w:p w:rsidR="006B0CD0" w:rsidRDefault="00CD6287" w:rsidP="006B0CD0">
      <w:pPr>
        <w:spacing w:after="0" w:line="240" w:lineRule="auto"/>
        <w:jc w:val="center"/>
        <w:rPr>
          <w:rFonts w:cs="Times New Roman"/>
          <w:b/>
        </w:rPr>
      </w:pPr>
      <w:r>
        <w:rPr>
          <w:rFonts w:cs="Times New Roman"/>
          <w:b/>
        </w:rPr>
        <w:lastRenderedPageBreak/>
        <w:t>Table III</w:t>
      </w:r>
    </w:p>
    <w:p w:rsidR="006B0CD0" w:rsidRDefault="006B0CD0" w:rsidP="006B0CD0">
      <w:pPr>
        <w:spacing w:after="0" w:line="240" w:lineRule="auto"/>
        <w:jc w:val="center"/>
        <w:rPr>
          <w:rFonts w:cs="Times New Roman"/>
          <w:b/>
        </w:rPr>
      </w:pPr>
      <w:r>
        <w:rPr>
          <w:rFonts w:cs="Times New Roman"/>
          <w:b/>
        </w:rPr>
        <w:t>Equilibrium tests and H-statistic – various periods, Portugal</w:t>
      </w:r>
    </w:p>
    <w:tbl>
      <w:tblPr>
        <w:tblStyle w:val="TableGrid"/>
        <w:tblW w:w="16155" w:type="dxa"/>
        <w:jc w:val="center"/>
        <w:tblLayout w:type="fixed"/>
        <w:tblLook w:val="04A0" w:firstRow="1" w:lastRow="0" w:firstColumn="1" w:lastColumn="0" w:noHBand="0" w:noVBand="1"/>
      </w:tblPr>
      <w:tblGrid>
        <w:gridCol w:w="1417"/>
        <w:gridCol w:w="991"/>
        <w:gridCol w:w="992"/>
        <w:gridCol w:w="991"/>
        <w:gridCol w:w="849"/>
        <w:gridCol w:w="851"/>
        <w:gridCol w:w="850"/>
        <w:gridCol w:w="993"/>
        <w:gridCol w:w="992"/>
        <w:gridCol w:w="850"/>
        <w:gridCol w:w="993"/>
        <w:gridCol w:w="992"/>
        <w:gridCol w:w="850"/>
        <w:gridCol w:w="851"/>
        <w:gridCol w:w="1134"/>
        <w:gridCol w:w="850"/>
        <w:gridCol w:w="709"/>
      </w:tblGrid>
      <w:tr w:rsidR="006B0CD0" w:rsidTr="00F41B1B">
        <w:trPr>
          <w:trHeight w:val="624"/>
          <w:jc w:val="center"/>
        </w:trPr>
        <w:tc>
          <w:tcPr>
            <w:tcW w:w="1417" w:type="dxa"/>
            <w:tcBorders>
              <w:top w:val="single" w:sz="4" w:space="0" w:color="auto"/>
              <w:left w:val="single" w:sz="4" w:space="0" w:color="auto"/>
              <w:bottom w:val="single" w:sz="4" w:space="0" w:color="auto"/>
              <w:right w:val="single" w:sz="4" w:space="0" w:color="auto"/>
            </w:tcBorders>
          </w:tcPr>
          <w:p w:rsidR="006B0CD0" w:rsidRDefault="006B0CD0">
            <w:pPr>
              <w:spacing w:line="360" w:lineRule="auto"/>
              <w:jc w:val="both"/>
              <w:rPr>
                <w:rFonts w:ascii="Times New Roman" w:eastAsia="Times New Roman" w:hAnsi="Times New Roman"/>
                <w:b/>
                <w:color w:val="000000"/>
                <w:sz w:val="16"/>
                <w:szCs w:val="16"/>
                <w:lang w:val="en-US"/>
              </w:rPr>
            </w:pPr>
          </w:p>
        </w:tc>
        <w:tc>
          <w:tcPr>
            <w:tcW w:w="991" w:type="dxa"/>
            <w:tcBorders>
              <w:top w:val="single" w:sz="4" w:space="0" w:color="auto"/>
              <w:left w:val="single" w:sz="4" w:space="0" w:color="auto"/>
              <w:bottom w:val="single" w:sz="4" w:space="0" w:color="auto"/>
              <w:right w:val="nil"/>
            </w:tcBorders>
          </w:tcPr>
          <w:p w:rsidR="006B0CD0" w:rsidRDefault="006B0CD0">
            <w:pPr>
              <w:spacing w:line="360" w:lineRule="auto"/>
              <w:rPr>
                <w:rFonts w:ascii="Times New Roman" w:eastAsia="Times New Roman" w:hAnsi="Times New Roman"/>
                <w:b/>
                <w:color w:val="000000"/>
                <w:sz w:val="16"/>
                <w:szCs w:val="16"/>
                <w:lang w:val="en-US"/>
              </w:rPr>
            </w:pPr>
          </w:p>
          <w:p w:rsidR="006B0CD0" w:rsidRDefault="006B0CD0">
            <w:pPr>
              <w:spacing w:line="360" w:lineRule="auto"/>
              <w:rPr>
                <w:rFonts w:ascii="Times New Roman" w:eastAsia="Times New Roman" w:hAnsi="Times New Roman"/>
                <w:b/>
                <w:color w:val="000000"/>
                <w:sz w:val="16"/>
                <w:szCs w:val="16"/>
                <w:lang w:val="en-US"/>
              </w:rPr>
            </w:pPr>
            <m:oMathPara>
              <m:oMathParaPr>
                <m:jc m:val="center"/>
              </m:oMathParaPr>
              <m:oMath>
                <m:r>
                  <m:rPr>
                    <m:sty m:val="bi"/>
                  </m:rPr>
                  <w:rPr>
                    <w:rFonts w:ascii="Cambria Math" w:eastAsia="Times New Roman" w:hAnsi="Cambria Math"/>
                    <w:color w:val="000000"/>
                    <w:sz w:val="16"/>
                    <w:szCs w:val="16"/>
                    <w:lang w:val="en-US"/>
                  </w:rPr>
                  <m:t xml:space="preserve">       α</m:t>
                </m:r>
              </m:oMath>
            </m:oMathPara>
          </w:p>
        </w:tc>
        <w:tc>
          <w:tcPr>
            <w:tcW w:w="992" w:type="dxa"/>
            <w:tcBorders>
              <w:top w:val="single" w:sz="4" w:space="0" w:color="auto"/>
              <w:left w:val="nil"/>
              <w:bottom w:val="single" w:sz="4" w:space="0" w:color="auto"/>
              <w:right w:val="nil"/>
            </w:tcBorders>
          </w:tcPr>
          <w:p w:rsidR="006B0CD0" w:rsidRDefault="006B0CD0">
            <w:pPr>
              <w:spacing w:line="360" w:lineRule="auto"/>
              <w:rPr>
                <w:rFonts w:ascii="Times New Roman" w:eastAsia="Times New Roman" w:hAnsi="Times New Roman"/>
                <w:b/>
                <w:color w:val="000000"/>
                <w:sz w:val="16"/>
                <w:szCs w:val="16"/>
                <w:lang w:val="en-US"/>
              </w:rPr>
            </w:pPr>
          </w:p>
          <w:p w:rsidR="006B0CD0" w:rsidRDefault="006B0CD0">
            <w:pPr>
              <w:spacing w:line="360" w:lineRule="auto"/>
              <w:rPr>
                <w:rFonts w:ascii="Times New Roman" w:hAnsi="Times New Roman"/>
                <w:b/>
                <w:color w:val="000000"/>
                <w:sz w:val="16"/>
                <w:szCs w:val="16"/>
                <w:lang w:val="pt-PT"/>
              </w:rPr>
            </w:pPr>
            <m:oMathPara>
              <m:oMath>
                <m:r>
                  <m:rPr>
                    <m:sty m:val="bi"/>
                  </m:rPr>
                  <w:rPr>
                    <w:rFonts w:ascii="Cambria Math" w:eastAsia="Times New Roman" w:hAnsi="Cambria Math"/>
                    <w:color w:val="000000"/>
                    <w:sz w:val="16"/>
                    <w:szCs w:val="16"/>
                    <w:lang w:val="pt-PT"/>
                  </w:rPr>
                  <m:t>ln</m:t>
                </m:r>
                <m:sSub>
                  <m:sSubPr>
                    <m:ctrlPr>
                      <w:rPr>
                        <w:rFonts w:ascii="Cambria Math" w:eastAsia="Times New Roman" w:hAnsi="Cambria Math"/>
                        <w:b/>
                        <w:i/>
                        <w:color w:val="000000"/>
                        <w:sz w:val="16"/>
                        <w:szCs w:val="16"/>
                        <w:lang w:val="pt-PT"/>
                      </w:rPr>
                    </m:ctrlPr>
                  </m:sSubPr>
                  <m:e>
                    <m:r>
                      <m:rPr>
                        <m:sty m:val="bi"/>
                      </m:rPr>
                      <w:rPr>
                        <w:rFonts w:ascii="Cambria Math" w:eastAsia="Times New Roman" w:hAnsi="Cambria Math"/>
                        <w:color w:val="000000"/>
                        <w:sz w:val="16"/>
                        <w:szCs w:val="16"/>
                        <w:lang w:val="pt-PT"/>
                      </w:rPr>
                      <m:t>W</m:t>
                    </m:r>
                  </m:e>
                  <m:sub>
                    <m:r>
                      <m:rPr>
                        <m:sty m:val="bi"/>
                      </m:rPr>
                      <w:rPr>
                        <w:rFonts w:ascii="Cambria Math" w:eastAsia="Times New Roman" w:hAnsi="Cambria Math"/>
                        <w:color w:val="000000"/>
                        <w:sz w:val="16"/>
                        <w:szCs w:val="16"/>
                        <w:lang w:val="pt-PT"/>
                      </w:rPr>
                      <m:t>L</m:t>
                    </m:r>
                  </m:sub>
                </m:sSub>
              </m:oMath>
            </m:oMathPara>
          </w:p>
        </w:tc>
        <w:tc>
          <w:tcPr>
            <w:tcW w:w="991" w:type="dxa"/>
            <w:tcBorders>
              <w:top w:val="single" w:sz="4" w:space="0" w:color="auto"/>
              <w:left w:val="nil"/>
              <w:bottom w:val="single" w:sz="4" w:space="0" w:color="auto"/>
              <w:right w:val="nil"/>
            </w:tcBorders>
          </w:tcPr>
          <w:p w:rsidR="006B0CD0" w:rsidRDefault="006B0CD0">
            <w:pPr>
              <w:spacing w:line="360" w:lineRule="auto"/>
              <w:rPr>
                <w:rFonts w:ascii="Times New Roman" w:eastAsia="Times New Roman" w:hAnsi="Times New Roman"/>
                <w:b/>
                <w:color w:val="000000"/>
                <w:sz w:val="16"/>
                <w:szCs w:val="16"/>
                <w:lang w:val="pt-PT"/>
              </w:rPr>
            </w:pPr>
          </w:p>
          <w:p w:rsidR="006B0CD0" w:rsidRDefault="006B0CD0">
            <w:pPr>
              <w:spacing w:line="360" w:lineRule="auto"/>
              <w:rPr>
                <w:rFonts w:ascii="Times New Roman" w:hAnsi="Times New Roman"/>
                <w:b/>
                <w:color w:val="000000"/>
                <w:sz w:val="16"/>
                <w:szCs w:val="16"/>
                <w:lang w:val="pt-PT"/>
              </w:rPr>
            </w:pPr>
            <m:oMathPara>
              <m:oMath>
                <m:r>
                  <m:rPr>
                    <m:sty m:val="bi"/>
                  </m:rPr>
                  <w:rPr>
                    <w:rFonts w:ascii="Cambria Math" w:eastAsia="Times New Roman" w:hAnsi="Cambria Math"/>
                    <w:color w:val="000000"/>
                    <w:sz w:val="16"/>
                    <w:szCs w:val="16"/>
                    <w:lang w:val="pt-PT"/>
                  </w:rPr>
                  <m:t>ln</m:t>
                </m:r>
                <m:sSub>
                  <m:sSubPr>
                    <m:ctrlPr>
                      <w:rPr>
                        <w:rFonts w:ascii="Cambria Math" w:eastAsia="Times New Roman" w:hAnsi="Cambria Math"/>
                        <w:b/>
                        <w:i/>
                        <w:color w:val="000000"/>
                        <w:sz w:val="16"/>
                        <w:szCs w:val="16"/>
                        <w:lang w:val="pt-PT"/>
                      </w:rPr>
                    </m:ctrlPr>
                  </m:sSubPr>
                  <m:e>
                    <m:r>
                      <m:rPr>
                        <m:sty m:val="bi"/>
                      </m:rPr>
                      <w:rPr>
                        <w:rFonts w:ascii="Cambria Math" w:eastAsia="Times New Roman" w:hAnsi="Cambria Math"/>
                        <w:color w:val="000000"/>
                        <w:sz w:val="16"/>
                        <w:szCs w:val="16"/>
                        <w:lang w:val="pt-PT"/>
                      </w:rPr>
                      <m:t>W</m:t>
                    </m:r>
                  </m:e>
                  <m:sub>
                    <m:r>
                      <m:rPr>
                        <m:sty m:val="bi"/>
                      </m:rPr>
                      <w:rPr>
                        <w:rFonts w:ascii="Cambria Math" w:eastAsia="Times New Roman" w:hAnsi="Cambria Math"/>
                        <w:color w:val="000000"/>
                        <w:sz w:val="16"/>
                        <w:szCs w:val="16"/>
                        <w:lang w:val="pt-PT"/>
                      </w:rPr>
                      <m:t>K</m:t>
                    </m:r>
                  </m:sub>
                </m:sSub>
              </m:oMath>
            </m:oMathPara>
          </w:p>
        </w:tc>
        <w:tc>
          <w:tcPr>
            <w:tcW w:w="849" w:type="dxa"/>
            <w:tcBorders>
              <w:top w:val="single" w:sz="4" w:space="0" w:color="auto"/>
              <w:left w:val="nil"/>
              <w:bottom w:val="single" w:sz="4" w:space="0" w:color="auto"/>
              <w:right w:val="nil"/>
            </w:tcBorders>
          </w:tcPr>
          <w:p w:rsidR="006B0CD0" w:rsidRDefault="006B0CD0">
            <w:pPr>
              <w:spacing w:line="360" w:lineRule="auto"/>
              <w:rPr>
                <w:rFonts w:ascii="Times New Roman" w:eastAsia="Times New Roman" w:hAnsi="Times New Roman"/>
                <w:b/>
                <w:color w:val="000000"/>
                <w:sz w:val="16"/>
                <w:szCs w:val="16"/>
                <w:lang w:val="pt-PT"/>
              </w:rPr>
            </w:pPr>
          </w:p>
          <w:p w:rsidR="006B0CD0" w:rsidRDefault="006B0CD0">
            <w:pPr>
              <w:spacing w:line="360" w:lineRule="auto"/>
              <w:rPr>
                <w:rFonts w:ascii="Times New Roman" w:hAnsi="Times New Roman"/>
                <w:b/>
                <w:color w:val="000000"/>
                <w:sz w:val="16"/>
                <w:szCs w:val="16"/>
                <w:lang w:val="pt-PT"/>
              </w:rPr>
            </w:pPr>
            <m:oMathPara>
              <m:oMath>
                <m:r>
                  <m:rPr>
                    <m:sty m:val="bi"/>
                  </m:rPr>
                  <w:rPr>
                    <w:rFonts w:ascii="Cambria Math" w:eastAsia="Times New Roman" w:hAnsi="Cambria Math"/>
                    <w:color w:val="000000"/>
                    <w:sz w:val="16"/>
                    <w:szCs w:val="16"/>
                    <w:lang w:val="pt-PT"/>
                  </w:rPr>
                  <m:t>ln</m:t>
                </m:r>
                <m:sSub>
                  <m:sSubPr>
                    <m:ctrlPr>
                      <w:rPr>
                        <w:rFonts w:ascii="Cambria Math" w:eastAsia="Times New Roman" w:hAnsi="Cambria Math"/>
                        <w:b/>
                        <w:i/>
                        <w:color w:val="000000"/>
                        <w:sz w:val="16"/>
                        <w:szCs w:val="16"/>
                        <w:lang w:val="pt-PT"/>
                      </w:rPr>
                    </m:ctrlPr>
                  </m:sSubPr>
                  <m:e>
                    <m:r>
                      <m:rPr>
                        <m:sty m:val="bi"/>
                      </m:rPr>
                      <w:rPr>
                        <w:rFonts w:ascii="Cambria Math" w:eastAsia="Times New Roman" w:hAnsi="Cambria Math"/>
                        <w:color w:val="000000"/>
                        <w:sz w:val="16"/>
                        <w:szCs w:val="16"/>
                        <w:lang w:val="pt-PT"/>
                      </w:rPr>
                      <m:t>W</m:t>
                    </m:r>
                  </m:e>
                  <m:sub>
                    <m:r>
                      <m:rPr>
                        <m:sty m:val="bi"/>
                      </m:rPr>
                      <w:rPr>
                        <w:rFonts w:ascii="Cambria Math" w:eastAsia="Times New Roman" w:hAnsi="Cambria Math"/>
                        <w:color w:val="000000"/>
                        <w:sz w:val="16"/>
                        <w:szCs w:val="16"/>
                        <w:lang w:val="pt-PT"/>
                      </w:rPr>
                      <m:t>F</m:t>
                    </m:r>
                  </m:sub>
                </m:sSub>
              </m:oMath>
            </m:oMathPara>
          </w:p>
        </w:tc>
        <w:tc>
          <w:tcPr>
            <w:tcW w:w="851" w:type="dxa"/>
            <w:tcBorders>
              <w:top w:val="single" w:sz="4" w:space="0" w:color="auto"/>
              <w:left w:val="nil"/>
              <w:bottom w:val="single" w:sz="4" w:space="0" w:color="auto"/>
              <w:right w:val="nil"/>
            </w:tcBorders>
          </w:tcPr>
          <w:p w:rsidR="006B0CD0" w:rsidRDefault="006B0CD0">
            <w:pPr>
              <w:spacing w:line="360" w:lineRule="auto"/>
              <w:rPr>
                <w:rFonts w:ascii="Times New Roman" w:eastAsia="Times New Roman" w:hAnsi="Times New Roman"/>
                <w:b/>
                <w:color w:val="000000"/>
                <w:sz w:val="16"/>
                <w:szCs w:val="16"/>
                <w:lang w:val="pt-PT"/>
              </w:rPr>
            </w:pPr>
          </w:p>
          <w:p w:rsidR="006B0CD0" w:rsidRDefault="006B0CD0">
            <w:pPr>
              <w:spacing w:line="360" w:lineRule="auto"/>
              <w:rPr>
                <w:rFonts w:ascii="Times New Roman" w:hAnsi="Times New Roman"/>
                <w:b/>
                <w:color w:val="000000"/>
                <w:sz w:val="16"/>
                <w:szCs w:val="16"/>
                <w:lang w:val="pt-PT"/>
              </w:rPr>
            </w:pPr>
            <m:oMathPara>
              <m:oMath>
                <m:r>
                  <m:rPr>
                    <m:sty m:val="bi"/>
                  </m:rPr>
                  <w:rPr>
                    <w:rFonts w:ascii="Cambria Math" w:eastAsia="Times New Roman" w:hAnsi="Cambria Math"/>
                    <w:color w:val="000000"/>
                    <w:sz w:val="16"/>
                    <w:szCs w:val="16"/>
                    <w:lang w:val="pt-PT"/>
                  </w:rPr>
                  <m:t>ln(DTD)</m:t>
                </m:r>
              </m:oMath>
            </m:oMathPara>
          </w:p>
        </w:tc>
        <w:tc>
          <w:tcPr>
            <w:tcW w:w="850" w:type="dxa"/>
            <w:tcBorders>
              <w:top w:val="single" w:sz="4" w:space="0" w:color="auto"/>
              <w:left w:val="nil"/>
              <w:bottom w:val="single" w:sz="4" w:space="0" w:color="auto"/>
              <w:right w:val="nil"/>
            </w:tcBorders>
          </w:tcPr>
          <w:p w:rsidR="006B0CD0" w:rsidRDefault="006B0CD0">
            <w:pPr>
              <w:spacing w:line="360" w:lineRule="auto"/>
              <w:rPr>
                <w:rFonts w:ascii="Times New Roman" w:eastAsia="Times New Roman" w:hAnsi="Times New Roman"/>
                <w:b/>
                <w:color w:val="000000"/>
                <w:sz w:val="16"/>
                <w:szCs w:val="16"/>
                <w:lang w:val="pt-PT"/>
              </w:rPr>
            </w:pPr>
          </w:p>
          <w:p w:rsidR="006B0CD0" w:rsidRDefault="006B0CD0">
            <w:pPr>
              <w:spacing w:line="360" w:lineRule="auto"/>
              <w:rPr>
                <w:rFonts w:ascii="Times New Roman" w:hAnsi="Times New Roman"/>
                <w:b/>
                <w:color w:val="000000"/>
                <w:sz w:val="16"/>
                <w:szCs w:val="16"/>
                <w:lang w:val="pt-PT"/>
              </w:rPr>
            </w:pPr>
            <m:oMathPara>
              <m:oMathParaPr>
                <m:jc m:val="center"/>
              </m:oMathParaPr>
              <m:oMath>
                <m:r>
                  <m:rPr>
                    <m:sty m:val="bi"/>
                  </m:rPr>
                  <w:rPr>
                    <w:rFonts w:ascii="Cambria Math" w:eastAsia="Times New Roman" w:hAnsi="Cambria Math"/>
                    <w:color w:val="000000"/>
                    <w:sz w:val="16"/>
                    <w:szCs w:val="16"/>
                    <w:lang w:val="pt-PT"/>
                  </w:rPr>
                  <m:t>ln(LA)</m:t>
                </m:r>
              </m:oMath>
            </m:oMathPara>
          </w:p>
        </w:tc>
        <w:tc>
          <w:tcPr>
            <w:tcW w:w="993" w:type="dxa"/>
            <w:tcBorders>
              <w:top w:val="single" w:sz="4" w:space="0" w:color="auto"/>
              <w:left w:val="nil"/>
              <w:bottom w:val="single" w:sz="4" w:space="0" w:color="auto"/>
              <w:right w:val="nil"/>
            </w:tcBorders>
          </w:tcPr>
          <w:p w:rsidR="006B0CD0" w:rsidRDefault="006B0CD0">
            <w:pPr>
              <w:spacing w:line="360" w:lineRule="auto"/>
              <w:rPr>
                <w:rFonts w:ascii="Times New Roman" w:eastAsia="Times New Roman" w:hAnsi="Times New Roman"/>
                <w:b/>
                <w:color w:val="000000"/>
                <w:sz w:val="16"/>
                <w:szCs w:val="16"/>
                <w:lang w:val="pt-PT"/>
              </w:rPr>
            </w:pPr>
          </w:p>
          <w:p w:rsidR="006B0CD0" w:rsidRDefault="006B0CD0">
            <w:pPr>
              <w:spacing w:line="360" w:lineRule="auto"/>
              <w:rPr>
                <w:rFonts w:ascii="Times New Roman" w:hAnsi="Times New Roman"/>
                <w:b/>
                <w:color w:val="000000"/>
                <w:sz w:val="16"/>
                <w:szCs w:val="16"/>
                <w:lang w:val="pt-PT"/>
              </w:rPr>
            </w:pPr>
            <m:oMathPara>
              <m:oMath>
                <m:r>
                  <m:rPr>
                    <m:sty m:val="bi"/>
                  </m:rPr>
                  <w:rPr>
                    <w:rFonts w:ascii="Cambria Math" w:eastAsia="Times New Roman" w:hAnsi="Cambria Math"/>
                    <w:color w:val="000000"/>
                    <w:sz w:val="16"/>
                    <w:szCs w:val="16"/>
                    <w:lang w:val="pt-PT"/>
                  </w:rPr>
                  <m:t>ln(IBL)</m:t>
                </m:r>
              </m:oMath>
            </m:oMathPara>
          </w:p>
        </w:tc>
        <w:tc>
          <w:tcPr>
            <w:tcW w:w="992" w:type="dxa"/>
            <w:tcBorders>
              <w:top w:val="single" w:sz="4" w:space="0" w:color="auto"/>
              <w:left w:val="nil"/>
              <w:bottom w:val="single" w:sz="4" w:space="0" w:color="auto"/>
              <w:right w:val="nil"/>
            </w:tcBorders>
          </w:tcPr>
          <w:p w:rsidR="006B0CD0" w:rsidRDefault="006B0CD0">
            <w:pPr>
              <w:spacing w:line="360" w:lineRule="auto"/>
              <w:rPr>
                <w:rFonts w:ascii="Times New Roman" w:eastAsia="Times New Roman" w:hAnsi="Times New Roman"/>
                <w:b/>
                <w:color w:val="000000"/>
                <w:sz w:val="16"/>
                <w:szCs w:val="16"/>
                <w:lang w:val="pt-PT"/>
              </w:rPr>
            </w:pPr>
          </w:p>
          <w:p w:rsidR="006B0CD0" w:rsidRDefault="006B0CD0">
            <w:pPr>
              <w:spacing w:line="360" w:lineRule="auto"/>
              <w:rPr>
                <w:rFonts w:ascii="Times New Roman" w:hAnsi="Times New Roman"/>
                <w:b/>
                <w:color w:val="000000"/>
                <w:sz w:val="16"/>
                <w:szCs w:val="16"/>
                <w:lang w:val="pt-PT"/>
              </w:rPr>
            </w:pPr>
            <m:oMathPara>
              <m:oMath>
                <m:r>
                  <m:rPr>
                    <m:sty m:val="bi"/>
                  </m:rPr>
                  <w:rPr>
                    <w:rFonts w:ascii="Cambria Math" w:eastAsia="Times New Roman" w:hAnsi="Cambria Math"/>
                    <w:color w:val="000000"/>
                    <w:sz w:val="16"/>
                    <w:szCs w:val="16"/>
                    <w:lang w:val="pt-PT"/>
                  </w:rPr>
                  <m:t>ln(OBSA)</m:t>
                </m:r>
              </m:oMath>
            </m:oMathPara>
          </w:p>
        </w:tc>
        <w:tc>
          <w:tcPr>
            <w:tcW w:w="850" w:type="dxa"/>
            <w:tcBorders>
              <w:top w:val="single" w:sz="4" w:space="0" w:color="auto"/>
              <w:left w:val="nil"/>
              <w:bottom w:val="single" w:sz="4" w:space="0" w:color="auto"/>
              <w:right w:val="nil"/>
            </w:tcBorders>
          </w:tcPr>
          <w:p w:rsidR="006B0CD0" w:rsidRDefault="006B0CD0">
            <w:pPr>
              <w:spacing w:line="360" w:lineRule="auto"/>
              <w:rPr>
                <w:rFonts w:ascii="Times New Roman" w:eastAsia="Times New Roman" w:hAnsi="Times New Roman"/>
                <w:b/>
                <w:color w:val="000000"/>
                <w:sz w:val="16"/>
                <w:szCs w:val="16"/>
                <w:lang w:val="pt-PT"/>
              </w:rPr>
            </w:pPr>
          </w:p>
          <w:p w:rsidR="006B0CD0" w:rsidRDefault="006B0CD0">
            <w:pPr>
              <w:spacing w:line="360" w:lineRule="auto"/>
              <w:rPr>
                <w:rFonts w:ascii="Times New Roman" w:hAnsi="Times New Roman"/>
                <w:b/>
                <w:color w:val="000000"/>
                <w:sz w:val="16"/>
                <w:szCs w:val="16"/>
                <w:lang w:val="pt-PT"/>
              </w:rPr>
            </w:pPr>
            <m:oMathPara>
              <m:oMath>
                <m:r>
                  <m:rPr>
                    <m:sty m:val="bi"/>
                  </m:rPr>
                  <w:rPr>
                    <w:rFonts w:ascii="Cambria Math" w:eastAsia="Times New Roman" w:hAnsi="Cambria Math"/>
                    <w:color w:val="000000"/>
                    <w:sz w:val="16"/>
                    <w:szCs w:val="16"/>
                    <w:lang w:val="pt-PT"/>
                  </w:rPr>
                  <m:t>ln(AB)</m:t>
                </m:r>
              </m:oMath>
            </m:oMathPara>
          </w:p>
        </w:tc>
        <w:tc>
          <w:tcPr>
            <w:tcW w:w="993" w:type="dxa"/>
            <w:tcBorders>
              <w:top w:val="single" w:sz="4" w:space="0" w:color="auto"/>
              <w:left w:val="nil"/>
              <w:bottom w:val="single" w:sz="4" w:space="0" w:color="auto"/>
              <w:right w:val="nil"/>
            </w:tcBorders>
          </w:tcPr>
          <w:p w:rsidR="006B0CD0" w:rsidRDefault="006B0CD0">
            <w:pPr>
              <w:spacing w:line="360" w:lineRule="auto"/>
              <w:rPr>
                <w:rFonts w:ascii="Times New Roman" w:eastAsia="Times New Roman" w:hAnsi="Times New Roman"/>
                <w:b/>
                <w:color w:val="000000"/>
                <w:sz w:val="16"/>
                <w:szCs w:val="16"/>
                <w:lang w:val="pt-PT"/>
              </w:rPr>
            </w:pPr>
          </w:p>
          <w:p w:rsidR="006B0CD0" w:rsidRDefault="006B0CD0">
            <w:pPr>
              <w:spacing w:line="360" w:lineRule="auto"/>
              <w:rPr>
                <w:rFonts w:ascii="Times New Roman" w:eastAsia="Times New Roman" w:hAnsi="Times New Roman"/>
                <w:b/>
                <w:color w:val="000000"/>
                <w:sz w:val="16"/>
                <w:szCs w:val="16"/>
                <w:lang w:val="pt-PT"/>
              </w:rPr>
            </w:pPr>
            <m:oMathPara>
              <m:oMath>
                <m:r>
                  <m:rPr>
                    <m:sty m:val="bi"/>
                  </m:rPr>
                  <w:rPr>
                    <w:rFonts w:ascii="Cambria Math" w:eastAsia="Times New Roman" w:hAnsi="Cambria Math"/>
                    <w:color w:val="000000"/>
                    <w:sz w:val="16"/>
                    <w:szCs w:val="16"/>
                    <w:lang w:val="pt-PT"/>
                  </w:rPr>
                  <m:t>ln</m:t>
                </m:r>
                <m:d>
                  <m:dPr>
                    <m:ctrlPr>
                      <w:rPr>
                        <w:rFonts w:ascii="Cambria Math" w:eastAsia="Times New Roman" w:hAnsi="Cambria Math"/>
                        <w:b/>
                        <w:i/>
                        <w:color w:val="000000"/>
                        <w:sz w:val="16"/>
                        <w:szCs w:val="16"/>
                        <w:lang w:val="pt-PT"/>
                      </w:rPr>
                    </m:ctrlPr>
                  </m:dPr>
                  <m:e>
                    <m:r>
                      <m:rPr>
                        <m:sty m:val="bi"/>
                      </m:rPr>
                      <w:rPr>
                        <w:rFonts w:ascii="Cambria Math" w:eastAsia="Times New Roman" w:hAnsi="Cambria Math"/>
                        <w:color w:val="000000"/>
                        <w:sz w:val="16"/>
                        <w:szCs w:val="16"/>
                        <w:lang w:val="pt-PT"/>
                      </w:rPr>
                      <m:t>KA</m:t>
                    </m:r>
                  </m:e>
                </m:d>
              </m:oMath>
            </m:oMathPara>
          </w:p>
        </w:tc>
        <w:tc>
          <w:tcPr>
            <w:tcW w:w="992" w:type="dxa"/>
            <w:tcBorders>
              <w:top w:val="single" w:sz="4" w:space="0" w:color="auto"/>
              <w:left w:val="nil"/>
              <w:bottom w:val="single" w:sz="4" w:space="0" w:color="auto"/>
              <w:right w:val="nil"/>
            </w:tcBorders>
          </w:tcPr>
          <w:p w:rsidR="006B0CD0" w:rsidRDefault="006B0CD0">
            <w:pPr>
              <w:spacing w:line="360" w:lineRule="auto"/>
              <w:rPr>
                <w:rFonts w:ascii="Times New Roman" w:eastAsia="Times New Roman" w:hAnsi="Times New Roman"/>
                <w:b/>
                <w:color w:val="000000"/>
                <w:sz w:val="16"/>
                <w:szCs w:val="16"/>
                <w:lang w:val="pt-PT"/>
              </w:rPr>
            </w:pPr>
          </w:p>
          <w:p w:rsidR="006B0CD0" w:rsidRDefault="006B0CD0">
            <w:pPr>
              <w:spacing w:line="360" w:lineRule="auto"/>
              <w:rPr>
                <w:rFonts w:ascii="Times New Roman" w:eastAsia="Times New Roman" w:hAnsi="Times New Roman"/>
                <w:b/>
                <w:color w:val="000000"/>
                <w:sz w:val="16"/>
                <w:szCs w:val="16"/>
                <w:lang w:val="pt-PT"/>
              </w:rPr>
            </w:pPr>
            <m:oMathPara>
              <m:oMath>
                <m:r>
                  <m:rPr>
                    <m:sty m:val="bi"/>
                  </m:rPr>
                  <w:rPr>
                    <w:rFonts w:ascii="Cambria Math" w:eastAsia="Times New Roman" w:hAnsi="Cambria Math"/>
                    <w:color w:val="000000"/>
                    <w:sz w:val="16"/>
                    <w:szCs w:val="16"/>
                    <w:lang w:val="pt-PT"/>
                  </w:rPr>
                  <m:t>ln(OIIR)</m:t>
                </m:r>
              </m:oMath>
            </m:oMathPara>
          </w:p>
        </w:tc>
        <w:tc>
          <w:tcPr>
            <w:tcW w:w="850"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b/>
                <w:i/>
                <w:color w:val="000000"/>
                <w:sz w:val="16"/>
                <w:szCs w:val="16"/>
                <w:lang w:val="pt-PT"/>
              </w:rPr>
            </w:pPr>
          </w:p>
          <w:p w:rsidR="006B0CD0" w:rsidRDefault="006B0CD0">
            <w:pPr>
              <w:spacing w:line="360" w:lineRule="auto"/>
              <w:jc w:val="center"/>
              <w:rPr>
                <w:rFonts w:ascii="Times New Roman" w:hAnsi="Times New Roman"/>
                <w:b/>
                <w:i/>
                <w:color w:val="000000"/>
                <w:sz w:val="16"/>
                <w:szCs w:val="16"/>
                <w:lang w:val="pt-PT"/>
              </w:rPr>
            </w:pPr>
            <w:r>
              <w:rPr>
                <w:rFonts w:ascii="Times New Roman" w:hAnsi="Times New Roman"/>
                <w:b/>
                <w:i/>
                <w:color w:val="000000"/>
                <w:sz w:val="16"/>
                <w:szCs w:val="16"/>
                <w:lang w:val="pt-PT"/>
              </w:rPr>
              <w:t>H</w:t>
            </w:r>
          </w:p>
          <w:p w:rsidR="006B0CD0" w:rsidRDefault="006B0CD0">
            <w:pPr>
              <w:spacing w:line="360" w:lineRule="auto"/>
              <w:rPr>
                <w:rFonts w:ascii="Times New Roman" w:hAnsi="Times New Roman"/>
                <w:b/>
                <w:color w:val="000000"/>
                <w:sz w:val="16"/>
                <w:szCs w:val="16"/>
                <w:lang w:val="pt-PT"/>
              </w:rPr>
            </w:pPr>
          </w:p>
        </w:tc>
        <w:tc>
          <w:tcPr>
            <w:tcW w:w="851"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b/>
                <w:color w:val="000000"/>
                <w:sz w:val="16"/>
                <w:szCs w:val="16"/>
                <w:lang w:val="pt-PT"/>
              </w:rPr>
            </w:pPr>
            <w:r>
              <w:rPr>
                <w:rFonts w:ascii="Times New Roman" w:hAnsi="Times New Roman"/>
                <w:b/>
                <w:color w:val="000000"/>
                <w:sz w:val="16"/>
                <w:szCs w:val="16"/>
                <w:lang w:val="pt-PT"/>
              </w:rPr>
              <w:t>p-value (H</w:t>
            </w:r>
            <m:oMath>
              <m:r>
                <m:rPr>
                  <m:sty m:val="bi"/>
                </m:rPr>
                <w:rPr>
                  <w:rFonts w:ascii="Cambria Math" w:hAnsi="Cambria Math"/>
                  <w:color w:val="000000"/>
                  <w:sz w:val="16"/>
                  <w:szCs w:val="16"/>
                  <w:lang w:val="pt-PT"/>
                </w:rPr>
                <m:t>≤</m:t>
              </m:r>
            </m:oMath>
            <w:r>
              <w:rPr>
                <w:rFonts w:ascii="Times New Roman" w:hAnsi="Times New Roman"/>
                <w:b/>
                <w:color w:val="000000"/>
                <w:sz w:val="16"/>
                <w:szCs w:val="16"/>
                <w:lang w:val="pt-PT"/>
              </w:rPr>
              <w:t>0)</w:t>
            </w:r>
          </w:p>
        </w:tc>
        <w:tc>
          <w:tcPr>
            <w:tcW w:w="1134"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b/>
                <w:color w:val="000000"/>
                <w:sz w:val="16"/>
                <w:szCs w:val="16"/>
                <w:lang w:val="pt-PT"/>
              </w:rPr>
            </w:pPr>
            <w:r>
              <w:rPr>
                <w:rFonts w:ascii="Times New Roman" w:hAnsi="Times New Roman"/>
                <w:b/>
                <w:i/>
                <w:color w:val="000000"/>
                <w:sz w:val="16"/>
                <w:szCs w:val="16"/>
                <w:lang w:val="pt-PT"/>
              </w:rPr>
              <w:t>p-</w:t>
            </w:r>
            <w:r>
              <w:rPr>
                <w:rFonts w:ascii="Times New Roman" w:hAnsi="Times New Roman"/>
                <w:b/>
                <w:color w:val="000000"/>
                <w:sz w:val="16"/>
                <w:szCs w:val="16"/>
                <w:lang w:val="pt-PT"/>
              </w:rPr>
              <w:t>value</w:t>
            </w:r>
          </w:p>
          <w:p w:rsidR="006B0CD0" w:rsidRDefault="006B0CD0">
            <w:pPr>
              <w:jc w:val="center"/>
              <w:rPr>
                <w:rFonts w:ascii="Times New Roman" w:hAnsi="Times New Roman"/>
                <w:b/>
                <w:color w:val="000000"/>
                <w:sz w:val="16"/>
                <w:szCs w:val="16"/>
                <w:lang w:val="pt-PT"/>
              </w:rPr>
            </w:pPr>
            <w:r>
              <w:rPr>
                <w:rFonts w:ascii="Times New Roman" w:hAnsi="Times New Roman"/>
                <w:b/>
                <w:color w:val="000000"/>
                <w:sz w:val="16"/>
                <w:szCs w:val="16"/>
                <w:lang w:val="pt-PT"/>
              </w:rPr>
              <w:t>(H=1)</w:t>
            </w:r>
          </w:p>
        </w:tc>
        <w:tc>
          <w:tcPr>
            <w:tcW w:w="850"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b/>
                <w:color w:val="000000"/>
                <w:sz w:val="16"/>
                <w:szCs w:val="16"/>
                <w:lang w:val="pt-PT"/>
              </w:rPr>
            </w:pPr>
          </w:p>
          <w:p w:rsidR="006B0CD0" w:rsidRDefault="006B0CD0">
            <w:pPr>
              <w:spacing w:line="360" w:lineRule="auto"/>
              <w:jc w:val="center"/>
              <w:rPr>
                <w:rFonts w:ascii="Times New Roman" w:hAnsi="Times New Roman"/>
                <w:b/>
                <w:color w:val="000000"/>
                <w:sz w:val="16"/>
                <w:szCs w:val="16"/>
                <w:lang w:val="pt-PT"/>
              </w:rPr>
            </w:pPr>
            <w:r>
              <w:rPr>
                <w:rFonts w:ascii="Times New Roman" w:hAnsi="Times New Roman"/>
                <w:b/>
                <w:color w:val="000000"/>
                <w:sz w:val="16"/>
                <w:szCs w:val="16"/>
                <w:lang w:val="pt-PT"/>
              </w:rPr>
              <w:t>R</w:t>
            </w:r>
            <w:r>
              <w:rPr>
                <w:rFonts w:ascii="Times New Roman" w:hAnsi="Times New Roman"/>
                <w:b/>
                <w:color w:val="000000"/>
                <w:sz w:val="16"/>
                <w:szCs w:val="16"/>
                <w:vertAlign w:val="superscript"/>
                <w:lang w:val="pt-PT"/>
              </w:rPr>
              <w:t>2</w:t>
            </w:r>
          </w:p>
          <w:p w:rsidR="006B0CD0" w:rsidRDefault="006B0CD0">
            <w:pPr>
              <w:spacing w:line="360" w:lineRule="auto"/>
              <w:jc w:val="center"/>
              <w:rPr>
                <w:rFonts w:ascii="Times New Roman" w:hAnsi="Times New Roman"/>
                <w:b/>
                <w:color w:val="000000"/>
                <w:sz w:val="16"/>
                <w:szCs w:val="16"/>
                <w:lang w:val="pt-PT"/>
              </w:rPr>
            </w:pPr>
          </w:p>
        </w:tc>
        <w:tc>
          <w:tcPr>
            <w:tcW w:w="709" w:type="dxa"/>
            <w:tcBorders>
              <w:top w:val="single" w:sz="4" w:space="0" w:color="auto"/>
              <w:left w:val="nil"/>
              <w:bottom w:val="single" w:sz="4" w:space="0" w:color="auto"/>
              <w:right w:val="single" w:sz="4" w:space="0" w:color="auto"/>
            </w:tcBorders>
          </w:tcPr>
          <w:p w:rsidR="006B0CD0" w:rsidRDefault="006B0CD0">
            <w:pPr>
              <w:spacing w:line="360" w:lineRule="auto"/>
              <w:jc w:val="center"/>
              <w:rPr>
                <w:rFonts w:ascii="Times New Roman" w:hAnsi="Times New Roman"/>
                <w:b/>
                <w:color w:val="000000"/>
                <w:sz w:val="16"/>
                <w:szCs w:val="16"/>
                <w:lang w:val="pt-PT"/>
              </w:rPr>
            </w:pPr>
          </w:p>
          <w:p w:rsidR="006B0CD0" w:rsidRDefault="006B0CD0">
            <w:pPr>
              <w:spacing w:line="360" w:lineRule="auto"/>
              <w:jc w:val="center"/>
              <w:rPr>
                <w:rFonts w:ascii="Times New Roman" w:hAnsi="Times New Roman"/>
                <w:b/>
                <w:color w:val="000000"/>
                <w:sz w:val="16"/>
                <w:szCs w:val="16"/>
                <w:lang w:val="pt-PT"/>
              </w:rPr>
            </w:pPr>
            <w:r>
              <w:rPr>
                <w:rFonts w:ascii="Times New Roman" w:hAnsi="Times New Roman"/>
                <w:b/>
                <w:color w:val="000000"/>
                <w:sz w:val="16"/>
                <w:szCs w:val="16"/>
                <w:lang w:val="pt-PT"/>
              </w:rPr>
              <w:t>N</w:t>
            </w:r>
          </w:p>
        </w:tc>
      </w:tr>
      <w:tr w:rsidR="006B0CD0" w:rsidTr="00F41B1B">
        <w:trPr>
          <w:jc w:val="center"/>
        </w:trPr>
        <w:tc>
          <w:tcPr>
            <w:tcW w:w="1417" w:type="dxa"/>
            <w:tcBorders>
              <w:top w:val="single" w:sz="4" w:space="0" w:color="auto"/>
              <w:left w:val="single" w:sz="4" w:space="0" w:color="auto"/>
              <w:bottom w:val="single" w:sz="4" w:space="0" w:color="auto"/>
              <w:right w:val="single" w:sz="4" w:space="0" w:color="auto"/>
            </w:tcBorders>
            <w:hideMark/>
          </w:tcPr>
          <w:p w:rsidR="006B0CD0" w:rsidRDefault="00D36D34">
            <w:pPr>
              <w:rPr>
                <w:rFonts w:ascii="Times New Roman" w:eastAsiaTheme="minorEastAsia" w:hAnsi="Times New Roman"/>
                <w:color w:val="000000"/>
                <w:sz w:val="16"/>
                <w:szCs w:val="16"/>
                <w:lang w:val="pt-PT"/>
              </w:rPr>
            </w:pPr>
            <m:oMath>
              <m:d>
                <m:dPr>
                  <m:ctrlPr>
                    <w:rPr>
                      <w:rFonts w:ascii="Cambria Math" w:hAnsi="Cambria Math"/>
                      <w:i/>
                      <w:color w:val="000000"/>
                      <w:sz w:val="16"/>
                      <w:szCs w:val="16"/>
                      <w:lang w:val="pt-PT"/>
                    </w:rPr>
                  </m:ctrlPr>
                </m:dPr>
                <m:e>
                  <m:r>
                    <w:rPr>
                      <w:rFonts w:ascii="Cambria Math" w:hAnsi="Cambria Math"/>
                      <w:color w:val="000000"/>
                      <w:sz w:val="16"/>
                      <w:szCs w:val="16"/>
                      <w:lang w:val="pt-PT"/>
                    </w:rPr>
                    <m:t>1</m:t>
                  </m:r>
                </m:e>
              </m:d>
            </m:oMath>
            <w:r w:rsidR="006B0CD0">
              <w:rPr>
                <w:rFonts w:ascii="Times New Roman" w:eastAsiaTheme="minorEastAsia" w:hAnsi="Times New Roman"/>
                <w:color w:val="000000"/>
                <w:sz w:val="16"/>
                <w:szCs w:val="16"/>
                <w:lang w:val="pt-PT"/>
              </w:rPr>
              <w:t xml:space="preserve">     </w:t>
            </w:r>
            <m:oMath>
              <m:r>
                <m:rPr>
                  <m:sty m:val="bi"/>
                </m:rPr>
                <w:rPr>
                  <w:rFonts w:ascii="Cambria Math" w:hAnsi="Cambria Math"/>
                  <w:color w:val="000000"/>
                  <w:sz w:val="16"/>
                  <w:szCs w:val="16"/>
                  <w:lang w:val="pt-PT"/>
                </w:rPr>
                <m:t>ln(ROA)</m:t>
              </m:r>
            </m:oMath>
          </w:p>
          <w:p w:rsidR="006B0CD0" w:rsidRDefault="006B0CD0">
            <w:pPr>
              <w:spacing w:line="360" w:lineRule="auto"/>
              <w:jc w:val="center"/>
              <w:rPr>
                <w:rFonts w:ascii="Times New Roman" w:eastAsia="Times New Roman" w:hAnsi="Times New Roman"/>
                <w:b/>
                <w:color w:val="000000"/>
                <w:sz w:val="16"/>
                <w:szCs w:val="16"/>
                <w:lang w:val="pt-PT"/>
              </w:rPr>
            </w:pPr>
            <w:r>
              <w:rPr>
                <w:rFonts w:ascii="Times New Roman" w:eastAsia="Times New Roman" w:hAnsi="Times New Roman"/>
                <w:b/>
                <w:color w:val="000000"/>
                <w:sz w:val="16"/>
                <w:szCs w:val="16"/>
                <w:lang w:val="pt-PT"/>
              </w:rPr>
              <w:t xml:space="preserve">     (1960-2015)</w:t>
            </w:r>
          </w:p>
        </w:tc>
        <w:tc>
          <w:tcPr>
            <w:tcW w:w="991" w:type="dxa"/>
            <w:tcBorders>
              <w:top w:val="single" w:sz="4" w:space="0" w:color="auto"/>
              <w:left w:val="single" w:sz="4" w:space="0" w:color="auto"/>
              <w:bottom w:val="single" w:sz="4" w:space="0" w:color="auto"/>
              <w:right w:val="nil"/>
            </w:tcBorders>
            <w:hideMark/>
          </w:tcPr>
          <w:p w:rsidR="006B0CD0" w:rsidRDefault="006B0CD0">
            <w:pPr>
              <w:spacing w:line="360" w:lineRule="auto"/>
              <w:jc w:val="center"/>
              <w:rPr>
                <w:rFonts w:ascii="Times New Roman" w:hAnsi="Times New Roman" w:cs="Times New Roman"/>
                <w:sz w:val="16"/>
                <w:szCs w:val="16"/>
                <w:lang w:val="pt-PT"/>
              </w:rPr>
            </w:pPr>
            <w:r>
              <w:rPr>
                <w:rFonts w:ascii="Times New Roman" w:hAnsi="Times New Roman" w:cs="Times New Roman"/>
                <w:sz w:val="16"/>
                <w:szCs w:val="16"/>
                <w:lang w:val="pt-PT"/>
              </w:rPr>
              <w:t>-2.800</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s="Times New Roman"/>
                <w:sz w:val="16"/>
                <w:szCs w:val="16"/>
                <w:lang w:val="pt-PT"/>
              </w:rPr>
              <w:t>(-4.28)*</w:t>
            </w:r>
          </w:p>
        </w:tc>
        <w:tc>
          <w:tcPr>
            <w:tcW w:w="992" w:type="dxa"/>
            <w:tcBorders>
              <w:top w:val="single" w:sz="4" w:space="0" w:color="auto"/>
              <w:left w:val="nil"/>
              <w:bottom w:val="single" w:sz="4" w:space="0" w:color="auto"/>
              <w:right w:val="nil"/>
            </w:tcBorders>
            <w:vAlign w:val="center"/>
            <w:hideMark/>
          </w:tcPr>
          <w:p w:rsidR="006B0CD0" w:rsidRDefault="006B0CD0">
            <w:pPr>
              <w:spacing w:line="360" w:lineRule="auto"/>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 xml:space="preserve">     -0.095</w:t>
            </w:r>
          </w:p>
          <w:p w:rsidR="006B0CD0" w:rsidRDefault="006B0CD0">
            <w:pPr>
              <w:spacing w:line="360" w:lineRule="auto"/>
              <w:jc w:val="center"/>
              <w:rPr>
                <w:rFonts w:ascii="Times New Roman" w:hAnsi="Times New Roman" w:cs="Times New Roman"/>
                <w:noProof w:val="0"/>
                <w:color w:val="000000"/>
                <w:sz w:val="16"/>
                <w:szCs w:val="16"/>
                <w:lang w:val="pt-PT"/>
              </w:rPr>
            </w:pPr>
            <w:r>
              <w:rPr>
                <w:rFonts w:ascii="Times New Roman" w:hAnsi="Times New Roman" w:cs="Times New Roman"/>
                <w:color w:val="000000"/>
                <w:sz w:val="16"/>
                <w:szCs w:val="16"/>
                <w:lang w:val="pt-PT"/>
              </w:rPr>
              <w:t>(-0.80)</w:t>
            </w:r>
          </w:p>
        </w:tc>
        <w:tc>
          <w:tcPr>
            <w:tcW w:w="991"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0.075 (2.88)*</w:t>
            </w:r>
          </w:p>
        </w:tc>
        <w:tc>
          <w:tcPr>
            <w:tcW w:w="849"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0.001 (0.02)</w:t>
            </w:r>
          </w:p>
        </w:tc>
        <w:tc>
          <w:tcPr>
            <w:tcW w:w="851"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-0.102</w:t>
            </w:r>
          </w:p>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(-1.34)</w:t>
            </w:r>
          </w:p>
        </w:tc>
        <w:tc>
          <w:tcPr>
            <w:tcW w:w="850"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-0.077</w:t>
            </w:r>
          </w:p>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(-0.67)</w:t>
            </w:r>
          </w:p>
        </w:tc>
        <w:tc>
          <w:tcPr>
            <w:tcW w:w="993"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0.066 (2.01)**</w:t>
            </w:r>
          </w:p>
        </w:tc>
        <w:tc>
          <w:tcPr>
            <w:tcW w:w="992"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-0.228</w:t>
            </w:r>
          </w:p>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(-4.28)*</w:t>
            </w:r>
          </w:p>
        </w:tc>
        <w:tc>
          <w:tcPr>
            <w:tcW w:w="850"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-0.072</w:t>
            </w:r>
          </w:p>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(-3.73)*</w:t>
            </w:r>
          </w:p>
        </w:tc>
        <w:tc>
          <w:tcPr>
            <w:tcW w:w="993"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0.671 (9.24)*</w:t>
            </w:r>
          </w:p>
        </w:tc>
        <w:tc>
          <w:tcPr>
            <w:tcW w:w="992"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0.207 (3.40)*</w:t>
            </w:r>
          </w:p>
        </w:tc>
        <w:tc>
          <w:tcPr>
            <w:tcW w:w="850"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s="Times New Roman"/>
                <w:b/>
                <w:sz w:val="18"/>
                <w:szCs w:val="18"/>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s="Times New Roman"/>
                <w:sz w:val="18"/>
                <w:szCs w:val="18"/>
                <w:lang w:val="pt-PT"/>
              </w:rPr>
              <w:t>0.8719</w:t>
            </w:r>
          </w:p>
        </w:tc>
        <w:tc>
          <w:tcPr>
            <w:tcW w:w="851"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w:t>
            </w:r>
          </w:p>
        </w:tc>
        <w:tc>
          <w:tcPr>
            <w:tcW w:w="1134"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w:t>
            </w:r>
          </w:p>
        </w:tc>
        <w:tc>
          <w:tcPr>
            <w:tcW w:w="850"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s="Times New Roman"/>
                <w:sz w:val="18"/>
                <w:szCs w:val="18"/>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s="Times New Roman"/>
                <w:sz w:val="18"/>
                <w:szCs w:val="18"/>
                <w:lang w:val="pt-PT"/>
              </w:rPr>
              <w:t>0.2776</w:t>
            </w:r>
          </w:p>
        </w:tc>
        <w:tc>
          <w:tcPr>
            <w:tcW w:w="709" w:type="dxa"/>
            <w:tcBorders>
              <w:top w:val="single" w:sz="4" w:space="0" w:color="auto"/>
              <w:left w:val="nil"/>
              <w:bottom w:val="single" w:sz="4" w:space="0" w:color="auto"/>
              <w:right w:val="single" w:sz="4" w:space="0" w:color="auto"/>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s="Times New Roman"/>
                <w:sz w:val="18"/>
                <w:szCs w:val="18"/>
                <w:lang w:val="pt-PT"/>
              </w:rPr>
              <w:t>8680</w:t>
            </w:r>
          </w:p>
        </w:tc>
      </w:tr>
      <w:tr w:rsidR="006B0CD0" w:rsidTr="00F41B1B">
        <w:trPr>
          <w:jc w:val="center"/>
        </w:trPr>
        <w:tc>
          <w:tcPr>
            <w:tcW w:w="1417" w:type="dxa"/>
            <w:tcBorders>
              <w:top w:val="single" w:sz="4" w:space="0" w:color="auto"/>
              <w:left w:val="single" w:sz="4" w:space="0" w:color="auto"/>
              <w:bottom w:val="single" w:sz="4" w:space="0" w:color="auto"/>
              <w:right w:val="single" w:sz="4" w:space="0" w:color="auto"/>
            </w:tcBorders>
            <w:hideMark/>
          </w:tcPr>
          <w:p w:rsidR="006B0CD0" w:rsidRDefault="006B0CD0">
            <w:pPr>
              <w:rPr>
                <w:rFonts w:ascii="Times New Roman" w:hAnsi="Times New Roman"/>
                <w:color w:val="000000"/>
                <w:sz w:val="16"/>
                <w:szCs w:val="16"/>
                <w:lang w:val="pt-PT"/>
              </w:rPr>
            </w:pPr>
            <m:oMath>
              <m:r>
                <w:rPr>
                  <w:rFonts w:ascii="Cambria Math" w:hAnsi="Cambria Math"/>
                  <w:color w:val="000000"/>
                  <w:sz w:val="16"/>
                  <w:szCs w:val="16"/>
                  <w:lang w:val="pt-PT"/>
                </w:rPr>
                <m:t>(2)</m:t>
              </m:r>
            </m:oMath>
            <w:r>
              <w:rPr>
                <w:rFonts w:ascii="Times New Roman" w:hAnsi="Times New Roman"/>
                <w:color w:val="000000"/>
                <w:sz w:val="16"/>
                <w:szCs w:val="16"/>
                <w:lang w:val="pt-PT"/>
              </w:rPr>
              <w:t xml:space="preserve">  </w:t>
            </w:r>
            <w:r>
              <w:rPr>
                <w:rFonts w:ascii="Times New Roman" w:eastAsiaTheme="minorEastAsia" w:hAnsi="Times New Roman"/>
                <w:color w:val="000000"/>
                <w:sz w:val="16"/>
                <w:szCs w:val="16"/>
                <w:lang w:val="pt-PT"/>
              </w:rPr>
              <w:t xml:space="preserve">   </w:t>
            </w:r>
            <m:oMath>
              <m:r>
                <m:rPr>
                  <m:sty m:val="bi"/>
                </m:rPr>
                <w:rPr>
                  <w:rFonts w:ascii="Cambria Math" w:hAnsi="Cambria Math"/>
                  <w:color w:val="000000"/>
                  <w:sz w:val="16"/>
                  <w:szCs w:val="16"/>
                  <w:lang w:val="pt-PT"/>
                </w:rPr>
                <m:t>ln(ROA)</m:t>
              </m:r>
            </m:oMath>
          </w:p>
          <w:p w:rsidR="006B0CD0" w:rsidRDefault="006B0CD0">
            <w:pPr>
              <w:spacing w:line="360" w:lineRule="auto"/>
              <w:jc w:val="center"/>
              <w:rPr>
                <w:rFonts w:ascii="Times New Roman" w:eastAsia="Times New Roman" w:hAnsi="Times New Roman"/>
                <w:b/>
                <w:color w:val="000000"/>
                <w:sz w:val="16"/>
                <w:szCs w:val="16"/>
                <w:lang w:val="pt-PT"/>
              </w:rPr>
            </w:pPr>
            <w:r>
              <w:rPr>
                <w:rFonts w:ascii="Times New Roman" w:eastAsia="Times New Roman" w:hAnsi="Times New Roman"/>
                <w:b/>
                <w:color w:val="000000"/>
                <w:sz w:val="16"/>
                <w:szCs w:val="16"/>
                <w:lang w:val="pt-PT"/>
              </w:rPr>
              <w:t xml:space="preserve">      (1960-1975)</w:t>
            </w:r>
          </w:p>
        </w:tc>
        <w:tc>
          <w:tcPr>
            <w:tcW w:w="991" w:type="dxa"/>
            <w:tcBorders>
              <w:top w:val="single" w:sz="4" w:space="0" w:color="auto"/>
              <w:left w:val="single" w:sz="4" w:space="0" w:color="auto"/>
              <w:bottom w:val="single" w:sz="4" w:space="0" w:color="auto"/>
              <w:right w:val="nil"/>
            </w:tcBorders>
            <w:hideMark/>
          </w:tcPr>
          <w:p w:rsidR="006B0CD0" w:rsidRDefault="006B0CD0">
            <w:pPr>
              <w:spacing w:line="360" w:lineRule="auto"/>
              <w:jc w:val="center"/>
              <w:rPr>
                <w:rFonts w:ascii="Times New Roman" w:hAnsi="Times New Roman" w:cs="Times New Roman"/>
                <w:sz w:val="16"/>
                <w:szCs w:val="16"/>
                <w:lang w:val="pt-PT"/>
              </w:rPr>
            </w:pPr>
            <w:r>
              <w:rPr>
                <w:rFonts w:ascii="Times New Roman" w:hAnsi="Times New Roman" w:cs="Times New Roman"/>
                <w:sz w:val="16"/>
                <w:szCs w:val="16"/>
                <w:lang w:val="pt-PT"/>
              </w:rPr>
              <w:t>-1.834</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s="Times New Roman"/>
                <w:sz w:val="16"/>
                <w:szCs w:val="16"/>
                <w:lang w:val="pt-PT"/>
              </w:rPr>
              <w:t>(-2.48)**</w:t>
            </w:r>
          </w:p>
        </w:tc>
        <w:tc>
          <w:tcPr>
            <w:tcW w:w="992"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noProof w:val="0"/>
                <w:color w:val="000000"/>
                <w:sz w:val="16"/>
                <w:szCs w:val="16"/>
                <w:lang w:val="pt-PT"/>
              </w:rPr>
            </w:pPr>
            <w:r>
              <w:rPr>
                <w:rFonts w:ascii="Times New Roman" w:hAnsi="Times New Roman" w:cs="Times New Roman"/>
                <w:color w:val="000000"/>
                <w:sz w:val="16"/>
                <w:szCs w:val="16"/>
                <w:lang w:val="pt-PT"/>
              </w:rPr>
              <w:t>0.032 (0.20)</w:t>
            </w:r>
          </w:p>
        </w:tc>
        <w:tc>
          <w:tcPr>
            <w:tcW w:w="991"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0.054 (3.93)*</w:t>
            </w:r>
          </w:p>
        </w:tc>
        <w:tc>
          <w:tcPr>
            <w:tcW w:w="849"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-0.106 (-2.19)**</w:t>
            </w:r>
          </w:p>
        </w:tc>
        <w:tc>
          <w:tcPr>
            <w:tcW w:w="851"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0.215 (1.34)</w:t>
            </w:r>
          </w:p>
        </w:tc>
        <w:tc>
          <w:tcPr>
            <w:tcW w:w="850"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0.270 (1.39)</w:t>
            </w:r>
          </w:p>
        </w:tc>
        <w:tc>
          <w:tcPr>
            <w:tcW w:w="993"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0.015 (0.47)</w:t>
            </w:r>
          </w:p>
        </w:tc>
        <w:tc>
          <w:tcPr>
            <w:tcW w:w="992"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0.085 (0.84)</w:t>
            </w:r>
          </w:p>
        </w:tc>
        <w:tc>
          <w:tcPr>
            <w:tcW w:w="850"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-0.231 (-6.22)*</w:t>
            </w:r>
          </w:p>
        </w:tc>
        <w:tc>
          <w:tcPr>
            <w:tcW w:w="993"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0.146 (1.73)***</w:t>
            </w:r>
          </w:p>
        </w:tc>
        <w:tc>
          <w:tcPr>
            <w:tcW w:w="992"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0.085 (1.34)</w:t>
            </w:r>
          </w:p>
        </w:tc>
        <w:tc>
          <w:tcPr>
            <w:tcW w:w="850"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s="Times New Roman"/>
                <w:sz w:val="18"/>
                <w:szCs w:val="18"/>
                <w:lang w:val="pt-PT"/>
              </w:rPr>
              <w:t>0.9055</w:t>
            </w:r>
          </w:p>
        </w:tc>
        <w:tc>
          <w:tcPr>
            <w:tcW w:w="851"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w:t>
            </w:r>
          </w:p>
        </w:tc>
        <w:tc>
          <w:tcPr>
            <w:tcW w:w="1134"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w:t>
            </w:r>
          </w:p>
        </w:tc>
        <w:tc>
          <w:tcPr>
            <w:tcW w:w="850"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s="Times New Roman"/>
                <w:sz w:val="18"/>
                <w:szCs w:val="18"/>
                <w:lang w:val="pt-PT"/>
              </w:rPr>
              <w:t>0.2572</w:t>
            </w:r>
          </w:p>
        </w:tc>
        <w:tc>
          <w:tcPr>
            <w:tcW w:w="709" w:type="dxa"/>
            <w:tcBorders>
              <w:top w:val="single" w:sz="4" w:space="0" w:color="auto"/>
              <w:left w:val="nil"/>
              <w:bottom w:val="single" w:sz="4" w:space="0" w:color="auto"/>
              <w:right w:val="single" w:sz="4" w:space="0" w:color="auto"/>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2610</w:t>
            </w:r>
          </w:p>
        </w:tc>
      </w:tr>
      <w:tr w:rsidR="006B0CD0" w:rsidTr="00F41B1B">
        <w:trPr>
          <w:jc w:val="center"/>
        </w:trPr>
        <w:tc>
          <w:tcPr>
            <w:tcW w:w="1417" w:type="dxa"/>
            <w:tcBorders>
              <w:top w:val="single" w:sz="4" w:space="0" w:color="auto"/>
              <w:left w:val="single" w:sz="4" w:space="0" w:color="auto"/>
              <w:bottom w:val="single" w:sz="4" w:space="0" w:color="auto"/>
              <w:right w:val="single" w:sz="4" w:space="0" w:color="auto"/>
            </w:tcBorders>
            <w:hideMark/>
          </w:tcPr>
          <w:p w:rsidR="006B0CD0" w:rsidRDefault="006B0CD0">
            <w:pPr>
              <w:rPr>
                <w:rFonts w:ascii="Times New Roman" w:hAnsi="Times New Roman"/>
                <w:color w:val="000000"/>
                <w:sz w:val="16"/>
                <w:szCs w:val="16"/>
                <w:lang w:val="pt-PT"/>
              </w:rPr>
            </w:pPr>
            <m:oMath>
              <m:r>
                <w:rPr>
                  <w:rFonts w:ascii="Cambria Math" w:hAnsi="Cambria Math"/>
                  <w:color w:val="000000"/>
                  <w:sz w:val="16"/>
                  <w:szCs w:val="16"/>
                  <w:lang w:val="pt-PT"/>
                </w:rPr>
                <m:t>(3)</m:t>
              </m:r>
            </m:oMath>
            <w:r>
              <w:rPr>
                <w:rFonts w:ascii="Times New Roman" w:hAnsi="Times New Roman"/>
                <w:color w:val="000000"/>
                <w:sz w:val="16"/>
                <w:szCs w:val="16"/>
                <w:lang w:val="pt-PT"/>
              </w:rPr>
              <w:t xml:space="preserve">    </w:t>
            </w:r>
            <m:oMath>
              <m:r>
                <m:rPr>
                  <m:sty m:val="bi"/>
                </m:rPr>
                <w:rPr>
                  <w:rFonts w:ascii="Cambria Math" w:hAnsi="Cambria Math"/>
                  <w:color w:val="000000"/>
                  <w:sz w:val="16"/>
                  <w:szCs w:val="16"/>
                  <w:lang w:val="pt-PT"/>
                </w:rPr>
                <m:t>ln(ROA)</m:t>
              </m:r>
            </m:oMath>
          </w:p>
          <w:p w:rsidR="006B0CD0" w:rsidRDefault="006B0CD0">
            <w:pPr>
              <w:spacing w:line="360" w:lineRule="auto"/>
              <w:jc w:val="center"/>
              <w:rPr>
                <w:rFonts w:ascii="Times New Roman" w:hAnsi="Times New Roman"/>
                <w:b/>
                <w:color w:val="000000"/>
                <w:sz w:val="16"/>
                <w:szCs w:val="16"/>
                <w:lang w:val="pt-PT"/>
              </w:rPr>
            </w:pPr>
            <w:r>
              <w:rPr>
                <w:rFonts w:ascii="Times New Roman" w:eastAsia="Times New Roman" w:hAnsi="Times New Roman"/>
                <w:b/>
                <w:color w:val="000000"/>
                <w:sz w:val="16"/>
                <w:szCs w:val="16"/>
                <w:lang w:val="pt-PT"/>
              </w:rPr>
              <w:t xml:space="preserve">       (1975-1989)</w:t>
            </w:r>
          </w:p>
        </w:tc>
        <w:tc>
          <w:tcPr>
            <w:tcW w:w="991" w:type="dxa"/>
            <w:tcBorders>
              <w:top w:val="single" w:sz="4" w:space="0" w:color="auto"/>
              <w:left w:val="single" w:sz="4" w:space="0" w:color="auto"/>
              <w:bottom w:val="single" w:sz="4" w:space="0" w:color="auto"/>
              <w:right w:val="nil"/>
            </w:tcBorders>
            <w:hideMark/>
          </w:tcPr>
          <w:p w:rsidR="006B0CD0" w:rsidRDefault="006B0CD0">
            <w:pPr>
              <w:spacing w:line="360" w:lineRule="auto"/>
              <w:jc w:val="center"/>
              <w:rPr>
                <w:rFonts w:ascii="Times New Roman" w:hAnsi="Times New Roman" w:cs="Times New Roman"/>
                <w:sz w:val="16"/>
                <w:szCs w:val="16"/>
                <w:lang w:val="pt-PT"/>
              </w:rPr>
            </w:pPr>
            <w:r>
              <w:rPr>
                <w:rFonts w:ascii="Times New Roman" w:hAnsi="Times New Roman" w:cs="Times New Roman"/>
                <w:sz w:val="16"/>
                <w:szCs w:val="16"/>
                <w:lang w:val="pt-PT"/>
              </w:rPr>
              <w:t>-8.59</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s="Times New Roman"/>
                <w:sz w:val="16"/>
                <w:szCs w:val="16"/>
                <w:lang w:val="pt-PT"/>
              </w:rPr>
              <w:t xml:space="preserve"> (-5.74)*</w:t>
            </w:r>
          </w:p>
        </w:tc>
        <w:tc>
          <w:tcPr>
            <w:tcW w:w="992"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-1.051</w:t>
            </w:r>
          </w:p>
          <w:p w:rsidR="006B0CD0" w:rsidRDefault="006B0CD0">
            <w:pPr>
              <w:spacing w:line="360" w:lineRule="auto"/>
              <w:jc w:val="center"/>
              <w:rPr>
                <w:rFonts w:ascii="Times New Roman" w:hAnsi="Times New Roman" w:cs="Times New Roman"/>
                <w:noProof w:val="0"/>
                <w:color w:val="000000"/>
                <w:sz w:val="16"/>
                <w:szCs w:val="16"/>
                <w:lang w:val="pt-PT"/>
              </w:rPr>
            </w:pPr>
            <w:r>
              <w:rPr>
                <w:rFonts w:ascii="Times New Roman" w:hAnsi="Times New Roman" w:cs="Times New Roman"/>
                <w:color w:val="000000"/>
                <w:sz w:val="16"/>
                <w:szCs w:val="16"/>
                <w:lang w:val="pt-PT"/>
              </w:rPr>
              <w:t>(-3.08)*</w:t>
            </w:r>
          </w:p>
        </w:tc>
        <w:tc>
          <w:tcPr>
            <w:tcW w:w="991"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0.414 (5.20)*</w:t>
            </w:r>
          </w:p>
        </w:tc>
        <w:tc>
          <w:tcPr>
            <w:tcW w:w="849"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0.237 (2.73)*</w:t>
            </w:r>
          </w:p>
        </w:tc>
        <w:tc>
          <w:tcPr>
            <w:tcW w:w="851"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0.167 (0.86)</w:t>
            </w:r>
          </w:p>
        </w:tc>
        <w:tc>
          <w:tcPr>
            <w:tcW w:w="850"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-0.312</w:t>
            </w:r>
          </w:p>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(-1.06)</w:t>
            </w:r>
          </w:p>
        </w:tc>
        <w:tc>
          <w:tcPr>
            <w:tcW w:w="993"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0.091 (1.82)***</w:t>
            </w:r>
          </w:p>
        </w:tc>
        <w:tc>
          <w:tcPr>
            <w:tcW w:w="992"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0.360 (3.62)*</w:t>
            </w:r>
          </w:p>
        </w:tc>
        <w:tc>
          <w:tcPr>
            <w:tcW w:w="850"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0.055 (0.89)</w:t>
            </w:r>
          </w:p>
        </w:tc>
        <w:tc>
          <w:tcPr>
            <w:tcW w:w="993"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0.483 (3.82)*</w:t>
            </w:r>
          </w:p>
        </w:tc>
        <w:tc>
          <w:tcPr>
            <w:tcW w:w="992" w:type="dxa"/>
            <w:tcBorders>
              <w:top w:val="single" w:sz="4" w:space="0" w:color="auto"/>
              <w:left w:val="nil"/>
              <w:bottom w:val="single" w:sz="4"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0.350 (2.96)*</w:t>
            </w:r>
          </w:p>
        </w:tc>
        <w:tc>
          <w:tcPr>
            <w:tcW w:w="850"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s="Times New Roman"/>
                <w:sz w:val="18"/>
                <w:szCs w:val="18"/>
                <w:lang w:val="pt-PT"/>
              </w:rPr>
              <w:t>0.2823</w:t>
            </w:r>
          </w:p>
        </w:tc>
        <w:tc>
          <w:tcPr>
            <w:tcW w:w="851"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w:t>
            </w:r>
          </w:p>
        </w:tc>
        <w:tc>
          <w:tcPr>
            <w:tcW w:w="1134"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w:t>
            </w:r>
          </w:p>
        </w:tc>
        <w:tc>
          <w:tcPr>
            <w:tcW w:w="850"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s="Times New Roman"/>
                <w:sz w:val="18"/>
                <w:szCs w:val="18"/>
                <w:lang w:val="pt-PT"/>
              </w:rPr>
              <w:t>0.5979</w:t>
            </w:r>
          </w:p>
        </w:tc>
        <w:tc>
          <w:tcPr>
            <w:tcW w:w="709" w:type="dxa"/>
            <w:tcBorders>
              <w:top w:val="single" w:sz="4" w:space="0" w:color="auto"/>
              <w:left w:val="nil"/>
              <w:bottom w:val="single" w:sz="4" w:space="0" w:color="auto"/>
              <w:right w:val="single" w:sz="4" w:space="0" w:color="auto"/>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s="Times New Roman"/>
                <w:sz w:val="18"/>
                <w:szCs w:val="18"/>
                <w:lang w:val="pt-PT"/>
              </w:rPr>
              <w:t>1820</w:t>
            </w:r>
          </w:p>
        </w:tc>
      </w:tr>
      <w:tr w:rsidR="006B0CD0" w:rsidTr="00F41B1B">
        <w:trPr>
          <w:jc w:val="center"/>
        </w:trPr>
        <w:tc>
          <w:tcPr>
            <w:tcW w:w="1417" w:type="dxa"/>
            <w:tcBorders>
              <w:top w:val="single" w:sz="4" w:space="0" w:color="auto"/>
              <w:left w:val="single" w:sz="4" w:space="0" w:color="auto"/>
              <w:bottom w:val="single" w:sz="12" w:space="0" w:color="auto"/>
              <w:right w:val="single" w:sz="4" w:space="0" w:color="auto"/>
            </w:tcBorders>
            <w:hideMark/>
          </w:tcPr>
          <w:p w:rsidR="006B0CD0" w:rsidRDefault="006B0CD0">
            <w:pPr>
              <w:rPr>
                <w:rFonts w:ascii="Times New Roman" w:hAnsi="Times New Roman"/>
                <w:color w:val="000000"/>
                <w:sz w:val="16"/>
                <w:szCs w:val="16"/>
                <w:lang w:val="pt-PT"/>
              </w:rPr>
            </w:pPr>
            <m:oMath>
              <m:r>
                <w:rPr>
                  <w:rFonts w:ascii="Cambria Math" w:hAnsi="Cambria Math"/>
                  <w:color w:val="000000"/>
                  <w:sz w:val="16"/>
                  <w:szCs w:val="16"/>
                  <w:lang w:val="pt-PT"/>
                </w:rPr>
                <m:t>(4)</m:t>
              </m:r>
            </m:oMath>
            <w:r>
              <w:rPr>
                <w:rFonts w:ascii="Times New Roman" w:hAnsi="Times New Roman"/>
                <w:color w:val="000000"/>
                <w:sz w:val="16"/>
                <w:szCs w:val="16"/>
                <w:lang w:val="pt-PT"/>
              </w:rPr>
              <w:t xml:space="preserve">     </w:t>
            </w:r>
            <m:oMath>
              <m:r>
                <m:rPr>
                  <m:sty m:val="bi"/>
                </m:rPr>
                <w:rPr>
                  <w:rFonts w:ascii="Cambria Math" w:hAnsi="Cambria Math"/>
                  <w:color w:val="000000"/>
                  <w:sz w:val="16"/>
                  <w:szCs w:val="16"/>
                  <w:lang w:val="pt-PT"/>
                </w:rPr>
                <m:t>ln(ROA)</m:t>
              </m:r>
            </m:oMath>
          </w:p>
          <w:p w:rsidR="006B0CD0" w:rsidRDefault="006B0CD0">
            <w:pPr>
              <w:spacing w:line="360" w:lineRule="auto"/>
              <w:jc w:val="center"/>
              <w:rPr>
                <w:rFonts w:ascii="Times New Roman" w:hAnsi="Times New Roman"/>
                <w:b/>
                <w:color w:val="000000"/>
                <w:sz w:val="16"/>
                <w:szCs w:val="16"/>
                <w:lang w:val="pt-PT"/>
              </w:rPr>
            </w:pPr>
            <w:r>
              <w:rPr>
                <w:rFonts w:ascii="Times New Roman" w:eastAsia="Times New Roman" w:hAnsi="Times New Roman"/>
                <w:b/>
                <w:color w:val="000000"/>
                <w:sz w:val="16"/>
                <w:szCs w:val="16"/>
                <w:lang w:val="pt-PT"/>
              </w:rPr>
              <w:t xml:space="preserve">       (1989-2015)</w:t>
            </w:r>
          </w:p>
        </w:tc>
        <w:tc>
          <w:tcPr>
            <w:tcW w:w="991" w:type="dxa"/>
            <w:tcBorders>
              <w:top w:val="single" w:sz="4" w:space="0" w:color="auto"/>
              <w:left w:val="single" w:sz="4" w:space="0" w:color="auto"/>
              <w:bottom w:val="single" w:sz="12" w:space="0" w:color="auto"/>
              <w:right w:val="nil"/>
            </w:tcBorders>
            <w:hideMark/>
          </w:tcPr>
          <w:p w:rsidR="006B0CD0" w:rsidRDefault="006B0CD0">
            <w:pPr>
              <w:spacing w:line="360" w:lineRule="auto"/>
              <w:jc w:val="center"/>
              <w:rPr>
                <w:rFonts w:ascii="Times New Roman" w:hAnsi="Times New Roman" w:cs="Times New Roman"/>
                <w:sz w:val="16"/>
                <w:szCs w:val="16"/>
                <w:lang w:val="pt-PT"/>
              </w:rPr>
            </w:pPr>
            <w:r>
              <w:rPr>
                <w:rFonts w:ascii="Times New Roman" w:hAnsi="Times New Roman" w:cs="Times New Roman"/>
                <w:sz w:val="16"/>
                <w:szCs w:val="16"/>
                <w:lang w:val="pt-PT"/>
              </w:rPr>
              <w:t>-1.639</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s="Times New Roman"/>
                <w:sz w:val="16"/>
                <w:szCs w:val="16"/>
                <w:lang w:val="pt-PT"/>
              </w:rPr>
              <w:t>(-0.66)</w:t>
            </w:r>
          </w:p>
        </w:tc>
        <w:tc>
          <w:tcPr>
            <w:tcW w:w="992" w:type="dxa"/>
            <w:tcBorders>
              <w:top w:val="single" w:sz="4" w:space="0" w:color="auto"/>
              <w:left w:val="nil"/>
              <w:bottom w:val="single" w:sz="12" w:space="0" w:color="auto"/>
              <w:right w:val="nil"/>
            </w:tcBorders>
            <w:vAlign w:val="center"/>
            <w:hideMark/>
          </w:tcPr>
          <w:p w:rsidR="006B0CD0" w:rsidRDefault="006B0CD0">
            <w:pPr>
              <w:spacing w:line="360" w:lineRule="auto"/>
              <w:jc w:val="center"/>
              <w:rPr>
                <w:rFonts w:ascii="Times New Roman" w:hAnsi="Times New Roman" w:cs="Times New Roman"/>
                <w:noProof w:val="0"/>
                <w:color w:val="000000"/>
                <w:sz w:val="16"/>
                <w:szCs w:val="16"/>
                <w:lang w:val="pt-PT"/>
              </w:rPr>
            </w:pPr>
            <w:r>
              <w:rPr>
                <w:rFonts w:ascii="Times New Roman" w:hAnsi="Times New Roman" w:cs="Times New Roman"/>
                <w:color w:val="000000"/>
                <w:sz w:val="16"/>
                <w:szCs w:val="16"/>
                <w:lang w:val="pt-PT"/>
              </w:rPr>
              <w:t>0.325 (1.32)</w:t>
            </w:r>
          </w:p>
        </w:tc>
        <w:tc>
          <w:tcPr>
            <w:tcW w:w="991" w:type="dxa"/>
            <w:tcBorders>
              <w:top w:val="single" w:sz="4" w:space="0" w:color="auto"/>
              <w:left w:val="nil"/>
              <w:bottom w:val="single" w:sz="12"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-0.116</w:t>
            </w:r>
          </w:p>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(-1.10)</w:t>
            </w:r>
          </w:p>
        </w:tc>
        <w:tc>
          <w:tcPr>
            <w:tcW w:w="849" w:type="dxa"/>
            <w:tcBorders>
              <w:top w:val="single" w:sz="4" w:space="0" w:color="auto"/>
              <w:left w:val="nil"/>
              <w:bottom w:val="single" w:sz="12"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0.140 (1.69)***</w:t>
            </w:r>
          </w:p>
        </w:tc>
        <w:tc>
          <w:tcPr>
            <w:tcW w:w="851" w:type="dxa"/>
            <w:tcBorders>
              <w:top w:val="single" w:sz="4" w:space="0" w:color="auto"/>
              <w:left w:val="nil"/>
              <w:bottom w:val="single" w:sz="12"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-0.377</w:t>
            </w:r>
          </w:p>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(-3.29)*</w:t>
            </w:r>
          </w:p>
        </w:tc>
        <w:tc>
          <w:tcPr>
            <w:tcW w:w="850" w:type="dxa"/>
            <w:tcBorders>
              <w:top w:val="single" w:sz="4" w:space="0" w:color="auto"/>
              <w:left w:val="nil"/>
              <w:bottom w:val="single" w:sz="12"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0.541 (2.82)*</w:t>
            </w:r>
          </w:p>
        </w:tc>
        <w:tc>
          <w:tcPr>
            <w:tcW w:w="993" w:type="dxa"/>
            <w:tcBorders>
              <w:top w:val="single" w:sz="4" w:space="0" w:color="auto"/>
              <w:left w:val="nil"/>
              <w:bottom w:val="single" w:sz="12"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0.139 (1.68)***</w:t>
            </w:r>
          </w:p>
        </w:tc>
        <w:tc>
          <w:tcPr>
            <w:tcW w:w="992" w:type="dxa"/>
            <w:tcBorders>
              <w:top w:val="single" w:sz="4" w:space="0" w:color="auto"/>
              <w:left w:val="nil"/>
              <w:bottom w:val="single" w:sz="12"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-0.256</w:t>
            </w:r>
          </w:p>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(-2.49)**</w:t>
            </w:r>
          </w:p>
        </w:tc>
        <w:tc>
          <w:tcPr>
            <w:tcW w:w="850" w:type="dxa"/>
            <w:tcBorders>
              <w:top w:val="single" w:sz="4" w:space="0" w:color="auto"/>
              <w:left w:val="nil"/>
              <w:bottom w:val="single" w:sz="12"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-0.053</w:t>
            </w:r>
          </w:p>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(-0.35)</w:t>
            </w:r>
          </w:p>
        </w:tc>
        <w:tc>
          <w:tcPr>
            <w:tcW w:w="993" w:type="dxa"/>
            <w:tcBorders>
              <w:top w:val="single" w:sz="4" w:space="0" w:color="auto"/>
              <w:left w:val="nil"/>
              <w:bottom w:val="single" w:sz="12"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0.272 (1.50)</w:t>
            </w:r>
          </w:p>
        </w:tc>
        <w:tc>
          <w:tcPr>
            <w:tcW w:w="992" w:type="dxa"/>
            <w:tcBorders>
              <w:top w:val="single" w:sz="4" w:space="0" w:color="auto"/>
              <w:left w:val="nil"/>
              <w:bottom w:val="single" w:sz="12" w:space="0" w:color="auto"/>
              <w:right w:val="nil"/>
            </w:tcBorders>
            <w:vAlign w:val="center"/>
            <w:hideMark/>
          </w:tcPr>
          <w:p w:rsidR="006B0CD0" w:rsidRDefault="006B0CD0">
            <w:pPr>
              <w:spacing w:line="360" w:lineRule="auto"/>
              <w:jc w:val="center"/>
              <w:rPr>
                <w:rFonts w:ascii="Times New Roman" w:hAnsi="Times New Roman" w:cs="Times New Roman"/>
                <w:color w:val="000000"/>
                <w:sz w:val="16"/>
                <w:szCs w:val="16"/>
                <w:lang w:val="pt-PT"/>
              </w:rPr>
            </w:pPr>
            <w:r>
              <w:rPr>
                <w:rFonts w:ascii="Times New Roman" w:hAnsi="Times New Roman" w:cs="Times New Roman"/>
                <w:color w:val="000000"/>
                <w:sz w:val="16"/>
                <w:szCs w:val="16"/>
                <w:lang w:val="pt-PT"/>
              </w:rPr>
              <w:t>0.239 (1.91)***</w:t>
            </w:r>
          </w:p>
        </w:tc>
        <w:tc>
          <w:tcPr>
            <w:tcW w:w="850" w:type="dxa"/>
            <w:tcBorders>
              <w:top w:val="single" w:sz="4" w:space="0" w:color="auto"/>
              <w:left w:val="nil"/>
              <w:bottom w:val="single" w:sz="12" w:space="0" w:color="auto"/>
              <w:right w:val="nil"/>
            </w:tcBorders>
          </w:tcPr>
          <w:p w:rsidR="006B0CD0" w:rsidRDefault="006B0CD0">
            <w:pPr>
              <w:spacing w:line="360" w:lineRule="auto"/>
              <w:jc w:val="center"/>
              <w:rPr>
                <w:rFonts w:ascii="Times New Roman" w:hAnsi="Times New Roman" w:cs="Times New Roman"/>
                <w:b/>
                <w:sz w:val="18"/>
                <w:szCs w:val="18"/>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s="Times New Roman"/>
                <w:sz w:val="18"/>
                <w:szCs w:val="18"/>
                <w:lang w:val="pt-PT"/>
              </w:rPr>
              <w:t>0.1717</w:t>
            </w:r>
          </w:p>
        </w:tc>
        <w:tc>
          <w:tcPr>
            <w:tcW w:w="851" w:type="dxa"/>
            <w:tcBorders>
              <w:top w:val="single" w:sz="4" w:space="0" w:color="auto"/>
              <w:left w:val="nil"/>
              <w:bottom w:val="single" w:sz="12"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w:t>
            </w:r>
          </w:p>
        </w:tc>
        <w:tc>
          <w:tcPr>
            <w:tcW w:w="1134" w:type="dxa"/>
            <w:tcBorders>
              <w:top w:val="single" w:sz="4" w:space="0" w:color="auto"/>
              <w:left w:val="nil"/>
              <w:bottom w:val="single" w:sz="12"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w:t>
            </w:r>
          </w:p>
        </w:tc>
        <w:tc>
          <w:tcPr>
            <w:tcW w:w="850" w:type="dxa"/>
            <w:tcBorders>
              <w:top w:val="single" w:sz="4" w:space="0" w:color="auto"/>
              <w:left w:val="nil"/>
              <w:bottom w:val="single" w:sz="12"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s="Times New Roman"/>
                <w:sz w:val="18"/>
                <w:szCs w:val="18"/>
                <w:lang w:val="pt-PT"/>
              </w:rPr>
              <w:t>0.0730</w:t>
            </w:r>
          </w:p>
        </w:tc>
        <w:tc>
          <w:tcPr>
            <w:tcW w:w="709" w:type="dxa"/>
            <w:tcBorders>
              <w:top w:val="single" w:sz="4" w:space="0" w:color="auto"/>
              <w:left w:val="nil"/>
              <w:bottom w:val="single" w:sz="12" w:space="0" w:color="auto"/>
              <w:right w:val="single" w:sz="4" w:space="0" w:color="auto"/>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3550</w:t>
            </w:r>
          </w:p>
        </w:tc>
      </w:tr>
      <w:tr w:rsidR="006B0CD0" w:rsidTr="00F41B1B">
        <w:trPr>
          <w:jc w:val="center"/>
        </w:trPr>
        <w:tc>
          <w:tcPr>
            <w:tcW w:w="1417" w:type="dxa"/>
            <w:tcBorders>
              <w:top w:val="single" w:sz="12" w:space="0" w:color="auto"/>
              <w:left w:val="single" w:sz="4" w:space="0" w:color="auto"/>
              <w:bottom w:val="single" w:sz="4" w:space="0" w:color="auto"/>
              <w:right w:val="single" w:sz="4" w:space="0" w:color="auto"/>
            </w:tcBorders>
            <w:hideMark/>
          </w:tcPr>
          <w:p w:rsidR="006B0CD0" w:rsidRDefault="006B0CD0">
            <w:pPr>
              <w:rPr>
                <w:rFonts w:ascii="Times New Roman" w:hAnsi="Times New Roman"/>
                <w:color w:val="000000"/>
                <w:sz w:val="16"/>
                <w:szCs w:val="16"/>
                <w:lang w:val="pt-PT"/>
              </w:rPr>
            </w:pPr>
            <m:oMath>
              <m:r>
                <w:rPr>
                  <w:rFonts w:ascii="Cambria Math" w:hAnsi="Cambria Math"/>
                  <w:color w:val="000000"/>
                  <w:sz w:val="16"/>
                  <w:szCs w:val="16"/>
                  <w:lang w:val="pt-PT"/>
                </w:rPr>
                <m:t>(5)</m:t>
              </m:r>
            </m:oMath>
            <w:r>
              <w:rPr>
                <w:rFonts w:ascii="Times New Roman" w:hAnsi="Times New Roman"/>
                <w:color w:val="000000"/>
                <w:sz w:val="16"/>
                <w:szCs w:val="16"/>
                <w:lang w:val="pt-PT"/>
              </w:rPr>
              <w:t xml:space="preserve">     </w:t>
            </w:r>
            <m:oMath>
              <m:r>
                <m:rPr>
                  <m:sty m:val="bi"/>
                </m:rPr>
                <w:rPr>
                  <w:rFonts w:ascii="Cambria Math" w:hAnsi="Cambria Math"/>
                  <w:color w:val="000000"/>
                  <w:sz w:val="16"/>
                  <w:szCs w:val="16"/>
                  <w:lang w:val="pt-PT"/>
                </w:rPr>
                <m:t>ln(IRA)</m:t>
              </m:r>
            </m:oMath>
          </w:p>
          <w:p w:rsidR="006B0CD0" w:rsidRDefault="006B0CD0">
            <w:pPr>
              <w:spacing w:line="360" w:lineRule="auto"/>
              <w:jc w:val="center"/>
              <w:rPr>
                <w:rFonts w:ascii="Times New Roman" w:eastAsia="Times New Roman" w:hAnsi="Times New Roman"/>
                <w:b/>
                <w:color w:val="000000"/>
                <w:sz w:val="16"/>
                <w:szCs w:val="16"/>
                <w:lang w:val="pt-PT"/>
              </w:rPr>
            </w:pPr>
            <w:r>
              <w:rPr>
                <w:rFonts w:ascii="Times New Roman" w:eastAsia="Times New Roman" w:hAnsi="Times New Roman"/>
                <w:b/>
                <w:color w:val="000000"/>
                <w:sz w:val="16"/>
                <w:szCs w:val="16"/>
                <w:lang w:val="pt-PT"/>
              </w:rPr>
              <w:t xml:space="preserve">      (1960-1975)</w:t>
            </w:r>
          </w:p>
        </w:tc>
        <w:tc>
          <w:tcPr>
            <w:tcW w:w="991" w:type="dxa"/>
            <w:tcBorders>
              <w:top w:val="single" w:sz="12" w:space="0" w:color="auto"/>
              <w:left w:val="single" w:sz="4" w:space="0" w:color="auto"/>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-1.801</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(-8.10)*</w:t>
            </w:r>
          </w:p>
        </w:tc>
        <w:tc>
          <w:tcPr>
            <w:tcW w:w="992"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0.492</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(10.41)*</w:t>
            </w:r>
          </w:p>
        </w:tc>
        <w:tc>
          <w:tcPr>
            <w:tcW w:w="991"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0.019</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(4.32)*</w:t>
            </w:r>
          </w:p>
        </w:tc>
        <w:tc>
          <w:tcPr>
            <w:tcW w:w="849"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0.021</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(1.50)</w:t>
            </w:r>
          </w:p>
        </w:tc>
        <w:tc>
          <w:tcPr>
            <w:tcW w:w="851"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-0.268</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(-5.44)*</w:t>
            </w:r>
          </w:p>
        </w:tc>
        <w:tc>
          <w:tcPr>
            <w:tcW w:w="850"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0.093</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(1.62)</w:t>
            </w:r>
          </w:p>
        </w:tc>
        <w:tc>
          <w:tcPr>
            <w:tcW w:w="993"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-0.024</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(-2.41)**</w:t>
            </w:r>
          </w:p>
        </w:tc>
        <w:tc>
          <w:tcPr>
            <w:tcW w:w="992"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0.150</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(4.91)*</w:t>
            </w:r>
          </w:p>
        </w:tc>
        <w:tc>
          <w:tcPr>
            <w:tcW w:w="850"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0.016</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(1.36)</w:t>
            </w:r>
          </w:p>
        </w:tc>
        <w:tc>
          <w:tcPr>
            <w:tcW w:w="993"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-0.021</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(-0.79)</w:t>
            </w:r>
          </w:p>
        </w:tc>
        <w:tc>
          <w:tcPr>
            <w:tcW w:w="992"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-0.186</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(-9.39)*</w:t>
            </w:r>
          </w:p>
        </w:tc>
        <w:tc>
          <w:tcPr>
            <w:tcW w:w="850" w:type="dxa"/>
            <w:tcBorders>
              <w:top w:val="single" w:sz="12"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0.5320</w:t>
            </w:r>
          </w:p>
        </w:tc>
        <w:tc>
          <w:tcPr>
            <w:tcW w:w="851" w:type="dxa"/>
            <w:tcBorders>
              <w:top w:val="single" w:sz="12"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0.0000</w:t>
            </w:r>
          </w:p>
        </w:tc>
        <w:tc>
          <w:tcPr>
            <w:tcW w:w="1134" w:type="dxa"/>
            <w:tcBorders>
              <w:top w:val="single" w:sz="12"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0.0000</w:t>
            </w:r>
          </w:p>
        </w:tc>
        <w:tc>
          <w:tcPr>
            <w:tcW w:w="850" w:type="dxa"/>
            <w:tcBorders>
              <w:top w:val="single" w:sz="12"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0.6537</w:t>
            </w:r>
          </w:p>
        </w:tc>
        <w:tc>
          <w:tcPr>
            <w:tcW w:w="709" w:type="dxa"/>
            <w:tcBorders>
              <w:top w:val="single" w:sz="12" w:space="0" w:color="auto"/>
              <w:left w:val="nil"/>
              <w:bottom w:val="single" w:sz="4" w:space="0" w:color="auto"/>
              <w:right w:val="single" w:sz="4" w:space="0" w:color="auto"/>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2700</w:t>
            </w:r>
          </w:p>
        </w:tc>
      </w:tr>
      <w:tr w:rsidR="006B0CD0" w:rsidTr="00F41B1B">
        <w:trPr>
          <w:jc w:val="center"/>
        </w:trPr>
        <w:tc>
          <w:tcPr>
            <w:tcW w:w="1417" w:type="dxa"/>
            <w:tcBorders>
              <w:top w:val="single" w:sz="4" w:space="0" w:color="auto"/>
              <w:left w:val="single" w:sz="4" w:space="0" w:color="auto"/>
              <w:bottom w:val="single" w:sz="4" w:space="0" w:color="auto"/>
              <w:right w:val="single" w:sz="4" w:space="0" w:color="auto"/>
            </w:tcBorders>
            <w:hideMark/>
          </w:tcPr>
          <w:p w:rsidR="006B0CD0" w:rsidRDefault="006B0CD0">
            <w:pPr>
              <w:rPr>
                <w:rFonts w:ascii="Times New Roman" w:hAnsi="Times New Roman"/>
                <w:color w:val="000000"/>
                <w:sz w:val="16"/>
                <w:szCs w:val="16"/>
                <w:lang w:val="pt-PT"/>
              </w:rPr>
            </w:pPr>
            <m:oMath>
              <m:r>
                <w:rPr>
                  <w:rFonts w:ascii="Cambria Math" w:hAnsi="Cambria Math"/>
                  <w:color w:val="000000"/>
                  <w:sz w:val="16"/>
                  <w:szCs w:val="16"/>
                  <w:lang w:val="pt-PT"/>
                </w:rPr>
                <m:t>(6)</m:t>
              </m:r>
            </m:oMath>
            <w:r>
              <w:rPr>
                <w:rFonts w:ascii="Times New Roman" w:hAnsi="Times New Roman"/>
                <w:color w:val="000000"/>
                <w:sz w:val="16"/>
                <w:szCs w:val="16"/>
                <w:lang w:val="pt-PT"/>
              </w:rPr>
              <w:t xml:space="preserve">     </w:t>
            </w:r>
            <m:oMath>
              <m:r>
                <m:rPr>
                  <m:sty m:val="bi"/>
                </m:rPr>
                <w:rPr>
                  <w:rFonts w:ascii="Cambria Math" w:hAnsi="Cambria Math"/>
                  <w:color w:val="000000"/>
                  <w:sz w:val="16"/>
                  <w:szCs w:val="16"/>
                  <w:lang w:val="pt-PT"/>
                </w:rPr>
                <m:t>ln(IRA)</m:t>
              </m:r>
            </m:oMath>
          </w:p>
          <w:p w:rsidR="006B0CD0" w:rsidRDefault="006B0CD0">
            <w:pPr>
              <w:spacing w:line="360" w:lineRule="auto"/>
              <w:jc w:val="center"/>
              <w:rPr>
                <w:rFonts w:ascii="Times New Roman" w:hAnsi="Times New Roman"/>
                <w:b/>
                <w:color w:val="000000"/>
                <w:sz w:val="16"/>
                <w:szCs w:val="16"/>
                <w:lang w:val="pt-PT"/>
              </w:rPr>
            </w:pPr>
            <w:r>
              <w:rPr>
                <w:rFonts w:ascii="Times New Roman" w:eastAsia="Times New Roman" w:hAnsi="Times New Roman"/>
                <w:b/>
                <w:color w:val="000000"/>
                <w:sz w:val="16"/>
                <w:szCs w:val="16"/>
                <w:lang w:val="pt-PT"/>
              </w:rPr>
              <w:t xml:space="preserve">      (1975-1989)</w:t>
            </w:r>
          </w:p>
        </w:tc>
        <w:tc>
          <w:tcPr>
            <w:tcW w:w="991" w:type="dxa"/>
            <w:tcBorders>
              <w:top w:val="single" w:sz="4" w:space="0" w:color="auto"/>
              <w:left w:val="single" w:sz="4" w:space="0" w:color="auto"/>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-4.945</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(-12.82)*</w:t>
            </w:r>
          </w:p>
        </w:tc>
        <w:tc>
          <w:tcPr>
            <w:tcW w:w="992"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0.125</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(1.37)</w:t>
            </w:r>
          </w:p>
        </w:tc>
        <w:tc>
          <w:tcPr>
            <w:tcW w:w="991"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-0.012</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(-0.57)</w:t>
            </w:r>
          </w:p>
        </w:tc>
        <w:tc>
          <w:tcPr>
            <w:tcW w:w="849" w:type="dxa"/>
            <w:tcBorders>
              <w:top w:val="single" w:sz="4" w:space="0" w:color="auto"/>
              <w:left w:val="nil"/>
              <w:bottom w:val="single" w:sz="4" w:space="0" w:color="auto"/>
              <w:right w:val="nil"/>
            </w:tcBorders>
            <w:hideMark/>
          </w:tcPr>
          <w:p w:rsidR="006B0CD0" w:rsidRDefault="006B0CD0">
            <w:pPr>
              <w:spacing w:line="360" w:lineRule="auto"/>
              <w:rPr>
                <w:rFonts w:ascii="Times New Roman" w:hAnsi="Times New Roman"/>
                <w:color w:val="000000"/>
                <w:sz w:val="16"/>
                <w:szCs w:val="16"/>
                <w:lang w:val="pt-PT"/>
              </w:rPr>
            </w:pPr>
            <w:r>
              <w:rPr>
                <w:rFonts w:ascii="Times New Roman" w:hAnsi="Times New Roman"/>
                <w:color w:val="000000"/>
                <w:sz w:val="16"/>
                <w:szCs w:val="16"/>
                <w:lang w:val="pt-PT"/>
              </w:rPr>
              <w:t>0.122</w:t>
            </w:r>
          </w:p>
          <w:p w:rsidR="006B0CD0" w:rsidRDefault="006B0CD0">
            <w:pPr>
              <w:spacing w:line="360" w:lineRule="auto"/>
              <w:rPr>
                <w:rFonts w:ascii="Times New Roman" w:hAnsi="Times New Roman"/>
                <w:color w:val="000000"/>
                <w:sz w:val="16"/>
                <w:szCs w:val="16"/>
                <w:lang w:val="pt-PT"/>
              </w:rPr>
            </w:pPr>
            <w:r>
              <w:rPr>
                <w:rFonts w:ascii="Times New Roman" w:hAnsi="Times New Roman"/>
                <w:color w:val="000000"/>
                <w:sz w:val="16"/>
                <w:szCs w:val="16"/>
                <w:lang w:val="pt-PT"/>
              </w:rPr>
              <w:t>(5.26)*</w:t>
            </w:r>
          </w:p>
        </w:tc>
        <w:tc>
          <w:tcPr>
            <w:tcW w:w="851"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-0.169</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(-3.21)*</w:t>
            </w:r>
          </w:p>
        </w:tc>
        <w:tc>
          <w:tcPr>
            <w:tcW w:w="850"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0.078</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(1.01)</w:t>
            </w:r>
          </w:p>
        </w:tc>
        <w:tc>
          <w:tcPr>
            <w:tcW w:w="993"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-0.046</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(-3.46)*</w:t>
            </w:r>
          </w:p>
        </w:tc>
        <w:tc>
          <w:tcPr>
            <w:tcW w:w="992"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-0.028</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(-1.04)</w:t>
            </w:r>
          </w:p>
        </w:tc>
        <w:tc>
          <w:tcPr>
            <w:tcW w:w="850"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0.133</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(8.22)*</w:t>
            </w:r>
          </w:p>
        </w:tc>
        <w:tc>
          <w:tcPr>
            <w:tcW w:w="993"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-0.265</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(-8.04)*</w:t>
            </w:r>
          </w:p>
        </w:tc>
        <w:tc>
          <w:tcPr>
            <w:tcW w:w="992"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-0.132</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(-4.16)*</w:t>
            </w:r>
          </w:p>
        </w:tc>
        <w:tc>
          <w:tcPr>
            <w:tcW w:w="850"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0.2350</w:t>
            </w:r>
          </w:p>
        </w:tc>
        <w:tc>
          <w:tcPr>
            <w:tcW w:w="851"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0.0191</w:t>
            </w:r>
          </w:p>
        </w:tc>
        <w:tc>
          <w:tcPr>
            <w:tcW w:w="1134"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0.0000</w:t>
            </w:r>
          </w:p>
        </w:tc>
        <w:tc>
          <w:tcPr>
            <w:tcW w:w="850"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0.6077</w:t>
            </w:r>
          </w:p>
        </w:tc>
        <w:tc>
          <w:tcPr>
            <w:tcW w:w="709" w:type="dxa"/>
            <w:tcBorders>
              <w:top w:val="single" w:sz="4" w:space="0" w:color="auto"/>
              <w:left w:val="nil"/>
              <w:bottom w:val="single" w:sz="4" w:space="0" w:color="auto"/>
              <w:right w:val="single" w:sz="4" w:space="0" w:color="auto"/>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1910</w:t>
            </w:r>
          </w:p>
        </w:tc>
      </w:tr>
      <w:tr w:rsidR="006B0CD0" w:rsidTr="00F41B1B">
        <w:trPr>
          <w:jc w:val="center"/>
        </w:trPr>
        <w:tc>
          <w:tcPr>
            <w:tcW w:w="1417" w:type="dxa"/>
            <w:tcBorders>
              <w:top w:val="single" w:sz="4" w:space="0" w:color="auto"/>
              <w:left w:val="single" w:sz="4" w:space="0" w:color="auto"/>
              <w:bottom w:val="single" w:sz="12" w:space="0" w:color="auto"/>
              <w:right w:val="single" w:sz="4" w:space="0" w:color="auto"/>
            </w:tcBorders>
            <w:hideMark/>
          </w:tcPr>
          <w:p w:rsidR="006B0CD0" w:rsidRDefault="006B0CD0">
            <w:pPr>
              <w:rPr>
                <w:rFonts w:ascii="Times New Roman" w:hAnsi="Times New Roman"/>
                <w:color w:val="000000"/>
                <w:sz w:val="16"/>
                <w:szCs w:val="16"/>
                <w:lang w:val="pt-PT"/>
              </w:rPr>
            </w:pPr>
            <m:oMath>
              <m:r>
                <w:rPr>
                  <w:rFonts w:ascii="Cambria Math" w:hAnsi="Cambria Math"/>
                  <w:color w:val="000000"/>
                  <w:sz w:val="16"/>
                  <w:szCs w:val="16"/>
                  <w:lang w:val="pt-PT"/>
                </w:rPr>
                <m:t>(7)</m:t>
              </m:r>
            </m:oMath>
            <w:r>
              <w:rPr>
                <w:rFonts w:ascii="Times New Roman" w:hAnsi="Times New Roman"/>
                <w:color w:val="000000"/>
                <w:sz w:val="16"/>
                <w:szCs w:val="16"/>
                <w:lang w:val="pt-PT"/>
              </w:rPr>
              <w:t xml:space="preserve">     </w:t>
            </w:r>
            <m:oMath>
              <m:r>
                <m:rPr>
                  <m:sty m:val="bi"/>
                </m:rPr>
                <w:rPr>
                  <w:rFonts w:ascii="Cambria Math" w:hAnsi="Cambria Math"/>
                  <w:color w:val="000000"/>
                  <w:sz w:val="16"/>
                  <w:szCs w:val="16"/>
                  <w:lang w:val="pt-PT"/>
                </w:rPr>
                <m:t>ln(IRA)</m:t>
              </m:r>
            </m:oMath>
          </w:p>
          <w:p w:rsidR="006B0CD0" w:rsidRDefault="006B0CD0">
            <w:pPr>
              <w:spacing w:line="360" w:lineRule="auto"/>
              <w:jc w:val="center"/>
              <w:rPr>
                <w:rFonts w:ascii="Times New Roman" w:hAnsi="Times New Roman"/>
                <w:b/>
                <w:color w:val="000000"/>
                <w:sz w:val="16"/>
                <w:szCs w:val="16"/>
                <w:lang w:val="pt-PT"/>
              </w:rPr>
            </w:pPr>
            <w:r>
              <w:rPr>
                <w:rFonts w:ascii="Times New Roman" w:eastAsia="Times New Roman" w:hAnsi="Times New Roman"/>
                <w:b/>
                <w:color w:val="000000"/>
                <w:sz w:val="16"/>
                <w:szCs w:val="16"/>
                <w:lang w:val="pt-PT"/>
              </w:rPr>
              <w:t xml:space="preserve">   (1989-2015)</w:t>
            </w:r>
          </w:p>
        </w:tc>
        <w:tc>
          <w:tcPr>
            <w:tcW w:w="991" w:type="dxa"/>
            <w:tcBorders>
              <w:top w:val="single" w:sz="4" w:space="0" w:color="auto"/>
              <w:left w:val="single" w:sz="4" w:space="0" w:color="auto"/>
              <w:bottom w:val="single" w:sz="12"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-0.206</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(-0.36)</w:t>
            </w:r>
          </w:p>
        </w:tc>
        <w:tc>
          <w:tcPr>
            <w:tcW w:w="992"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0.378</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(6.74)*</w:t>
            </w:r>
          </w:p>
        </w:tc>
        <w:tc>
          <w:tcPr>
            <w:tcW w:w="991"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0.054</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(2.30)**</w:t>
            </w:r>
          </w:p>
        </w:tc>
        <w:tc>
          <w:tcPr>
            <w:tcW w:w="849"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0.152</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(7.89)*</w:t>
            </w:r>
          </w:p>
        </w:tc>
        <w:tc>
          <w:tcPr>
            <w:tcW w:w="851"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-0.143</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(-5.18)*</w:t>
            </w:r>
          </w:p>
        </w:tc>
        <w:tc>
          <w:tcPr>
            <w:tcW w:w="850"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0.264</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(5.95)*</w:t>
            </w:r>
          </w:p>
        </w:tc>
        <w:tc>
          <w:tcPr>
            <w:tcW w:w="993"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0.062</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(3.30)*</w:t>
            </w:r>
          </w:p>
        </w:tc>
        <w:tc>
          <w:tcPr>
            <w:tcW w:w="992"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-0.054</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(-2.23)**</w:t>
            </w:r>
          </w:p>
        </w:tc>
        <w:tc>
          <w:tcPr>
            <w:tcW w:w="850"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-0.076</w:t>
            </w:r>
          </w:p>
          <w:p w:rsidR="006B0CD0" w:rsidRDefault="006B0CD0">
            <w:pPr>
              <w:spacing w:line="360" w:lineRule="auto"/>
              <w:rPr>
                <w:rFonts w:ascii="Times New Roman" w:hAnsi="Times New Roman"/>
                <w:color w:val="000000"/>
                <w:sz w:val="16"/>
                <w:szCs w:val="16"/>
                <w:lang w:val="pt-PT"/>
              </w:rPr>
            </w:pPr>
            <w:r>
              <w:rPr>
                <w:rFonts w:ascii="Times New Roman" w:hAnsi="Times New Roman"/>
                <w:color w:val="000000"/>
                <w:sz w:val="16"/>
                <w:szCs w:val="16"/>
                <w:lang w:val="pt-PT"/>
              </w:rPr>
              <w:t>(-2.14)**</w:t>
            </w:r>
          </w:p>
        </w:tc>
        <w:tc>
          <w:tcPr>
            <w:tcW w:w="993"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-0.085</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(-2.36)**</w:t>
            </w:r>
          </w:p>
        </w:tc>
        <w:tc>
          <w:tcPr>
            <w:tcW w:w="992"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-0.308</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(-10.75)*</w:t>
            </w:r>
          </w:p>
        </w:tc>
        <w:tc>
          <w:tcPr>
            <w:tcW w:w="850" w:type="dxa"/>
            <w:tcBorders>
              <w:top w:val="single" w:sz="4" w:space="0" w:color="auto"/>
              <w:left w:val="nil"/>
              <w:bottom w:val="single" w:sz="12"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0.5843</w:t>
            </w:r>
          </w:p>
        </w:tc>
        <w:tc>
          <w:tcPr>
            <w:tcW w:w="851" w:type="dxa"/>
            <w:tcBorders>
              <w:top w:val="single" w:sz="4" w:space="0" w:color="auto"/>
              <w:left w:val="nil"/>
              <w:bottom w:val="single" w:sz="12"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0.0000</w:t>
            </w:r>
          </w:p>
        </w:tc>
        <w:tc>
          <w:tcPr>
            <w:tcW w:w="1134" w:type="dxa"/>
            <w:tcBorders>
              <w:top w:val="single" w:sz="4" w:space="0" w:color="auto"/>
              <w:left w:val="nil"/>
              <w:bottom w:val="single" w:sz="12"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0.0000</w:t>
            </w:r>
          </w:p>
        </w:tc>
        <w:tc>
          <w:tcPr>
            <w:tcW w:w="850" w:type="dxa"/>
            <w:tcBorders>
              <w:top w:val="single" w:sz="4" w:space="0" w:color="auto"/>
              <w:left w:val="nil"/>
              <w:bottom w:val="single" w:sz="12"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0.4804</w:t>
            </w:r>
          </w:p>
        </w:tc>
        <w:tc>
          <w:tcPr>
            <w:tcW w:w="709" w:type="dxa"/>
            <w:tcBorders>
              <w:top w:val="single" w:sz="4" w:space="0" w:color="auto"/>
              <w:left w:val="nil"/>
              <w:bottom w:val="single" w:sz="12" w:space="0" w:color="auto"/>
              <w:right w:val="single" w:sz="4" w:space="0" w:color="auto"/>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4070</w:t>
            </w:r>
          </w:p>
        </w:tc>
      </w:tr>
      <w:tr w:rsidR="006B0CD0" w:rsidTr="00F41B1B">
        <w:trPr>
          <w:jc w:val="center"/>
        </w:trPr>
        <w:tc>
          <w:tcPr>
            <w:tcW w:w="1417" w:type="dxa"/>
            <w:tcBorders>
              <w:top w:val="single" w:sz="12" w:space="0" w:color="auto"/>
              <w:left w:val="single" w:sz="4" w:space="0" w:color="auto"/>
              <w:bottom w:val="single" w:sz="4" w:space="0" w:color="auto"/>
              <w:right w:val="single" w:sz="4" w:space="0" w:color="auto"/>
            </w:tcBorders>
            <w:hideMark/>
          </w:tcPr>
          <w:p w:rsidR="006B0CD0" w:rsidRDefault="006B0CD0">
            <w:pPr>
              <w:rPr>
                <w:rFonts w:ascii="Times New Roman" w:hAnsi="Times New Roman"/>
                <w:color w:val="000000"/>
                <w:sz w:val="16"/>
                <w:szCs w:val="16"/>
                <w:lang w:val="pt-PT"/>
              </w:rPr>
            </w:pPr>
            <m:oMath>
              <m:r>
                <w:rPr>
                  <w:rFonts w:ascii="Cambria Math" w:hAnsi="Cambria Math"/>
                  <w:color w:val="000000"/>
                  <w:sz w:val="16"/>
                  <w:szCs w:val="16"/>
                  <w:lang w:val="pt-PT"/>
                </w:rPr>
                <m:t>(8)</m:t>
              </m:r>
            </m:oMath>
            <w:r>
              <w:rPr>
                <w:rFonts w:ascii="Times New Roman" w:hAnsi="Times New Roman"/>
                <w:color w:val="000000"/>
                <w:sz w:val="16"/>
                <w:szCs w:val="16"/>
                <w:lang w:val="pt-PT"/>
              </w:rPr>
              <w:t xml:space="preserve">     </w:t>
            </w:r>
            <m:oMath>
              <m:r>
                <m:rPr>
                  <m:sty m:val="bi"/>
                </m:rPr>
                <w:rPr>
                  <w:rFonts w:ascii="Cambria Math" w:hAnsi="Cambria Math"/>
                  <w:color w:val="000000"/>
                  <w:sz w:val="16"/>
                  <w:szCs w:val="16"/>
                  <w:lang w:val="pt-PT"/>
                </w:rPr>
                <m:t>ln(TRA)</m:t>
              </m:r>
            </m:oMath>
          </w:p>
          <w:p w:rsidR="006B0CD0" w:rsidRDefault="006B0CD0">
            <w:pPr>
              <w:spacing w:line="360" w:lineRule="auto"/>
              <w:jc w:val="center"/>
              <w:rPr>
                <w:rFonts w:ascii="Times New Roman" w:hAnsi="Times New Roman"/>
                <w:b/>
                <w:color w:val="000000"/>
                <w:sz w:val="16"/>
                <w:szCs w:val="16"/>
                <w:lang w:val="pt-PT"/>
              </w:rPr>
            </w:pPr>
            <w:r>
              <w:rPr>
                <w:rFonts w:ascii="Times New Roman" w:eastAsia="Times New Roman" w:hAnsi="Times New Roman"/>
                <w:b/>
                <w:color w:val="000000"/>
                <w:sz w:val="16"/>
                <w:szCs w:val="16"/>
                <w:lang w:val="pt-PT"/>
              </w:rPr>
              <w:t xml:space="preserve">     (1960-1975)</w:t>
            </w:r>
          </w:p>
        </w:tc>
        <w:tc>
          <w:tcPr>
            <w:tcW w:w="991" w:type="dxa"/>
            <w:tcBorders>
              <w:top w:val="single" w:sz="12" w:space="0" w:color="auto"/>
              <w:left w:val="single" w:sz="4" w:space="0" w:color="auto"/>
              <w:bottom w:val="single" w:sz="4"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-1.156</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(-5.40)*</w:t>
            </w:r>
          </w:p>
        </w:tc>
        <w:tc>
          <w:tcPr>
            <w:tcW w:w="992"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0.455</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(10.00)*</w:t>
            </w:r>
          </w:p>
        </w:tc>
        <w:tc>
          <w:tcPr>
            <w:tcW w:w="991"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0.014</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(3.24)*</w:t>
            </w:r>
          </w:p>
        </w:tc>
        <w:tc>
          <w:tcPr>
            <w:tcW w:w="849"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0.025</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(1.82)***</w:t>
            </w:r>
          </w:p>
        </w:tc>
        <w:tc>
          <w:tcPr>
            <w:tcW w:w="851"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-0.387</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(-8.14)*</w:t>
            </w:r>
          </w:p>
        </w:tc>
        <w:tc>
          <w:tcPr>
            <w:tcW w:w="850"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-0.005</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(-0.09)</w:t>
            </w:r>
          </w:p>
        </w:tc>
        <w:tc>
          <w:tcPr>
            <w:tcW w:w="993"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-0.028</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(-2.92)*</w:t>
            </w:r>
          </w:p>
        </w:tc>
        <w:tc>
          <w:tcPr>
            <w:tcW w:w="992"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0.145</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(4.93)*</w:t>
            </w:r>
          </w:p>
        </w:tc>
        <w:tc>
          <w:tcPr>
            <w:tcW w:w="850"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-0.008</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(-0.73)</w:t>
            </w:r>
          </w:p>
        </w:tc>
        <w:tc>
          <w:tcPr>
            <w:tcW w:w="993"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0.011</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(0.45)</w:t>
            </w:r>
          </w:p>
        </w:tc>
        <w:tc>
          <w:tcPr>
            <w:tcW w:w="992"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0.036</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(1.88)***</w:t>
            </w:r>
          </w:p>
        </w:tc>
        <w:tc>
          <w:tcPr>
            <w:tcW w:w="850" w:type="dxa"/>
            <w:tcBorders>
              <w:top w:val="single" w:sz="12" w:space="0" w:color="auto"/>
              <w:left w:val="nil"/>
              <w:bottom w:val="single" w:sz="4" w:space="0" w:color="auto"/>
              <w:right w:val="nil"/>
            </w:tcBorders>
          </w:tcPr>
          <w:p w:rsidR="006B0CD0" w:rsidRDefault="006B0CD0">
            <w:pPr>
              <w:spacing w:line="360" w:lineRule="auto"/>
              <w:jc w:val="center"/>
              <w:rPr>
                <w:rFonts w:ascii="Times New Roman" w:hAnsi="Times New Roman"/>
                <w:sz w:val="16"/>
                <w:szCs w:val="16"/>
                <w:lang w:val="pt-PT"/>
              </w:rPr>
            </w:pP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0.4933</w:t>
            </w:r>
          </w:p>
        </w:tc>
        <w:tc>
          <w:tcPr>
            <w:tcW w:w="851" w:type="dxa"/>
            <w:tcBorders>
              <w:top w:val="single" w:sz="12" w:space="0" w:color="auto"/>
              <w:left w:val="nil"/>
              <w:bottom w:val="single" w:sz="4" w:space="0" w:color="auto"/>
              <w:right w:val="nil"/>
            </w:tcBorders>
          </w:tcPr>
          <w:p w:rsidR="006B0CD0" w:rsidRDefault="006B0CD0">
            <w:pPr>
              <w:spacing w:line="360" w:lineRule="auto"/>
              <w:jc w:val="center"/>
              <w:rPr>
                <w:rFonts w:ascii="Times New Roman" w:hAnsi="Times New Roman"/>
                <w:sz w:val="16"/>
                <w:szCs w:val="16"/>
                <w:lang w:val="pt-PT"/>
              </w:rPr>
            </w:pP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0.0000</w:t>
            </w:r>
          </w:p>
        </w:tc>
        <w:tc>
          <w:tcPr>
            <w:tcW w:w="1134" w:type="dxa"/>
            <w:tcBorders>
              <w:top w:val="single" w:sz="12" w:space="0" w:color="auto"/>
              <w:left w:val="nil"/>
              <w:bottom w:val="single" w:sz="4" w:space="0" w:color="auto"/>
              <w:right w:val="nil"/>
            </w:tcBorders>
          </w:tcPr>
          <w:p w:rsidR="006B0CD0" w:rsidRDefault="006B0CD0">
            <w:pPr>
              <w:spacing w:line="360" w:lineRule="auto"/>
              <w:jc w:val="center"/>
              <w:rPr>
                <w:rFonts w:ascii="Times New Roman" w:hAnsi="Times New Roman"/>
                <w:sz w:val="16"/>
                <w:szCs w:val="16"/>
                <w:lang w:val="pt-PT"/>
              </w:rPr>
            </w:pP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0.0000</w:t>
            </w:r>
          </w:p>
        </w:tc>
        <w:tc>
          <w:tcPr>
            <w:tcW w:w="850" w:type="dxa"/>
            <w:tcBorders>
              <w:top w:val="single" w:sz="12" w:space="0" w:color="auto"/>
              <w:left w:val="nil"/>
              <w:bottom w:val="single" w:sz="4" w:space="0" w:color="auto"/>
              <w:right w:val="nil"/>
            </w:tcBorders>
          </w:tcPr>
          <w:p w:rsidR="006B0CD0" w:rsidRDefault="006B0CD0">
            <w:pPr>
              <w:spacing w:line="360" w:lineRule="auto"/>
              <w:jc w:val="center"/>
              <w:rPr>
                <w:rFonts w:ascii="Times New Roman" w:hAnsi="Times New Roman"/>
                <w:sz w:val="16"/>
                <w:szCs w:val="16"/>
                <w:lang w:val="pt-PT"/>
              </w:rPr>
            </w:pP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0.5706</w:t>
            </w:r>
          </w:p>
        </w:tc>
        <w:tc>
          <w:tcPr>
            <w:tcW w:w="709" w:type="dxa"/>
            <w:tcBorders>
              <w:top w:val="single" w:sz="12" w:space="0" w:color="auto"/>
              <w:left w:val="nil"/>
              <w:bottom w:val="single" w:sz="4" w:space="0" w:color="auto"/>
              <w:right w:val="single" w:sz="4" w:space="0" w:color="auto"/>
            </w:tcBorders>
          </w:tcPr>
          <w:p w:rsidR="006B0CD0" w:rsidRDefault="006B0CD0">
            <w:pPr>
              <w:spacing w:line="360" w:lineRule="auto"/>
              <w:jc w:val="center"/>
              <w:rPr>
                <w:rFonts w:ascii="Times New Roman" w:hAnsi="Times New Roman"/>
                <w:sz w:val="16"/>
                <w:szCs w:val="16"/>
                <w:lang w:val="pt-PT"/>
              </w:rPr>
            </w:pP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2700</w:t>
            </w:r>
          </w:p>
        </w:tc>
      </w:tr>
      <w:tr w:rsidR="006B0CD0" w:rsidTr="00F41B1B">
        <w:trPr>
          <w:jc w:val="center"/>
        </w:trPr>
        <w:tc>
          <w:tcPr>
            <w:tcW w:w="1417" w:type="dxa"/>
            <w:tcBorders>
              <w:top w:val="single" w:sz="4" w:space="0" w:color="auto"/>
              <w:left w:val="single" w:sz="4" w:space="0" w:color="auto"/>
              <w:bottom w:val="single" w:sz="4" w:space="0" w:color="auto"/>
              <w:right w:val="single" w:sz="4" w:space="0" w:color="auto"/>
            </w:tcBorders>
            <w:hideMark/>
          </w:tcPr>
          <w:p w:rsidR="006B0CD0" w:rsidRDefault="00D36D34">
            <w:pPr>
              <w:jc w:val="center"/>
              <w:rPr>
                <w:rFonts w:ascii="Times New Roman" w:hAnsi="Times New Roman"/>
                <w:color w:val="000000"/>
                <w:sz w:val="16"/>
                <w:szCs w:val="16"/>
                <w:lang w:val="pt-PT"/>
              </w:rPr>
            </w:pPr>
            <m:oMathPara>
              <m:oMathParaPr>
                <m:jc m:val="left"/>
              </m:oMathParaPr>
              <m:oMath>
                <m:d>
                  <m:dPr>
                    <m:ctrlPr>
                      <w:rPr>
                        <w:rFonts w:ascii="Cambria Math" w:hAnsi="Cambria Math"/>
                        <w:i/>
                        <w:color w:val="000000"/>
                        <w:sz w:val="16"/>
                        <w:szCs w:val="16"/>
                        <w:lang w:val="pt-PT"/>
                      </w:rPr>
                    </m:ctrlPr>
                  </m:dPr>
                  <m:e>
                    <m:r>
                      <w:rPr>
                        <w:rFonts w:ascii="Cambria Math" w:hAnsi="Cambria Math"/>
                        <w:color w:val="000000"/>
                        <w:sz w:val="16"/>
                        <w:szCs w:val="16"/>
                        <w:lang w:val="pt-PT"/>
                      </w:rPr>
                      <m:t>9</m:t>
                    </m:r>
                  </m:e>
                </m:d>
                <m:r>
                  <m:rPr>
                    <m:sty m:val="bi"/>
                  </m:rPr>
                  <w:rPr>
                    <w:rFonts w:ascii="Cambria Math" w:hAnsi="Cambria Math"/>
                    <w:color w:val="000000"/>
                    <w:sz w:val="16"/>
                    <w:szCs w:val="16"/>
                    <w:lang w:val="pt-PT"/>
                  </w:rPr>
                  <m:t xml:space="preserve">     ln(TRA)</m:t>
                </m:r>
              </m:oMath>
            </m:oMathPara>
          </w:p>
          <w:p w:rsidR="006B0CD0" w:rsidRDefault="006B0CD0">
            <w:pPr>
              <w:spacing w:line="360" w:lineRule="auto"/>
              <w:jc w:val="center"/>
              <w:rPr>
                <w:rFonts w:ascii="Times New Roman" w:hAnsi="Times New Roman"/>
                <w:b/>
                <w:color w:val="000000"/>
                <w:sz w:val="16"/>
                <w:szCs w:val="16"/>
                <w:lang w:val="pt-PT"/>
              </w:rPr>
            </w:pPr>
            <w:r>
              <w:rPr>
                <w:rFonts w:ascii="Times New Roman" w:eastAsia="Times New Roman" w:hAnsi="Times New Roman"/>
                <w:b/>
                <w:color w:val="000000"/>
                <w:sz w:val="16"/>
                <w:szCs w:val="16"/>
                <w:lang w:val="pt-PT"/>
              </w:rPr>
              <w:t xml:space="preserve">      (1975-1989)</w:t>
            </w:r>
          </w:p>
        </w:tc>
        <w:tc>
          <w:tcPr>
            <w:tcW w:w="991" w:type="dxa"/>
            <w:tcBorders>
              <w:top w:val="single" w:sz="4" w:space="0" w:color="auto"/>
              <w:left w:val="single" w:sz="4" w:space="0" w:color="auto"/>
              <w:bottom w:val="single" w:sz="4"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-4.052</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(-10.67)*</w:t>
            </w:r>
          </w:p>
        </w:tc>
        <w:tc>
          <w:tcPr>
            <w:tcW w:w="992"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0.147</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(1.64)</w:t>
            </w:r>
          </w:p>
        </w:tc>
        <w:tc>
          <w:tcPr>
            <w:tcW w:w="991"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 xml:space="preserve">-0.020 </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(-0.98)</w:t>
            </w:r>
          </w:p>
        </w:tc>
        <w:tc>
          <w:tcPr>
            <w:tcW w:w="849"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0.120</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(5.28)*</w:t>
            </w:r>
          </w:p>
        </w:tc>
        <w:tc>
          <w:tcPr>
            <w:tcW w:w="851"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-0.235</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(-4.53)*</w:t>
            </w:r>
          </w:p>
        </w:tc>
        <w:tc>
          <w:tcPr>
            <w:tcW w:w="850"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0.017</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(0.22)</w:t>
            </w:r>
          </w:p>
        </w:tc>
        <w:tc>
          <w:tcPr>
            <w:tcW w:w="993"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-0.041</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(-3.12)*</w:t>
            </w:r>
          </w:p>
        </w:tc>
        <w:tc>
          <w:tcPr>
            <w:tcW w:w="992"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-0.010</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(-0.36)</w:t>
            </w:r>
          </w:p>
        </w:tc>
        <w:tc>
          <w:tcPr>
            <w:tcW w:w="850"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0.109</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(6.87)*</w:t>
            </w:r>
          </w:p>
        </w:tc>
        <w:tc>
          <w:tcPr>
            <w:tcW w:w="993"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-0.245</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(7.56)*</w:t>
            </w:r>
          </w:p>
        </w:tc>
        <w:tc>
          <w:tcPr>
            <w:tcW w:w="992"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0.031</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(1.00)</w:t>
            </w:r>
          </w:p>
        </w:tc>
        <w:tc>
          <w:tcPr>
            <w:tcW w:w="850"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sz w:val="16"/>
                <w:szCs w:val="16"/>
                <w:lang w:val="pt-PT"/>
              </w:rPr>
            </w:pP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0.2476</w:t>
            </w:r>
          </w:p>
        </w:tc>
        <w:tc>
          <w:tcPr>
            <w:tcW w:w="851"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sz w:val="16"/>
                <w:szCs w:val="16"/>
                <w:lang w:val="pt-PT"/>
              </w:rPr>
            </w:pP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0.0123</w:t>
            </w:r>
          </w:p>
        </w:tc>
        <w:tc>
          <w:tcPr>
            <w:tcW w:w="1134"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sz w:val="16"/>
                <w:szCs w:val="16"/>
                <w:lang w:val="pt-PT"/>
              </w:rPr>
            </w:pP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0.0000</w:t>
            </w:r>
          </w:p>
        </w:tc>
        <w:tc>
          <w:tcPr>
            <w:tcW w:w="850"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sz w:val="16"/>
                <w:szCs w:val="16"/>
                <w:lang w:val="pt-PT"/>
              </w:rPr>
            </w:pP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0.5082</w:t>
            </w:r>
          </w:p>
        </w:tc>
        <w:tc>
          <w:tcPr>
            <w:tcW w:w="709" w:type="dxa"/>
            <w:tcBorders>
              <w:top w:val="single" w:sz="4" w:space="0" w:color="auto"/>
              <w:left w:val="nil"/>
              <w:bottom w:val="single" w:sz="4" w:space="0" w:color="auto"/>
              <w:right w:val="single" w:sz="4" w:space="0" w:color="auto"/>
            </w:tcBorders>
          </w:tcPr>
          <w:p w:rsidR="006B0CD0" w:rsidRDefault="006B0CD0">
            <w:pPr>
              <w:spacing w:line="360" w:lineRule="auto"/>
              <w:jc w:val="center"/>
              <w:rPr>
                <w:rFonts w:ascii="Times New Roman" w:hAnsi="Times New Roman"/>
                <w:sz w:val="16"/>
                <w:szCs w:val="16"/>
                <w:lang w:val="pt-PT"/>
              </w:rPr>
            </w:pP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1910</w:t>
            </w:r>
          </w:p>
        </w:tc>
      </w:tr>
      <w:tr w:rsidR="006B0CD0" w:rsidTr="00F41B1B">
        <w:trPr>
          <w:jc w:val="center"/>
        </w:trPr>
        <w:tc>
          <w:tcPr>
            <w:tcW w:w="1417" w:type="dxa"/>
            <w:tcBorders>
              <w:top w:val="single" w:sz="4" w:space="0" w:color="auto"/>
              <w:left w:val="single" w:sz="4" w:space="0" w:color="auto"/>
              <w:bottom w:val="single" w:sz="12" w:space="0" w:color="auto"/>
              <w:right w:val="single" w:sz="4" w:space="0" w:color="auto"/>
            </w:tcBorders>
            <w:hideMark/>
          </w:tcPr>
          <w:p w:rsidR="006B0CD0" w:rsidRDefault="00D36D34">
            <w:pPr>
              <w:jc w:val="center"/>
              <w:rPr>
                <w:rFonts w:ascii="Times New Roman" w:hAnsi="Times New Roman"/>
                <w:color w:val="000000"/>
                <w:sz w:val="16"/>
                <w:szCs w:val="16"/>
                <w:lang w:val="pt-PT"/>
              </w:rPr>
            </w:pPr>
            <m:oMathPara>
              <m:oMathParaPr>
                <m:jc m:val="left"/>
              </m:oMathParaPr>
              <m:oMath>
                <m:d>
                  <m:dPr>
                    <m:ctrlPr>
                      <w:rPr>
                        <w:rFonts w:ascii="Cambria Math" w:hAnsi="Cambria Math"/>
                        <w:i/>
                        <w:color w:val="000000"/>
                        <w:sz w:val="16"/>
                        <w:szCs w:val="16"/>
                        <w:lang w:val="pt-PT"/>
                      </w:rPr>
                    </m:ctrlPr>
                  </m:dPr>
                  <m:e>
                    <m:r>
                      <w:rPr>
                        <w:rFonts w:ascii="Cambria Math" w:hAnsi="Cambria Math"/>
                        <w:color w:val="000000"/>
                        <w:sz w:val="16"/>
                        <w:szCs w:val="16"/>
                        <w:lang w:val="pt-PT"/>
                      </w:rPr>
                      <m:t>10</m:t>
                    </m:r>
                  </m:e>
                </m:d>
                <m:r>
                  <m:rPr>
                    <m:sty m:val="bi"/>
                  </m:rPr>
                  <w:rPr>
                    <w:rFonts w:ascii="Cambria Math" w:hAnsi="Cambria Math"/>
                    <w:color w:val="000000"/>
                    <w:sz w:val="16"/>
                    <w:szCs w:val="16"/>
                    <w:lang w:val="pt-PT"/>
                  </w:rPr>
                  <m:t xml:space="preserve">   ln(TRA)</m:t>
                </m:r>
              </m:oMath>
            </m:oMathPara>
          </w:p>
          <w:p w:rsidR="006B0CD0" w:rsidRDefault="006B0CD0">
            <w:pPr>
              <w:spacing w:line="360" w:lineRule="auto"/>
              <w:jc w:val="center"/>
              <w:rPr>
                <w:rFonts w:ascii="Times New Roman" w:hAnsi="Times New Roman"/>
                <w:b/>
                <w:color w:val="000000"/>
                <w:sz w:val="16"/>
                <w:szCs w:val="16"/>
                <w:lang w:val="pt-PT"/>
              </w:rPr>
            </w:pPr>
            <w:r>
              <w:rPr>
                <w:rFonts w:ascii="Times New Roman" w:eastAsia="Times New Roman" w:hAnsi="Times New Roman"/>
                <w:b/>
                <w:color w:val="000000"/>
                <w:sz w:val="16"/>
                <w:szCs w:val="16"/>
                <w:lang w:val="pt-PT"/>
              </w:rPr>
              <w:t xml:space="preserve">      (1989-2015)</w:t>
            </w:r>
          </w:p>
        </w:tc>
        <w:tc>
          <w:tcPr>
            <w:tcW w:w="991" w:type="dxa"/>
            <w:tcBorders>
              <w:top w:val="single" w:sz="4" w:space="0" w:color="auto"/>
              <w:left w:val="single" w:sz="4" w:space="0" w:color="auto"/>
              <w:bottom w:val="single" w:sz="12"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1.137</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(1.89)***</w:t>
            </w:r>
          </w:p>
        </w:tc>
        <w:tc>
          <w:tcPr>
            <w:tcW w:w="992"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0.443</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(7.54)*</w:t>
            </w:r>
          </w:p>
        </w:tc>
        <w:tc>
          <w:tcPr>
            <w:tcW w:w="991"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0.117</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(4.72)*</w:t>
            </w:r>
          </w:p>
        </w:tc>
        <w:tc>
          <w:tcPr>
            <w:tcW w:w="849"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0.145</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(7.17)*</w:t>
            </w:r>
          </w:p>
        </w:tc>
        <w:tc>
          <w:tcPr>
            <w:tcW w:w="851"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-0.103</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(-3.57)*</w:t>
            </w:r>
          </w:p>
        </w:tc>
        <w:tc>
          <w:tcPr>
            <w:tcW w:w="850"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0.170</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(3.65)*</w:t>
            </w:r>
          </w:p>
        </w:tc>
        <w:tc>
          <w:tcPr>
            <w:tcW w:w="993"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0.060</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(3.04)*</w:t>
            </w:r>
          </w:p>
        </w:tc>
        <w:tc>
          <w:tcPr>
            <w:tcW w:w="992"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-0.062</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(-2.43)**</w:t>
            </w:r>
          </w:p>
        </w:tc>
        <w:tc>
          <w:tcPr>
            <w:tcW w:w="850"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-0.078</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(-2.10)**</w:t>
            </w:r>
          </w:p>
        </w:tc>
        <w:tc>
          <w:tcPr>
            <w:tcW w:w="993"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0.010</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(0.26)</w:t>
            </w:r>
          </w:p>
        </w:tc>
        <w:tc>
          <w:tcPr>
            <w:tcW w:w="992"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-0.005</w:t>
            </w: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(-0.18)</w:t>
            </w:r>
          </w:p>
        </w:tc>
        <w:tc>
          <w:tcPr>
            <w:tcW w:w="850" w:type="dxa"/>
            <w:tcBorders>
              <w:top w:val="single" w:sz="4" w:space="0" w:color="auto"/>
              <w:left w:val="nil"/>
              <w:bottom w:val="single" w:sz="12" w:space="0" w:color="auto"/>
              <w:right w:val="nil"/>
            </w:tcBorders>
          </w:tcPr>
          <w:p w:rsidR="006B0CD0" w:rsidRDefault="006B0CD0">
            <w:pPr>
              <w:spacing w:line="360" w:lineRule="auto"/>
              <w:jc w:val="center"/>
              <w:rPr>
                <w:rFonts w:ascii="Times New Roman" w:hAnsi="Times New Roman"/>
                <w:sz w:val="16"/>
                <w:szCs w:val="16"/>
                <w:lang w:val="pt-PT"/>
              </w:rPr>
            </w:pP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0.7049</w:t>
            </w:r>
          </w:p>
        </w:tc>
        <w:tc>
          <w:tcPr>
            <w:tcW w:w="851" w:type="dxa"/>
            <w:tcBorders>
              <w:top w:val="single" w:sz="4" w:space="0" w:color="auto"/>
              <w:left w:val="nil"/>
              <w:bottom w:val="single" w:sz="12" w:space="0" w:color="auto"/>
              <w:right w:val="nil"/>
            </w:tcBorders>
          </w:tcPr>
          <w:p w:rsidR="006B0CD0" w:rsidRDefault="006B0CD0">
            <w:pPr>
              <w:spacing w:line="360" w:lineRule="auto"/>
              <w:rPr>
                <w:rFonts w:ascii="Times New Roman" w:hAnsi="Times New Roman"/>
                <w:sz w:val="16"/>
                <w:szCs w:val="16"/>
                <w:lang w:val="pt-PT"/>
              </w:rPr>
            </w:pPr>
          </w:p>
          <w:p w:rsidR="006B0CD0" w:rsidRDefault="006B0CD0">
            <w:pPr>
              <w:spacing w:line="360" w:lineRule="auto"/>
              <w:rPr>
                <w:rFonts w:ascii="Times New Roman" w:hAnsi="Times New Roman"/>
                <w:sz w:val="16"/>
                <w:szCs w:val="16"/>
                <w:lang w:val="pt-PT"/>
              </w:rPr>
            </w:pPr>
            <w:r>
              <w:rPr>
                <w:rFonts w:ascii="Times New Roman" w:hAnsi="Times New Roman"/>
                <w:sz w:val="16"/>
                <w:szCs w:val="16"/>
                <w:lang w:val="pt-PT"/>
              </w:rPr>
              <w:t>0.0000</w:t>
            </w:r>
          </w:p>
        </w:tc>
        <w:tc>
          <w:tcPr>
            <w:tcW w:w="1134" w:type="dxa"/>
            <w:tcBorders>
              <w:top w:val="single" w:sz="4" w:space="0" w:color="auto"/>
              <w:left w:val="nil"/>
              <w:bottom w:val="single" w:sz="12" w:space="0" w:color="auto"/>
              <w:right w:val="nil"/>
            </w:tcBorders>
          </w:tcPr>
          <w:p w:rsidR="006B0CD0" w:rsidRDefault="006B0CD0">
            <w:pPr>
              <w:spacing w:line="360" w:lineRule="auto"/>
              <w:jc w:val="center"/>
              <w:rPr>
                <w:rFonts w:ascii="Times New Roman" w:hAnsi="Times New Roman"/>
                <w:sz w:val="16"/>
                <w:szCs w:val="16"/>
                <w:lang w:val="pt-PT"/>
              </w:rPr>
            </w:pP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0.0000</w:t>
            </w:r>
          </w:p>
        </w:tc>
        <w:tc>
          <w:tcPr>
            <w:tcW w:w="850" w:type="dxa"/>
            <w:tcBorders>
              <w:top w:val="single" w:sz="4" w:space="0" w:color="auto"/>
              <w:left w:val="nil"/>
              <w:bottom w:val="single" w:sz="12" w:space="0" w:color="auto"/>
              <w:right w:val="nil"/>
            </w:tcBorders>
          </w:tcPr>
          <w:p w:rsidR="006B0CD0" w:rsidRDefault="006B0CD0">
            <w:pPr>
              <w:spacing w:line="360" w:lineRule="auto"/>
              <w:jc w:val="center"/>
              <w:rPr>
                <w:rFonts w:ascii="Times New Roman" w:hAnsi="Times New Roman"/>
                <w:sz w:val="16"/>
                <w:szCs w:val="16"/>
                <w:lang w:val="pt-PT"/>
              </w:rPr>
            </w:pP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0.3449</w:t>
            </w:r>
          </w:p>
        </w:tc>
        <w:tc>
          <w:tcPr>
            <w:tcW w:w="709" w:type="dxa"/>
            <w:tcBorders>
              <w:top w:val="single" w:sz="4" w:space="0" w:color="auto"/>
              <w:left w:val="nil"/>
              <w:bottom w:val="single" w:sz="12" w:space="0" w:color="auto"/>
              <w:right w:val="single" w:sz="4" w:space="0" w:color="auto"/>
            </w:tcBorders>
          </w:tcPr>
          <w:p w:rsidR="006B0CD0" w:rsidRDefault="006B0CD0">
            <w:pPr>
              <w:spacing w:line="360" w:lineRule="auto"/>
              <w:jc w:val="center"/>
              <w:rPr>
                <w:rFonts w:ascii="Times New Roman" w:hAnsi="Times New Roman"/>
                <w:sz w:val="16"/>
                <w:szCs w:val="16"/>
                <w:lang w:val="pt-PT"/>
              </w:rPr>
            </w:pPr>
          </w:p>
          <w:p w:rsidR="006B0CD0" w:rsidRDefault="006B0CD0">
            <w:pPr>
              <w:spacing w:line="360" w:lineRule="auto"/>
              <w:jc w:val="center"/>
              <w:rPr>
                <w:rFonts w:ascii="Times New Roman" w:hAnsi="Times New Roman"/>
                <w:sz w:val="16"/>
                <w:szCs w:val="16"/>
                <w:lang w:val="pt-PT"/>
              </w:rPr>
            </w:pPr>
            <w:r>
              <w:rPr>
                <w:rFonts w:ascii="Times New Roman" w:hAnsi="Times New Roman"/>
                <w:sz w:val="16"/>
                <w:szCs w:val="16"/>
                <w:lang w:val="pt-PT"/>
              </w:rPr>
              <w:t>4070</w:t>
            </w:r>
          </w:p>
        </w:tc>
      </w:tr>
      <w:tr w:rsidR="006B0CD0" w:rsidTr="00F41B1B">
        <w:trPr>
          <w:jc w:val="center"/>
        </w:trPr>
        <w:tc>
          <w:tcPr>
            <w:tcW w:w="1417" w:type="dxa"/>
            <w:tcBorders>
              <w:top w:val="single" w:sz="12" w:space="0" w:color="auto"/>
              <w:left w:val="single" w:sz="4" w:space="0" w:color="auto"/>
              <w:bottom w:val="single" w:sz="4" w:space="0" w:color="auto"/>
              <w:right w:val="single" w:sz="4" w:space="0" w:color="auto"/>
            </w:tcBorders>
            <w:hideMark/>
          </w:tcPr>
          <w:p w:rsidR="006B0CD0" w:rsidRDefault="00D36D34">
            <w:pPr>
              <w:jc w:val="center"/>
              <w:rPr>
                <w:rFonts w:ascii="Times New Roman" w:hAnsi="Times New Roman"/>
                <w:color w:val="000000"/>
                <w:sz w:val="16"/>
                <w:szCs w:val="16"/>
                <w:lang w:val="pt-PT"/>
              </w:rPr>
            </w:pPr>
            <m:oMathPara>
              <m:oMathParaPr>
                <m:jc m:val="left"/>
              </m:oMathParaPr>
              <m:oMath>
                <m:d>
                  <m:dPr>
                    <m:ctrlPr>
                      <w:rPr>
                        <w:rFonts w:ascii="Cambria Math" w:hAnsi="Cambria Math"/>
                        <w:i/>
                        <w:color w:val="000000"/>
                        <w:sz w:val="16"/>
                        <w:szCs w:val="16"/>
                        <w:lang w:val="pt-PT"/>
                      </w:rPr>
                    </m:ctrlPr>
                  </m:dPr>
                  <m:e>
                    <m:r>
                      <w:rPr>
                        <w:rFonts w:ascii="Cambria Math" w:hAnsi="Cambria Math"/>
                        <w:color w:val="000000"/>
                        <w:sz w:val="16"/>
                        <w:szCs w:val="16"/>
                        <w:lang w:val="pt-PT"/>
                      </w:rPr>
                      <m:t>11</m:t>
                    </m:r>
                  </m:e>
                </m:d>
                <m:r>
                  <m:rPr>
                    <m:sty m:val="bi"/>
                  </m:rPr>
                  <w:rPr>
                    <w:rFonts w:ascii="Cambria Math" w:eastAsia="Times New Roman" w:hAnsi="Cambria Math"/>
                    <w:color w:val="000000"/>
                    <w:sz w:val="16"/>
                    <w:szCs w:val="16"/>
                    <w:lang w:val="pt-PT"/>
                  </w:rPr>
                  <m:t xml:space="preserve">    ln(IR)</m:t>
                </m:r>
              </m:oMath>
            </m:oMathPara>
          </w:p>
          <w:p w:rsidR="006B0CD0" w:rsidRDefault="006B0CD0">
            <w:pPr>
              <w:spacing w:line="360" w:lineRule="auto"/>
              <w:jc w:val="center"/>
              <w:rPr>
                <w:rFonts w:ascii="Times New Roman" w:hAnsi="Times New Roman"/>
                <w:b/>
                <w:color w:val="000000"/>
                <w:sz w:val="16"/>
                <w:szCs w:val="16"/>
                <w:lang w:val="pt-PT"/>
              </w:rPr>
            </w:pPr>
            <w:r>
              <w:rPr>
                <w:rFonts w:ascii="Times New Roman" w:eastAsia="Times New Roman" w:hAnsi="Times New Roman"/>
                <w:b/>
                <w:color w:val="000000"/>
                <w:sz w:val="16"/>
                <w:szCs w:val="16"/>
                <w:lang w:val="pt-PT"/>
              </w:rPr>
              <w:t xml:space="preserve">      (1960-1975)</w:t>
            </w:r>
          </w:p>
        </w:tc>
        <w:tc>
          <w:tcPr>
            <w:tcW w:w="991" w:type="dxa"/>
            <w:tcBorders>
              <w:top w:val="single" w:sz="12" w:space="0" w:color="auto"/>
              <w:left w:val="single" w:sz="4" w:space="0" w:color="auto"/>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0.639</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(0.63)</w:t>
            </w:r>
          </w:p>
        </w:tc>
        <w:tc>
          <w:tcPr>
            <w:tcW w:w="992"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0.823</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(3.82)*</w:t>
            </w:r>
          </w:p>
        </w:tc>
        <w:tc>
          <w:tcPr>
            <w:tcW w:w="991"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-0.028</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(-1.39)</w:t>
            </w:r>
          </w:p>
        </w:tc>
        <w:tc>
          <w:tcPr>
            <w:tcW w:w="849"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0.078</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(1.21)</w:t>
            </w:r>
          </w:p>
        </w:tc>
        <w:tc>
          <w:tcPr>
            <w:tcW w:w="851"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-0.940</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(-4.18)*</w:t>
            </w:r>
          </w:p>
        </w:tc>
        <w:tc>
          <w:tcPr>
            <w:tcW w:w="850"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0.189</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(0.72)</w:t>
            </w:r>
          </w:p>
        </w:tc>
        <w:tc>
          <w:tcPr>
            <w:tcW w:w="993" w:type="dxa"/>
            <w:tcBorders>
              <w:top w:val="single" w:sz="12" w:space="0" w:color="auto"/>
              <w:left w:val="nil"/>
              <w:bottom w:val="single" w:sz="4" w:space="0" w:color="auto"/>
              <w:right w:val="nil"/>
            </w:tcBorders>
            <w:hideMark/>
          </w:tcPr>
          <w:p w:rsidR="006B0CD0" w:rsidRDefault="006B0CD0">
            <w:pPr>
              <w:spacing w:line="360" w:lineRule="auto"/>
              <w:rPr>
                <w:rFonts w:ascii="Times New Roman" w:hAnsi="Times New Roman"/>
                <w:color w:val="000000"/>
                <w:sz w:val="16"/>
                <w:szCs w:val="16"/>
                <w:lang w:val="pt-PT"/>
              </w:rPr>
            </w:pPr>
            <w:r>
              <w:rPr>
                <w:rFonts w:ascii="Times New Roman" w:hAnsi="Times New Roman"/>
                <w:color w:val="000000"/>
                <w:sz w:val="16"/>
                <w:szCs w:val="16"/>
                <w:lang w:val="pt-PT"/>
              </w:rPr>
              <w:t>-0.119</w:t>
            </w:r>
          </w:p>
          <w:p w:rsidR="006B0CD0" w:rsidRDefault="006B0CD0">
            <w:pPr>
              <w:spacing w:line="360" w:lineRule="auto"/>
              <w:rPr>
                <w:rFonts w:ascii="Times New Roman" w:hAnsi="Times New Roman"/>
                <w:color w:val="000000"/>
                <w:sz w:val="16"/>
                <w:szCs w:val="16"/>
                <w:lang w:val="pt-PT"/>
              </w:rPr>
            </w:pPr>
            <w:r>
              <w:rPr>
                <w:rFonts w:ascii="Times New Roman" w:hAnsi="Times New Roman"/>
                <w:color w:val="000000"/>
                <w:sz w:val="16"/>
                <w:szCs w:val="16"/>
                <w:lang w:val="pt-PT"/>
              </w:rPr>
              <w:t>(-2.63)*</w:t>
            </w:r>
          </w:p>
        </w:tc>
        <w:tc>
          <w:tcPr>
            <w:tcW w:w="992"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-0.190</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(-1.37)</w:t>
            </w:r>
          </w:p>
        </w:tc>
        <w:tc>
          <w:tcPr>
            <w:tcW w:w="850"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1.012</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(19.22)*</w:t>
            </w:r>
          </w:p>
        </w:tc>
        <w:tc>
          <w:tcPr>
            <w:tcW w:w="993"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-0.573</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(-4.77)*</w:t>
            </w:r>
          </w:p>
        </w:tc>
        <w:tc>
          <w:tcPr>
            <w:tcW w:w="992" w:type="dxa"/>
            <w:tcBorders>
              <w:top w:val="single" w:sz="12"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-0.016</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(-0.18)</w:t>
            </w:r>
          </w:p>
        </w:tc>
        <w:tc>
          <w:tcPr>
            <w:tcW w:w="850" w:type="dxa"/>
            <w:tcBorders>
              <w:top w:val="single" w:sz="12"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0.8738</w:t>
            </w:r>
          </w:p>
        </w:tc>
        <w:tc>
          <w:tcPr>
            <w:tcW w:w="851" w:type="dxa"/>
            <w:tcBorders>
              <w:top w:val="single" w:sz="12"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0.0001</w:t>
            </w:r>
          </w:p>
        </w:tc>
        <w:tc>
          <w:tcPr>
            <w:tcW w:w="1134" w:type="dxa"/>
            <w:tcBorders>
              <w:top w:val="single" w:sz="12"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0.5759</w:t>
            </w:r>
          </w:p>
        </w:tc>
        <w:tc>
          <w:tcPr>
            <w:tcW w:w="850" w:type="dxa"/>
            <w:tcBorders>
              <w:top w:val="single" w:sz="12"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0.3831</w:t>
            </w:r>
          </w:p>
        </w:tc>
        <w:tc>
          <w:tcPr>
            <w:tcW w:w="709" w:type="dxa"/>
            <w:tcBorders>
              <w:top w:val="single" w:sz="12" w:space="0" w:color="auto"/>
              <w:left w:val="nil"/>
              <w:bottom w:val="single" w:sz="4" w:space="0" w:color="auto"/>
              <w:right w:val="single" w:sz="4" w:space="0" w:color="auto"/>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2700</w:t>
            </w:r>
          </w:p>
        </w:tc>
      </w:tr>
      <w:tr w:rsidR="006B0CD0" w:rsidTr="00F41B1B">
        <w:trPr>
          <w:jc w:val="center"/>
        </w:trPr>
        <w:tc>
          <w:tcPr>
            <w:tcW w:w="1417" w:type="dxa"/>
            <w:tcBorders>
              <w:top w:val="single" w:sz="4" w:space="0" w:color="auto"/>
              <w:left w:val="single" w:sz="4" w:space="0" w:color="auto"/>
              <w:bottom w:val="single" w:sz="4" w:space="0" w:color="auto"/>
              <w:right w:val="single" w:sz="4" w:space="0" w:color="auto"/>
            </w:tcBorders>
            <w:hideMark/>
          </w:tcPr>
          <w:p w:rsidR="006B0CD0" w:rsidRDefault="006B0CD0">
            <w:pPr>
              <w:rPr>
                <w:rFonts w:ascii="Times New Roman" w:hAnsi="Times New Roman"/>
                <w:color w:val="000000"/>
                <w:sz w:val="16"/>
                <w:szCs w:val="16"/>
                <w:lang w:val="pt-PT"/>
              </w:rPr>
            </w:pPr>
            <m:oMath>
              <m:r>
                <w:rPr>
                  <w:rFonts w:ascii="Cambria Math" w:hAnsi="Cambria Math"/>
                  <w:color w:val="000000"/>
                  <w:sz w:val="16"/>
                  <w:szCs w:val="16"/>
                  <w:lang w:val="pt-PT"/>
                </w:rPr>
                <m:t>(12)</m:t>
              </m:r>
            </m:oMath>
            <w:r>
              <w:rPr>
                <w:rFonts w:ascii="Times New Roman" w:hAnsi="Times New Roman"/>
                <w:color w:val="000000"/>
                <w:sz w:val="16"/>
                <w:szCs w:val="16"/>
                <w:lang w:val="pt-PT"/>
              </w:rPr>
              <w:t xml:space="preserve">    </w:t>
            </w:r>
            <m:oMath>
              <m:r>
                <m:rPr>
                  <m:sty m:val="bi"/>
                </m:rPr>
                <w:rPr>
                  <w:rFonts w:ascii="Cambria Math" w:eastAsia="Times New Roman" w:hAnsi="Cambria Math"/>
                  <w:color w:val="000000"/>
                  <w:sz w:val="16"/>
                  <w:szCs w:val="16"/>
                  <w:lang w:val="pt-PT"/>
                </w:rPr>
                <m:t>ln(IR)</m:t>
              </m:r>
            </m:oMath>
          </w:p>
          <w:p w:rsidR="006B0CD0" w:rsidRDefault="006B0CD0">
            <w:pPr>
              <w:spacing w:line="360" w:lineRule="auto"/>
              <w:jc w:val="center"/>
              <w:rPr>
                <w:rFonts w:ascii="Times New Roman" w:hAnsi="Times New Roman"/>
                <w:b/>
                <w:color w:val="000000"/>
                <w:sz w:val="16"/>
                <w:szCs w:val="16"/>
                <w:lang w:val="pt-PT"/>
              </w:rPr>
            </w:pPr>
            <w:r>
              <w:rPr>
                <w:rFonts w:ascii="Times New Roman" w:eastAsia="Times New Roman" w:hAnsi="Times New Roman"/>
                <w:b/>
                <w:color w:val="000000"/>
                <w:sz w:val="16"/>
                <w:szCs w:val="16"/>
                <w:lang w:val="pt-PT"/>
              </w:rPr>
              <w:t xml:space="preserve">       (1975-1989)</w:t>
            </w:r>
          </w:p>
        </w:tc>
        <w:tc>
          <w:tcPr>
            <w:tcW w:w="991" w:type="dxa"/>
            <w:tcBorders>
              <w:top w:val="single" w:sz="4" w:space="0" w:color="auto"/>
              <w:left w:val="single" w:sz="4" w:space="0" w:color="auto"/>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-2.133</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(-2.49)**</w:t>
            </w:r>
          </w:p>
        </w:tc>
        <w:tc>
          <w:tcPr>
            <w:tcW w:w="992"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0.504</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(2.49)**</w:t>
            </w:r>
          </w:p>
        </w:tc>
        <w:tc>
          <w:tcPr>
            <w:tcW w:w="991"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-0.022</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(-0.48)</w:t>
            </w:r>
          </w:p>
        </w:tc>
        <w:tc>
          <w:tcPr>
            <w:tcW w:w="849"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0.101</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(1.95)***</w:t>
            </w:r>
          </w:p>
        </w:tc>
        <w:tc>
          <w:tcPr>
            <w:tcW w:w="851"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-0.371</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(-3.16)*</w:t>
            </w:r>
          </w:p>
        </w:tc>
        <w:tc>
          <w:tcPr>
            <w:tcW w:w="850"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-0.076</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(-0.44)</w:t>
            </w:r>
          </w:p>
        </w:tc>
        <w:tc>
          <w:tcPr>
            <w:tcW w:w="993"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 xml:space="preserve">-0.083 </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(-2.79)*</w:t>
            </w:r>
          </w:p>
        </w:tc>
        <w:tc>
          <w:tcPr>
            <w:tcW w:w="992"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0.010</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(0.18)</w:t>
            </w:r>
          </w:p>
        </w:tc>
        <w:tc>
          <w:tcPr>
            <w:tcW w:w="850"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1.257</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(35.08)*</w:t>
            </w:r>
          </w:p>
        </w:tc>
        <w:tc>
          <w:tcPr>
            <w:tcW w:w="993"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-0.434</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(-5.93)*</w:t>
            </w:r>
          </w:p>
        </w:tc>
        <w:tc>
          <w:tcPr>
            <w:tcW w:w="992"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-0.163</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(-2.32)**</w:t>
            </w:r>
          </w:p>
        </w:tc>
        <w:tc>
          <w:tcPr>
            <w:tcW w:w="850"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0.5826</w:t>
            </w:r>
          </w:p>
        </w:tc>
        <w:tc>
          <w:tcPr>
            <w:tcW w:w="851"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0.0091</w:t>
            </w:r>
          </w:p>
        </w:tc>
        <w:tc>
          <w:tcPr>
            <w:tcW w:w="1134"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0.0602</w:t>
            </w:r>
          </w:p>
        </w:tc>
        <w:tc>
          <w:tcPr>
            <w:tcW w:w="850"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0.7664</w:t>
            </w:r>
          </w:p>
        </w:tc>
        <w:tc>
          <w:tcPr>
            <w:tcW w:w="709" w:type="dxa"/>
            <w:tcBorders>
              <w:top w:val="single" w:sz="4" w:space="0" w:color="auto"/>
              <w:left w:val="nil"/>
              <w:bottom w:val="single" w:sz="4" w:space="0" w:color="auto"/>
              <w:right w:val="single" w:sz="4" w:space="0" w:color="auto"/>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1910</w:t>
            </w:r>
          </w:p>
        </w:tc>
      </w:tr>
      <w:tr w:rsidR="006B0CD0" w:rsidTr="00F41B1B">
        <w:trPr>
          <w:jc w:val="center"/>
        </w:trPr>
        <w:tc>
          <w:tcPr>
            <w:tcW w:w="1417" w:type="dxa"/>
            <w:tcBorders>
              <w:top w:val="single" w:sz="4" w:space="0" w:color="auto"/>
              <w:left w:val="single" w:sz="4" w:space="0" w:color="auto"/>
              <w:bottom w:val="single" w:sz="4" w:space="0" w:color="auto"/>
              <w:right w:val="single" w:sz="4" w:space="0" w:color="auto"/>
            </w:tcBorders>
            <w:hideMark/>
          </w:tcPr>
          <w:p w:rsidR="006B0CD0" w:rsidRDefault="006B0CD0">
            <w:pPr>
              <w:rPr>
                <w:rFonts w:ascii="Times New Roman" w:hAnsi="Times New Roman"/>
                <w:color w:val="000000"/>
                <w:sz w:val="16"/>
                <w:szCs w:val="16"/>
                <w:lang w:val="pt-PT"/>
              </w:rPr>
            </w:pPr>
            <m:oMath>
              <m:r>
                <w:rPr>
                  <w:rFonts w:ascii="Cambria Math" w:hAnsi="Cambria Math"/>
                  <w:color w:val="000000"/>
                  <w:sz w:val="16"/>
                  <w:szCs w:val="16"/>
                  <w:lang w:val="pt-PT"/>
                </w:rPr>
                <m:t>(13)</m:t>
              </m:r>
            </m:oMath>
            <w:r>
              <w:rPr>
                <w:rFonts w:ascii="Times New Roman" w:hAnsi="Times New Roman"/>
                <w:color w:val="000000"/>
                <w:sz w:val="16"/>
                <w:szCs w:val="16"/>
                <w:lang w:val="pt-PT"/>
              </w:rPr>
              <w:t xml:space="preserve">     </w:t>
            </w:r>
            <m:oMath>
              <m:r>
                <m:rPr>
                  <m:sty m:val="bi"/>
                </m:rPr>
                <w:rPr>
                  <w:rFonts w:ascii="Cambria Math" w:eastAsia="Times New Roman" w:hAnsi="Cambria Math"/>
                  <w:color w:val="000000"/>
                  <w:sz w:val="16"/>
                  <w:szCs w:val="16"/>
                  <w:lang w:val="pt-PT"/>
                </w:rPr>
                <m:t>ln(IR)</m:t>
              </m:r>
            </m:oMath>
          </w:p>
          <w:p w:rsidR="006B0CD0" w:rsidRDefault="006B0CD0">
            <w:pPr>
              <w:spacing w:line="360" w:lineRule="auto"/>
              <w:jc w:val="center"/>
              <w:rPr>
                <w:rFonts w:ascii="Times New Roman" w:hAnsi="Times New Roman"/>
                <w:b/>
                <w:color w:val="000000"/>
                <w:sz w:val="16"/>
                <w:szCs w:val="16"/>
                <w:lang w:val="pt-PT"/>
              </w:rPr>
            </w:pPr>
            <w:r>
              <w:rPr>
                <w:rFonts w:ascii="Times New Roman" w:eastAsia="Times New Roman" w:hAnsi="Times New Roman"/>
                <w:b/>
                <w:color w:val="000000"/>
                <w:sz w:val="16"/>
                <w:szCs w:val="16"/>
                <w:lang w:val="pt-PT"/>
              </w:rPr>
              <w:t xml:space="preserve">        (1989-2015)</w:t>
            </w:r>
          </w:p>
        </w:tc>
        <w:tc>
          <w:tcPr>
            <w:tcW w:w="991" w:type="dxa"/>
            <w:tcBorders>
              <w:top w:val="single" w:sz="4" w:space="0" w:color="auto"/>
              <w:left w:val="single" w:sz="4" w:space="0" w:color="auto"/>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8.031</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(8.37)*</w:t>
            </w:r>
          </w:p>
        </w:tc>
        <w:tc>
          <w:tcPr>
            <w:tcW w:w="992"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-0.059</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(-0.63)</w:t>
            </w:r>
          </w:p>
        </w:tc>
        <w:tc>
          <w:tcPr>
            <w:tcW w:w="991"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-0.040</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(-1.02)</w:t>
            </w:r>
          </w:p>
        </w:tc>
        <w:tc>
          <w:tcPr>
            <w:tcW w:w="849"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0.038</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(1.18)</w:t>
            </w:r>
          </w:p>
        </w:tc>
        <w:tc>
          <w:tcPr>
            <w:tcW w:w="851"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0.037</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(0.80)</w:t>
            </w:r>
          </w:p>
        </w:tc>
        <w:tc>
          <w:tcPr>
            <w:tcW w:w="850"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0.260</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(3.50)*</w:t>
            </w:r>
          </w:p>
        </w:tc>
        <w:tc>
          <w:tcPr>
            <w:tcW w:w="993"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-0.067</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(2.13)**</w:t>
            </w:r>
          </w:p>
        </w:tc>
        <w:tc>
          <w:tcPr>
            <w:tcW w:w="992"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0.115</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(2.83)*</w:t>
            </w:r>
          </w:p>
        </w:tc>
        <w:tc>
          <w:tcPr>
            <w:tcW w:w="850"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0.551</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(9.26)*</w:t>
            </w:r>
          </w:p>
        </w:tc>
        <w:tc>
          <w:tcPr>
            <w:tcW w:w="993"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-0.525</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(-8.71)*</w:t>
            </w:r>
          </w:p>
        </w:tc>
        <w:tc>
          <w:tcPr>
            <w:tcW w:w="992"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0.077</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(1.61)</w:t>
            </w:r>
          </w:p>
        </w:tc>
        <w:tc>
          <w:tcPr>
            <w:tcW w:w="850"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-0.061</w:t>
            </w:r>
          </w:p>
        </w:tc>
        <w:tc>
          <w:tcPr>
            <w:tcW w:w="851"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0.5378</w:t>
            </w:r>
          </w:p>
        </w:tc>
        <w:tc>
          <w:tcPr>
            <w:tcW w:w="1134"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0.0000</w:t>
            </w:r>
          </w:p>
        </w:tc>
        <w:tc>
          <w:tcPr>
            <w:tcW w:w="850"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0.2841</w:t>
            </w:r>
          </w:p>
        </w:tc>
        <w:tc>
          <w:tcPr>
            <w:tcW w:w="709" w:type="dxa"/>
            <w:tcBorders>
              <w:top w:val="single" w:sz="4" w:space="0" w:color="auto"/>
              <w:left w:val="nil"/>
              <w:bottom w:val="single" w:sz="4" w:space="0" w:color="auto"/>
              <w:right w:val="single" w:sz="4" w:space="0" w:color="auto"/>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4070</w:t>
            </w:r>
          </w:p>
        </w:tc>
      </w:tr>
      <w:tr w:rsidR="006B0CD0" w:rsidTr="00F41B1B">
        <w:trPr>
          <w:jc w:val="center"/>
        </w:trPr>
        <w:tc>
          <w:tcPr>
            <w:tcW w:w="1417" w:type="dxa"/>
            <w:tcBorders>
              <w:top w:val="single" w:sz="4" w:space="0" w:color="auto"/>
              <w:left w:val="single" w:sz="4" w:space="0" w:color="auto"/>
              <w:bottom w:val="single" w:sz="4" w:space="0" w:color="auto"/>
              <w:right w:val="single" w:sz="4" w:space="0" w:color="auto"/>
            </w:tcBorders>
            <w:hideMark/>
          </w:tcPr>
          <w:p w:rsidR="006B0CD0" w:rsidRDefault="006B0CD0">
            <w:pPr>
              <w:rPr>
                <w:rFonts w:ascii="Times New Roman" w:hAnsi="Times New Roman"/>
                <w:color w:val="000000"/>
                <w:sz w:val="16"/>
                <w:szCs w:val="16"/>
                <w:lang w:val="pt-PT"/>
              </w:rPr>
            </w:pPr>
            <m:oMath>
              <m:r>
                <w:rPr>
                  <w:rFonts w:ascii="Cambria Math" w:hAnsi="Cambria Math"/>
                  <w:color w:val="000000"/>
                  <w:sz w:val="16"/>
                  <w:szCs w:val="16"/>
                  <w:lang w:val="pt-PT"/>
                </w:rPr>
                <w:lastRenderedPageBreak/>
                <m:t>(14)</m:t>
              </m:r>
            </m:oMath>
            <w:r>
              <w:rPr>
                <w:rFonts w:ascii="Times New Roman" w:hAnsi="Times New Roman"/>
                <w:color w:val="000000"/>
                <w:sz w:val="16"/>
                <w:szCs w:val="16"/>
                <w:lang w:val="pt-PT"/>
              </w:rPr>
              <w:t xml:space="preserve">     </w:t>
            </w:r>
            <m:oMath>
              <m:r>
                <m:rPr>
                  <m:sty m:val="bi"/>
                </m:rPr>
                <w:rPr>
                  <w:rFonts w:ascii="Cambria Math" w:eastAsia="Times New Roman" w:hAnsi="Cambria Math"/>
                  <w:color w:val="000000"/>
                  <w:sz w:val="16"/>
                  <w:szCs w:val="16"/>
                  <w:lang w:val="pt-PT"/>
                </w:rPr>
                <m:t>ln(TR)</m:t>
              </m:r>
            </m:oMath>
          </w:p>
          <w:p w:rsidR="006B0CD0" w:rsidRDefault="006B0CD0">
            <w:pPr>
              <w:spacing w:line="360" w:lineRule="auto"/>
              <w:jc w:val="center"/>
              <w:rPr>
                <w:rFonts w:ascii="Times New Roman" w:hAnsi="Times New Roman"/>
                <w:b/>
                <w:color w:val="000000"/>
                <w:sz w:val="16"/>
                <w:szCs w:val="16"/>
                <w:lang w:val="pt-PT"/>
              </w:rPr>
            </w:pPr>
            <w:r>
              <w:rPr>
                <w:rFonts w:ascii="Times New Roman" w:eastAsia="Times New Roman" w:hAnsi="Times New Roman"/>
                <w:b/>
                <w:color w:val="000000"/>
                <w:sz w:val="16"/>
                <w:szCs w:val="16"/>
                <w:lang w:val="pt-PT"/>
              </w:rPr>
              <w:t xml:space="preserve">       (1960-1975)</w:t>
            </w:r>
          </w:p>
        </w:tc>
        <w:tc>
          <w:tcPr>
            <w:tcW w:w="991" w:type="dxa"/>
            <w:tcBorders>
              <w:top w:val="single" w:sz="4" w:space="0" w:color="auto"/>
              <w:left w:val="single" w:sz="4" w:space="0" w:color="auto"/>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 xml:space="preserve">1.282 </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(1.28)</w:t>
            </w:r>
          </w:p>
        </w:tc>
        <w:tc>
          <w:tcPr>
            <w:tcW w:w="992"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0.787</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(3.71)*</w:t>
            </w:r>
          </w:p>
        </w:tc>
        <w:tc>
          <w:tcPr>
            <w:tcW w:w="991"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-0.033</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(-1.67)***</w:t>
            </w:r>
          </w:p>
        </w:tc>
        <w:tc>
          <w:tcPr>
            <w:tcW w:w="849"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0.081</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(1.28)</w:t>
            </w:r>
          </w:p>
        </w:tc>
        <w:tc>
          <w:tcPr>
            <w:tcW w:w="851"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-1.058</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(-4.78)*</w:t>
            </w:r>
          </w:p>
        </w:tc>
        <w:tc>
          <w:tcPr>
            <w:tcW w:w="850"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0.094</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(0.36)</w:t>
            </w:r>
          </w:p>
        </w:tc>
        <w:tc>
          <w:tcPr>
            <w:tcW w:w="993"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-0.123</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(-2.76)*</w:t>
            </w:r>
          </w:p>
        </w:tc>
        <w:tc>
          <w:tcPr>
            <w:tcW w:w="992"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-0.196</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(-1.43)</w:t>
            </w:r>
          </w:p>
        </w:tc>
        <w:tc>
          <w:tcPr>
            <w:tcW w:w="850" w:type="dxa"/>
            <w:tcBorders>
              <w:top w:val="single" w:sz="4" w:space="0" w:color="auto"/>
              <w:left w:val="nil"/>
              <w:bottom w:val="single" w:sz="4" w:space="0" w:color="auto"/>
              <w:right w:val="nil"/>
            </w:tcBorders>
            <w:hideMark/>
          </w:tcPr>
          <w:p w:rsidR="006B0CD0" w:rsidRDefault="006B0CD0">
            <w:pPr>
              <w:spacing w:line="360" w:lineRule="auto"/>
              <w:rPr>
                <w:rFonts w:ascii="Times New Roman" w:hAnsi="Times New Roman"/>
                <w:color w:val="000000"/>
                <w:sz w:val="16"/>
                <w:szCs w:val="16"/>
                <w:lang w:val="pt-PT"/>
              </w:rPr>
            </w:pPr>
            <w:r>
              <w:rPr>
                <w:rFonts w:ascii="Times New Roman" w:hAnsi="Times New Roman"/>
                <w:color w:val="000000"/>
                <w:sz w:val="16"/>
                <w:szCs w:val="16"/>
                <w:lang w:val="pt-PT"/>
              </w:rPr>
              <w:t xml:space="preserve">    0.988</w:t>
            </w:r>
          </w:p>
          <w:p w:rsidR="006B0CD0" w:rsidRDefault="006B0CD0">
            <w:pPr>
              <w:spacing w:line="360" w:lineRule="auto"/>
              <w:rPr>
                <w:rFonts w:ascii="Times New Roman" w:hAnsi="Times New Roman"/>
                <w:color w:val="000000"/>
                <w:sz w:val="16"/>
                <w:szCs w:val="16"/>
                <w:lang w:val="pt-PT"/>
              </w:rPr>
            </w:pPr>
            <w:r>
              <w:rPr>
                <w:rFonts w:ascii="Times New Roman" w:hAnsi="Times New Roman"/>
                <w:color w:val="000000"/>
                <w:sz w:val="16"/>
                <w:szCs w:val="16"/>
                <w:lang w:val="pt-PT"/>
              </w:rPr>
              <w:t xml:space="preserve">   19.08)*</w:t>
            </w:r>
          </w:p>
        </w:tc>
        <w:tc>
          <w:tcPr>
            <w:tcW w:w="993"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-0.541</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(-4.58)*</w:t>
            </w:r>
          </w:p>
        </w:tc>
        <w:tc>
          <w:tcPr>
            <w:tcW w:w="992"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0.205</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(2.31)**</w:t>
            </w:r>
          </w:p>
        </w:tc>
        <w:tc>
          <w:tcPr>
            <w:tcW w:w="850"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0.8355</w:t>
            </w:r>
          </w:p>
        </w:tc>
        <w:tc>
          <w:tcPr>
            <w:tcW w:w="851"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0.0002</w:t>
            </w:r>
          </w:p>
        </w:tc>
        <w:tc>
          <w:tcPr>
            <w:tcW w:w="1134"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0.4579</w:t>
            </w:r>
          </w:p>
        </w:tc>
        <w:tc>
          <w:tcPr>
            <w:tcW w:w="850"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0.3622</w:t>
            </w:r>
          </w:p>
        </w:tc>
        <w:tc>
          <w:tcPr>
            <w:tcW w:w="709" w:type="dxa"/>
            <w:tcBorders>
              <w:top w:val="single" w:sz="4" w:space="0" w:color="auto"/>
              <w:left w:val="nil"/>
              <w:bottom w:val="single" w:sz="4" w:space="0" w:color="auto"/>
              <w:right w:val="single" w:sz="4" w:space="0" w:color="auto"/>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2700</w:t>
            </w:r>
          </w:p>
        </w:tc>
      </w:tr>
      <w:tr w:rsidR="006B0CD0" w:rsidTr="00F41B1B">
        <w:trPr>
          <w:jc w:val="center"/>
        </w:trPr>
        <w:tc>
          <w:tcPr>
            <w:tcW w:w="1417" w:type="dxa"/>
            <w:tcBorders>
              <w:top w:val="single" w:sz="4" w:space="0" w:color="auto"/>
              <w:left w:val="single" w:sz="4" w:space="0" w:color="auto"/>
              <w:bottom w:val="single" w:sz="4" w:space="0" w:color="auto"/>
              <w:right w:val="single" w:sz="4" w:space="0" w:color="auto"/>
            </w:tcBorders>
            <w:hideMark/>
          </w:tcPr>
          <w:p w:rsidR="006B0CD0" w:rsidRDefault="006B0CD0">
            <w:pPr>
              <w:rPr>
                <w:rFonts w:ascii="Times New Roman" w:hAnsi="Times New Roman"/>
                <w:color w:val="000000"/>
                <w:sz w:val="16"/>
                <w:szCs w:val="16"/>
                <w:lang w:val="pt-PT"/>
              </w:rPr>
            </w:pPr>
            <m:oMath>
              <m:r>
                <w:rPr>
                  <w:rFonts w:ascii="Cambria Math" w:hAnsi="Cambria Math"/>
                  <w:color w:val="000000"/>
                  <w:sz w:val="16"/>
                  <w:szCs w:val="16"/>
                  <w:lang w:val="pt-PT"/>
                </w:rPr>
                <m:t>(15)</m:t>
              </m:r>
            </m:oMath>
            <w:r>
              <w:rPr>
                <w:rFonts w:ascii="Times New Roman" w:hAnsi="Times New Roman"/>
                <w:color w:val="000000"/>
                <w:sz w:val="16"/>
                <w:szCs w:val="16"/>
                <w:lang w:val="pt-PT"/>
              </w:rPr>
              <w:t xml:space="preserve">     </w:t>
            </w:r>
            <m:oMath>
              <m:r>
                <m:rPr>
                  <m:sty m:val="bi"/>
                </m:rPr>
                <w:rPr>
                  <w:rFonts w:ascii="Cambria Math" w:eastAsia="Times New Roman" w:hAnsi="Cambria Math"/>
                  <w:color w:val="000000"/>
                  <w:sz w:val="16"/>
                  <w:szCs w:val="16"/>
                  <w:lang w:val="pt-PT"/>
                </w:rPr>
                <m:t>ln(TR)</m:t>
              </m:r>
            </m:oMath>
          </w:p>
          <w:p w:rsidR="006B0CD0" w:rsidRDefault="006B0CD0">
            <w:pPr>
              <w:spacing w:line="360" w:lineRule="auto"/>
              <w:jc w:val="center"/>
              <w:rPr>
                <w:rFonts w:ascii="Times New Roman" w:hAnsi="Times New Roman"/>
                <w:b/>
                <w:color w:val="000000"/>
                <w:sz w:val="16"/>
                <w:szCs w:val="16"/>
                <w:lang w:val="pt-PT"/>
              </w:rPr>
            </w:pPr>
            <w:r>
              <w:rPr>
                <w:rFonts w:ascii="Times New Roman" w:eastAsia="Times New Roman" w:hAnsi="Times New Roman"/>
                <w:b/>
                <w:color w:val="000000"/>
                <w:sz w:val="16"/>
                <w:szCs w:val="16"/>
                <w:lang w:val="pt-PT"/>
              </w:rPr>
              <w:t xml:space="preserve">         (1975-1989)</w:t>
            </w:r>
          </w:p>
        </w:tc>
        <w:tc>
          <w:tcPr>
            <w:tcW w:w="991" w:type="dxa"/>
            <w:tcBorders>
              <w:top w:val="single" w:sz="4" w:space="0" w:color="auto"/>
              <w:left w:val="single" w:sz="4" w:space="0" w:color="auto"/>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-1.232</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(-1.43)</w:t>
            </w:r>
          </w:p>
        </w:tc>
        <w:tc>
          <w:tcPr>
            <w:tcW w:w="992"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0.526</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(2.58)**</w:t>
            </w:r>
          </w:p>
        </w:tc>
        <w:tc>
          <w:tcPr>
            <w:tcW w:w="991"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-0.032</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(-0.68)</w:t>
            </w:r>
          </w:p>
        </w:tc>
        <w:tc>
          <w:tcPr>
            <w:tcW w:w="849"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0.101</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(1.95)***</w:t>
            </w:r>
          </w:p>
        </w:tc>
        <w:tc>
          <w:tcPr>
            <w:tcW w:w="851"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-0.432</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(-3.67)*</w:t>
            </w:r>
          </w:p>
        </w:tc>
        <w:tc>
          <w:tcPr>
            <w:tcW w:w="850"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-0.143</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(-0.83)</w:t>
            </w:r>
          </w:p>
        </w:tc>
        <w:tc>
          <w:tcPr>
            <w:tcW w:w="993"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-0.078</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(-2.60)*</w:t>
            </w:r>
          </w:p>
        </w:tc>
        <w:tc>
          <w:tcPr>
            <w:tcW w:w="992"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0.028</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(0.47)</w:t>
            </w:r>
          </w:p>
        </w:tc>
        <w:tc>
          <w:tcPr>
            <w:tcW w:w="850"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1.232</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(34.21)*</w:t>
            </w:r>
          </w:p>
        </w:tc>
        <w:tc>
          <w:tcPr>
            <w:tcW w:w="993"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-0.416</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(-5.65)*</w:t>
            </w:r>
          </w:p>
        </w:tc>
        <w:tc>
          <w:tcPr>
            <w:tcW w:w="992" w:type="dxa"/>
            <w:tcBorders>
              <w:top w:val="single" w:sz="4" w:space="0" w:color="auto"/>
              <w:left w:val="nil"/>
              <w:bottom w:val="single" w:sz="4"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0.0002</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(0.00)</w:t>
            </w:r>
          </w:p>
        </w:tc>
        <w:tc>
          <w:tcPr>
            <w:tcW w:w="850"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0.5949</w:t>
            </w:r>
          </w:p>
        </w:tc>
        <w:tc>
          <w:tcPr>
            <w:tcW w:w="851"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0.0081</w:t>
            </w:r>
          </w:p>
        </w:tc>
        <w:tc>
          <w:tcPr>
            <w:tcW w:w="1134"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0.0696</w:t>
            </w:r>
          </w:p>
        </w:tc>
        <w:tc>
          <w:tcPr>
            <w:tcW w:w="850" w:type="dxa"/>
            <w:tcBorders>
              <w:top w:val="single" w:sz="4" w:space="0" w:color="auto"/>
              <w:left w:val="nil"/>
              <w:bottom w:val="single" w:sz="4"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0.7718</w:t>
            </w:r>
          </w:p>
        </w:tc>
        <w:tc>
          <w:tcPr>
            <w:tcW w:w="709" w:type="dxa"/>
            <w:tcBorders>
              <w:top w:val="single" w:sz="4" w:space="0" w:color="auto"/>
              <w:left w:val="nil"/>
              <w:bottom w:val="single" w:sz="4" w:space="0" w:color="auto"/>
              <w:right w:val="single" w:sz="4" w:space="0" w:color="auto"/>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1910</w:t>
            </w:r>
          </w:p>
        </w:tc>
      </w:tr>
      <w:tr w:rsidR="006B0CD0" w:rsidTr="00F41B1B">
        <w:trPr>
          <w:jc w:val="center"/>
        </w:trPr>
        <w:tc>
          <w:tcPr>
            <w:tcW w:w="1417" w:type="dxa"/>
            <w:tcBorders>
              <w:top w:val="single" w:sz="4" w:space="0" w:color="auto"/>
              <w:left w:val="single" w:sz="4" w:space="0" w:color="auto"/>
              <w:bottom w:val="single" w:sz="12" w:space="0" w:color="auto"/>
              <w:right w:val="single" w:sz="4" w:space="0" w:color="auto"/>
            </w:tcBorders>
            <w:hideMark/>
          </w:tcPr>
          <w:p w:rsidR="006B0CD0" w:rsidRDefault="006B0CD0">
            <w:pPr>
              <w:rPr>
                <w:rFonts w:ascii="Times New Roman" w:hAnsi="Times New Roman"/>
                <w:color w:val="000000"/>
                <w:sz w:val="16"/>
                <w:szCs w:val="16"/>
                <w:lang w:val="pt-PT"/>
              </w:rPr>
            </w:pPr>
            <m:oMath>
              <m:r>
                <w:rPr>
                  <w:rFonts w:ascii="Cambria Math" w:hAnsi="Cambria Math"/>
                  <w:color w:val="000000"/>
                  <w:sz w:val="16"/>
                  <w:szCs w:val="16"/>
                  <w:lang w:val="pt-PT"/>
                </w:rPr>
                <m:t>(16)</m:t>
              </m:r>
            </m:oMath>
            <w:r>
              <w:rPr>
                <w:rFonts w:ascii="Times New Roman" w:hAnsi="Times New Roman"/>
                <w:color w:val="000000"/>
                <w:sz w:val="16"/>
                <w:szCs w:val="16"/>
                <w:lang w:val="pt-PT"/>
              </w:rPr>
              <w:t xml:space="preserve">     </w:t>
            </w:r>
            <m:oMath>
              <m:r>
                <m:rPr>
                  <m:sty m:val="bi"/>
                </m:rPr>
                <w:rPr>
                  <w:rFonts w:ascii="Cambria Math" w:eastAsia="Times New Roman" w:hAnsi="Cambria Math"/>
                  <w:color w:val="000000"/>
                  <w:sz w:val="16"/>
                  <w:szCs w:val="16"/>
                  <w:lang w:val="pt-PT"/>
                </w:rPr>
                <m:t>ln(TR)</m:t>
              </m:r>
            </m:oMath>
          </w:p>
          <w:p w:rsidR="006B0CD0" w:rsidRDefault="006B0CD0">
            <w:pPr>
              <w:spacing w:line="360" w:lineRule="auto"/>
              <w:jc w:val="center"/>
              <w:rPr>
                <w:rFonts w:ascii="Times New Roman" w:hAnsi="Times New Roman"/>
                <w:b/>
                <w:color w:val="000000"/>
                <w:sz w:val="16"/>
                <w:szCs w:val="16"/>
                <w:lang w:val="pt-PT"/>
              </w:rPr>
            </w:pPr>
            <w:r>
              <w:rPr>
                <w:rFonts w:ascii="Times New Roman" w:eastAsia="Times New Roman" w:hAnsi="Times New Roman"/>
                <w:b/>
                <w:color w:val="000000"/>
                <w:sz w:val="16"/>
                <w:szCs w:val="16"/>
                <w:lang w:val="pt-PT"/>
              </w:rPr>
              <w:t xml:space="preserve">        (1989-2015)</w:t>
            </w:r>
          </w:p>
        </w:tc>
        <w:tc>
          <w:tcPr>
            <w:tcW w:w="991" w:type="dxa"/>
            <w:tcBorders>
              <w:top w:val="single" w:sz="4" w:space="0" w:color="auto"/>
              <w:left w:val="single" w:sz="4" w:space="0" w:color="auto"/>
              <w:bottom w:val="single" w:sz="12"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9.392</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(9.94)*</w:t>
            </w:r>
          </w:p>
        </w:tc>
        <w:tc>
          <w:tcPr>
            <w:tcW w:w="992"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0.005</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(0.06)</w:t>
            </w:r>
          </w:p>
        </w:tc>
        <w:tc>
          <w:tcPr>
            <w:tcW w:w="991"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0.022</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(0.57)</w:t>
            </w:r>
          </w:p>
        </w:tc>
        <w:tc>
          <w:tcPr>
            <w:tcW w:w="849"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0.030</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(0.96)</w:t>
            </w:r>
          </w:p>
        </w:tc>
        <w:tc>
          <w:tcPr>
            <w:tcW w:w="851"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0.075</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(1.65)***</w:t>
            </w:r>
          </w:p>
        </w:tc>
        <w:tc>
          <w:tcPr>
            <w:tcW w:w="850"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0.168</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(2.30)**</w:t>
            </w:r>
          </w:p>
        </w:tc>
        <w:tc>
          <w:tcPr>
            <w:tcW w:w="993"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-0.069</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(-2.21)**</w:t>
            </w:r>
          </w:p>
        </w:tc>
        <w:tc>
          <w:tcPr>
            <w:tcW w:w="992"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0.108</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(2.72)*</w:t>
            </w:r>
          </w:p>
        </w:tc>
        <w:tc>
          <w:tcPr>
            <w:tcW w:w="850"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0.547</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(9.34)*</w:t>
            </w:r>
          </w:p>
        </w:tc>
        <w:tc>
          <w:tcPr>
            <w:tcW w:w="993"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-0.431</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(-7.26)*</w:t>
            </w:r>
          </w:p>
        </w:tc>
        <w:tc>
          <w:tcPr>
            <w:tcW w:w="992" w:type="dxa"/>
            <w:tcBorders>
              <w:top w:val="single" w:sz="4" w:space="0" w:color="auto"/>
              <w:left w:val="nil"/>
              <w:bottom w:val="single" w:sz="12" w:space="0" w:color="auto"/>
              <w:right w:val="nil"/>
            </w:tcBorders>
            <w:hideMark/>
          </w:tcPr>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0.381</w:t>
            </w: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(8.05)*</w:t>
            </w:r>
          </w:p>
        </w:tc>
        <w:tc>
          <w:tcPr>
            <w:tcW w:w="850" w:type="dxa"/>
            <w:tcBorders>
              <w:top w:val="single" w:sz="4" w:space="0" w:color="auto"/>
              <w:left w:val="nil"/>
              <w:bottom w:val="single" w:sz="12"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0.0581</w:t>
            </w:r>
          </w:p>
        </w:tc>
        <w:tc>
          <w:tcPr>
            <w:tcW w:w="851" w:type="dxa"/>
            <w:tcBorders>
              <w:top w:val="single" w:sz="4" w:space="0" w:color="auto"/>
              <w:left w:val="nil"/>
              <w:bottom w:val="single" w:sz="12"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0.5518</w:t>
            </w:r>
          </w:p>
        </w:tc>
        <w:tc>
          <w:tcPr>
            <w:tcW w:w="1134" w:type="dxa"/>
            <w:tcBorders>
              <w:top w:val="single" w:sz="4" w:space="0" w:color="auto"/>
              <w:left w:val="nil"/>
              <w:bottom w:val="single" w:sz="12"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0.0000</w:t>
            </w:r>
          </w:p>
        </w:tc>
        <w:tc>
          <w:tcPr>
            <w:tcW w:w="850" w:type="dxa"/>
            <w:tcBorders>
              <w:top w:val="single" w:sz="4" w:space="0" w:color="auto"/>
              <w:left w:val="nil"/>
              <w:bottom w:val="single" w:sz="12" w:space="0" w:color="auto"/>
              <w:right w:val="nil"/>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0.2171</w:t>
            </w:r>
          </w:p>
        </w:tc>
        <w:tc>
          <w:tcPr>
            <w:tcW w:w="709" w:type="dxa"/>
            <w:tcBorders>
              <w:top w:val="single" w:sz="4" w:space="0" w:color="auto"/>
              <w:left w:val="nil"/>
              <w:bottom w:val="single" w:sz="12" w:space="0" w:color="auto"/>
              <w:right w:val="single" w:sz="4" w:space="0" w:color="auto"/>
            </w:tcBorders>
          </w:tcPr>
          <w:p w:rsidR="006B0CD0" w:rsidRDefault="006B0CD0">
            <w:pPr>
              <w:spacing w:line="360" w:lineRule="auto"/>
              <w:jc w:val="center"/>
              <w:rPr>
                <w:rFonts w:ascii="Times New Roman" w:hAnsi="Times New Roman"/>
                <w:color w:val="000000"/>
                <w:sz w:val="16"/>
                <w:szCs w:val="16"/>
                <w:lang w:val="pt-PT"/>
              </w:rPr>
            </w:pPr>
          </w:p>
          <w:p w:rsidR="006B0CD0" w:rsidRDefault="006B0CD0">
            <w:pPr>
              <w:spacing w:line="360" w:lineRule="auto"/>
              <w:jc w:val="center"/>
              <w:rPr>
                <w:rFonts w:ascii="Times New Roman" w:hAnsi="Times New Roman"/>
                <w:color w:val="000000"/>
                <w:sz w:val="16"/>
                <w:szCs w:val="16"/>
                <w:lang w:val="pt-PT"/>
              </w:rPr>
            </w:pPr>
            <w:r>
              <w:rPr>
                <w:rFonts w:ascii="Times New Roman" w:hAnsi="Times New Roman"/>
                <w:color w:val="000000"/>
                <w:sz w:val="16"/>
                <w:szCs w:val="16"/>
                <w:lang w:val="pt-PT"/>
              </w:rPr>
              <w:t>4070</w:t>
            </w:r>
          </w:p>
        </w:tc>
      </w:tr>
    </w:tbl>
    <w:p w:rsidR="006B0CD0" w:rsidRDefault="006B0CD0" w:rsidP="006B0CD0">
      <w:pPr>
        <w:tabs>
          <w:tab w:val="left" w:pos="930"/>
        </w:tabs>
        <w:spacing w:after="0" w:line="240" w:lineRule="auto"/>
        <w:ind w:firstLine="930"/>
        <w:jc w:val="both"/>
        <w:rPr>
          <w:rFonts w:ascii="Times New Roman" w:hAnsi="Times New Roman" w:cs="Times New Roman"/>
          <w:sz w:val="18"/>
          <w:szCs w:val="18"/>
        </w:rPr>
      </w:pPr>
      <w:r>
        <w:rPr>
          <w:lang w:val="en-US"/>
        </w:rPr>
        <w:t>*</w:t>
      </w:r>
      <w:r>
        <w:rPr>
          <w:rFonts w:ascii="Times New Roman" w:hAnsi="Times New Roman" w:cs="Times New Roman"/>
          <w:sz w:val="18"/>
          <w:szCs w:val="18"/>
        </w:rPr>
        <w:t>The variable is significant at 1% significance level; **The variable is significant at 5% significance level; ***The variable is significant at 10% significance level</w:t>
      </w:r>
    </w:p>
    <w:p w:rsidR="006B0CD0" w:rsidRDefault="006B0CD0" w:rsidP="00F41B1B">
      <w:pPr>
        <w:tabs>
          <w:tab w:val="left" w:pos="930"/>
        </w:tabs>
        <w:spacing w:after="0" w:line="240" w:lineRule="auto"/>
        <w:jc w:val="both"/>
        <w:sectPr w:rsidR="006B0CD0" w:rsidSect="006B0CD0">
          <w:endnotePr>
            <w:numFmt w:val="decimal"/>
          </w:endnotePr>
          <w:pgSz w:w="16838" w:h="11906" w:orient="landscape"/>
          <w:pgMar w:top="1418" w:right="1134" w:bottom="1418" w:left="1134" w:header="709" w:footer="709" w:gutter="0"/>
          <w:cols w:space="708"/>
          <w:docGrid w:linePitch="360"/>
        </w:sectPr>
      </w:pPr>
    </w:p>
    <w:p w:rsidR="006B0CD0" w:rsidRPr="005C5395" w:rsidRDefault="006B0CD0" w:rsidP="00F41B1B">
      <w:pPr>
        <w:tabs>
          <w:tab w:val="left" w:pos="930"/>
        </w:tabs>
        <w:spacing w:after="0" w:line="240" w:lineRule="auto"/>
        <w:jc w:val="both"/>
      </w:pPr>
    </w:p>
    <w:sectPr w:rsidR="006B0CD0" w:rsidRPr="005C5395" w:rsidSect="006B0CD0">
      <w:endnotePr>
        <w:numFmt w:val="decimal"/>
      </w:end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34" w:rsidRDefault="00D36D34" w:rsidP="0013457F">
      <w:pPr>
        <w:spacing w:after="0" w:line="240" w:lineRule="auto"/>
      </w:pPr>
      <w:r>
        <w:separator/>
      </w:r>
    </w:p>
  </w:endnote>
  <w:endnote w:type="continuationSeparator" w:id="0">
    <w:p w:rsidR="00D36D34" w:rsidRDefault="00D36D34" w:rsidP="0013457F">
      <w:pPr>
        <w:spacing w:after="0" w:line="240" w:lineRule="auto"/>
      </w:pPr>
      <w:r>
        <w:continuationSeparator/>
      </w:r>
    </w:p>
  </w:endnote>
  <w:endnote w:id="1">
    <w:p w:rsidR="0039030B" w:rsidRDefault="0039030B" w:rsidP="00642D61">
      <w:pPr>
        <w:pStyle w:val="EndnoteText"/>
      </w:pPr>
      <w:r>
        <w:rPr>
          <w:rStyle w:val="EndnoteReference"/>
        </w:rPr>
        <w:endnoteRef/>
      </w:r>
      <w:r>
        <w:t xml:space="preserve"> From 2007 onwards the national statistical agency stopped producing banking statistics. Financial information continued to be published on a consistent basis by the Bank of Portugal. Unfortunately, the criteria used do not allow for comparison with previous periods.</w:t>
      </w:r>
    </w:p>
  </w:endnote>
  <w:endnote w:id="2">
    <w:p w:rsidR="0039030B" w:rsidRPr="00EB2354" w:rsidRDefault="0039030B">
      <w:pPr>
        <w:pStyle w:val="EndnoteText"/>
        <w:rPr>
          <w:lang w:val="en-US"/>
        </w:rPr>
      </w:pPr>
      <w:r w:rsidRPr="00137589">
        <w:rPr>
          <w:rStyle w:val="EndnoteReference"/>
        </w:rPr>
        <w:endnoteRef/>
      </w:r>
      <w:r w:rsidRPr="00137589">
        <w:t xml:space="preserve"> The formula for the Lerner Index is </w:t>
      </w:r>
      <m:oMath>
        <m:r>
          <w:rPr>
            <w:rFonts w:ascii="Cambria Math" w:hAnsi="Cambria Math"/>
          </w:rPr>
          <m:t>L=</m:t>
        </m:r>
        <m:f>
          <m:fPr>
            <m:ctrlPr>
              <w:rPr>
                <w:rFonts w:ascii="Cambria Math" w:hAnsi="Cambria Math"/>
                <w:i/>
              </w:rPr>
            </m:ctrlPr>
          </m:fPr>
          <m:num>
            <m:r>
              <w:rPr>
                <w:rFonts w:ascii="Cambria Math" w:hAnsi="Cambria Math"/>
              </w:rPr>
              <m:t>(P-MC)</m:t>
            </m:r>
          </m:num>
          <m:den>
            <m:r>
              <w:rPr>
                <w:rFonts w:ascii="Cambria Math" w:hAnsi="Cambria Math"/>
              </w:rPr>
              <m:t>P</m:t>
            </m:r>
          </m:den>
        </m:f>
      </m:oMath>
      <w:r w:rsidRPr="00137589">
        <w:t xml:space="preserve">, where </w:t>
      </w:r>
      <m:oMath>
        <m:r>
          <w:rPr>
            <w:rFonts w:ascii="Cambria Math" w:hAnsi="Cambria Math"/>
          </w:rPr>
          <m:t>L</m:t>
        </m:r>
      </m:oMath>
      <w:r w:rsidRPr="00137589">
        <w:t xml:space="preserve"> is the index’ coefficient, </w:t>
      </w:r>
      <m:oMath>
        <m:r>
          <w:rPr>
            <w:rFonts w:ascii="Cambria Math" w:hAnsi="Cambria Math"/>
          </w:rPr>
          <m:t>P</m:t>
        </m:r>
      </m:oMath>
      <w:r w:rsidRPr="00137589">
        <w:t xml:space="preserve"> is price and </w:t>
      </w:r>
      <m:oMath>
        <m:r>
          <w:rPr>
            <w:rFonts w:ascii="Cambria Math" w:hAnsi="Cambria Math"/>
          </w:rPr>
          <m:t>MC</m:t>
        </m:r>
      </m:oMath>
      <w:r w:rsidRPr="00137589">
        <w:t xml:space="preserve"> is marginal cost. The index ranges between 0 and 1 and the higher the values of the index, the higher the degree of monopoly power.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34" w:rsidRDefault="00D36D34" w:rsidP="0013457F">
      <w:pPr>
        <w:spacing w:after="0" w:line="240" w:lineRule="auto"/>
      </w:pPr>
      <w:r>
        <w:separator/>
      </w:r>
    </w:p>
  </w:footnote>
  <w:footnote w:type="continuationSeparator" w:id="0">
    <w:p w:rsidR="00D36D34" w:rsidRDefault="00D36D34" w:rsidP="00134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356462"/>
      <w:docPartObj>
        <w:docPartGallery w:val="Page Numbers (Top of Page)"/>
        <w:docPartUnique/>
      </w:docPartObj>
    </w:sdtPr>
    <w:sdtEndPr/>
    <w:sdtContent>
      <w:p w:rsidR="0039030B" w:rsidRDefault="0039030B">
        <w:pPr>
          <w:pStyle w:val="Header"/>
          <w:jc w:val="right"/>
        </w:pPr>
        <w:r>
          <w:fldChar w:fldCharType="begin"/>
        </w:r>
        <w:r>
          <w:instrText xml:space="preserve"> PAGE   \* MERGEFORMAT </w:instrText>
        </w:r>
        <w:r>
          <w:fldChar w:fldCharType="separate"/>
        </w:r>
        <w:r w:rsidR="00087EE5">
          <w:t>1</w:t>
        </w:r>
        <w:r>
          <w:fldChar w:fldCharType="end"/>
        </w:r>
      </w:p>
    </w:sdtContent>
  </w:sdt>
  <w:p w:rsidR="0039030B" w:rsidRDefault="00390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3CD0"/>
    <w:multiLevelType w:val="hybridMultilevel"/>
    <w:tmpl w:val="00727706"/>
    <w:lvl w:ilvl="0" w:tplc="853E36F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683821"/>
    <w:multiLevelType w:val="multilevel"/>
    <w:tmpl w:val="4FF4A86A"/>
    <w:lvl w:ilvl="0">
      <w:start w:val="1"/>
      <w:numFmt w:val="decimal"/>
      <w:lvlText w:val="%1."/>
      <w:lvlJc w:val="left"/>
      <w:pPr>
        <w:ind w:left="360" w:hanging="36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7D960F0"/>
    <w:multiLevelType w:val="hybridMultilevel"/>
    <w:tmpl w:val="2E362DEA"/>
    <w:lvl w:ilvl="0" w:tplc="FF2A96B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8C6DD2"/>
    <w:multiLevelType w:val="hybridMultilevel"/>
    <w:tmpl w:val="02502E5C"/>
    <w:lvl w:ilvl="0" w:tplc="3F92135C">
      <w:start w:val="1"/>
      <w:numFmt w:val="decimal"/>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4">
    <w:nsid w:val="706176C8"/>
    <w:multiLevelType w:val="hybridMultilevel"/>
    <w:tmpl w:val="1F8EF306"/>
    <w:lvl w:ilvl="0" w:tplc="0726ADFC">
      <w:start w:val="1"/>
      <w:numFmt w:val="decimal"/>
      <w:lvlText w:val="%1."/>
      <w:lvlJc w:val="left"/>
      <w:pPr>
        <w:ind w:left="927" w:hanging="360"/>
      </w:pPr>
      <w:rPr>
        <w:rFonts w:cs="Times New Roman" w:hint="default"/>
      </w:rPr>
    </w:lvl>
    <w:lvl w:ilvl="1" w:tplc="08160019" w:tentative="1">
      <w:start w:val="1"/>
      <w:numFmt w:val="lowerLetter"/>
      <w:lvlText w:val="%2."/>
      <w:lvlJc w:val="left"/>
      <w:pPr>
        <w:ind w:left="1647" w:hanging="360"/>
      </w:pPr>
      <w:rPr>
        <w:rFonts w:cs="Times New Roman"/>
      </w:rPr>
    </w:lvl>
    <w:lvl w:ilvl="2" w:tplc="0816001B" w:tentative="1">
      <w:start w:val="1"/>
      <w:numFmt w:val="lowerRoman"/>
      <w:lvlText w:val="%3."/>
      <w:lvlJc w:val="right"/>
      <w:pPr>
        <w:ind w:left="2367" w:hanging="180"/>
      </w:pPr>
      <w:rPr>
        <w:rFonts w:cs="Times New Roman"/>
      </w:rPr>
    </w:lvl>
    <w:lvl w:ilvl="3" w:tplc="0816000F" w:tentative="1">
      <w:start w:val="1"/>
      <w:numFmt w:val="decimal"/>
      <w:lvlText w:val="%4."/>
      <w:lvlJc w:val="left"/>
      <w:pPr>
        <w:ind w:left="3087" w:hanging="360"/>
      </w:pPr>
      <w:rPr>
        <w:rFonts w:cs="Times New Roman"/>
      </w:rPr>
    </w:lvl>
    <w:lvl w:ilvl="4" w:tplc="08160019" w:tentative="1">
      <w:start w:val="1"/>
      <w:numFmt w:val="lowerLetter"/>
      <w:lvlText w:val="%5."/>
      <w:lvlJc w:val="left"/>
      <w:pPr>
        <w:ind w:left="3807" w:hanging="360"/>
      </w:pPr>
      <w:rPr>
        <w:rFonts w:cs="Times New Roman"/>
      </w:rPr>
    </w:lvl>
    <w:lvl w:ilvl="5" w:tplc="0816001B" w:tentative="1">
      <w:start w:val="1"/>
      <w:numFmt w:val="lowerRoman"/>
      <w:lvlText w:val="%6."/>
      <w:lvlJc w:val="right"/>
      <w:pPr>
        <w:ind w:left="4527" w:hanging="180"/>
      </w:pPr>
      <w:rPr>
        <w:rFonts w:cs="Times New Roman"/>
      </w:rPr>
    </w:lvl>
    <w:lvl w:ilvl="6" w:tplc="0816000F" w:tentative="1">
      <w:start w:val="1"/>
      <w:numFmt w:val="decimal"/>
      <w:lvlText w:val="%7."/>
      <w:lvlJc w:val="left"/>
      <w:pPr>
        <w:ind w:left="5247" w:hanging="360"/>
      </w:pPr>
      <w:rPr>
        <w:rFonts w:cs="Times New Roman"/>
      </w:rPr>
    </w:lvl>
    <w:lvl w:ilvl="7" w:tplc="08160019" w:tentative="1">
      <w:start w:val="1"/>
      <w:numFmt w:val="lowerLetter"/>
      <w:lvlText w:val="%8."/>
      <w:lvlJc w:val="left"/>
      <w:pPr>
        <w:ind w:left="5967" w:hanging="360"/>
      </w:pPr>
      <w:rPr>
        <w:rFonts w:cs="Times New Roman"/>
      </w:rPr>
    </w:lvl>
    <w:lvl w:ilvl="8" w:tplc="0816001B" w:tentative="1">
      <w:start w:val="1"/>
      <w:numFmt w:val="lowerRoman"/>
      <w:lvlText w:val="%9."/>
      <w:lvlJc w:val="right"/>
      <w:pPr>
        <w:ind w:left="6687" w:hanging="180"/>
      </w:pPr>
      <w:rPr>
        <w:rFonts w:cs="Times New Roman"/>
      </w:rPr>
    </w:lvl>
  </w:abstractNum>
  <w:abstractNum w:abstractNumId="5">
    <w:nsid w:val="70EB3414"/>
    <w:multiLevelType w:val="hybridMultilevel"/>
    <w:tmpl w:val="48FEBB6A"/>
    <w:lvl w:ilvl="0" w:tplc="A914056C">
      <w:start w:val="1"/>
      <w:numFmt w:val="upperRoman"/>
      <w:lvlText w:val="%1."/>
      <w:lvlJc w:val="left"/>
      <w:pPr>
        <w:ind w:left="720" w:hanging="72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nsid w:val="713B3B33"/>
    <w:multiLevelType w:val="hybridMultilevel"/>
    <w:tmpl w:val="9448146C"/>
    <w:lvl w:ilvl="0" w:tplc="5D32C5B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6D3F74"/>
    <w:multiLevelType w:val="hybridMultilevel"/>
    <w:tmpl w:val="D21881DA"/>
    <w:lvl w:ilvl="0" w:tplc="6F987BE8">
      <w:numFmt w:val="bullet"/>
      <w:lvlText w:val="-"/>
      <w:lvlJc w:val="left"/>
      <w:pPr>
        <w:ind w:left="927" w:hanging="360"/>
      </w:pPr>
      <w:rPr>
        <w:rFonts w:ascii="Calibri" w:eastAsiaTheme="minorHAnsi" w:hAnsi="Calibri"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26"/>
    <w:rsid w:val="00013CC5"/>
    <w:rsid w:val="0001569D"/>
    <w:rsid w:val="000177FC"/>
    <w:rsid w:val="000234BD"/>
    <w:rsid w:val="000239AD"/>
    <w:rsid w:val="00031472"/>
    <w:rsid w:val="00035D78"/>
    <w:rsid w:val="0003644E"/>
    <w:rsid w:val="000434AB"/>
    <w:rsid w:val="000511F1"/>
    <w:rsid w:val="00051DE6"/>
    <w:rsid w:val="00054048"/>
    <w:rsid w:val="0005424B"/>
    <w:rsid w:val="00070047"/>
    <w:rsid w:val="000715AF"/>
    <w:rsid w:val="00072FB8"/>
    <w:rsid w:val="00074F86"/>
    <w:rsid w:val="00076455"/>
    <w:rsid w:val="00076F91"/>
    <w:rsid w:val="000778EA"/>
    <w:rsid w:val="00082180"/>
    <w:rsid w:val="0008329D"/>
    <w:rsid w:val="000838BC"/>
    <w:rsid w:val="000860C2"/>
    <w:rsid w:val="00087EE5"/>
    <w:rsid w:val="00093863"/>
    <w:rsid w:val="000A46CA"/>
    <w:rsid w:val="000A4E71"/>
    <w:rsid w:val="000B00F4"/>
    <w:rsid w:val="000B15D4"/>
    <w:rsid w:val="000B530D"/>
    <w:rsid w:val="000B7F8E"/>
    <w:rsid w:val="000C75FF"/>
    <w:rsid w:val="000D29A1"/>
    <w:rsid w:val="000F184F"/>
    <w:rsid w:val="00102DE4"/>
    <w:rsid w:val="00103BD2"/>
    <w:rsid w:val="00111E54"/>
    <w:rsid w:val="00122D9E"/>
    <w:rsid w:val="00123687"/>
    <w:rsid w:val="001251AB"/>
    <w:rsid w:val="00125BEC"/>
    <w:rsid w:val="001301BB"/>
    <w:rsid w:val="0013271B"/>
    <w:rsid w:val="0013457F"/>
    <w:rsid w:val="00137589"/>
    <w:rsid w:val="0014542B"/>
    <w:rsid w:val="00153715"/>
    <w:rsid w:val="00155B85"/>
    <w:rsid w:val="001562FF"/>
    <w:rsid w:val="00160CD9"/>
    <w:rsid w:val="001740B5"/>
    <w:rsid w:val="00175775"/>
    <w:rsid w:val="00180C99"/>
    <w:rsid w:val="001823B5"/>
    <w:rsid w:val="00182D96"/>
    <w:rsid w:val="00184F45"/>
    <w:rsid w:val="001851BC"/>
    <w:rsid w:val="00186D5A"/>
    <w:rsid w:val="00192180"/>
    <w:rsid w:val="001B06A7"/>
    <w:rsid w:val="001B3C09"/>
    <w:rsid w:val="001B596F"/>
    <w:rsid w:val="001C32D6"/>
    <w:rsid w:val="001C3BDF"/>
    <w:rsid w:val="001C6693"/>
    <w:rsid w:val="001D2C58"/>
    <w:rsid w:val="001D36B1"/>
    <w:rsid w:val="001D76B2"/>
    <w:rsid w:val="001E172B"/>
    <w:rsid w:val="001E7C8C"/>
    <w:rsid w:val="001F45A9"/>
    <w:rsid w:val="001F574A"/>
    <w:rsid w:val="001F7240"/>
    <w:rsid w:val="00203D07"/>
    <w:rsid w:val="0021139F"/>
    <w:rsid w:val="00213F38"/>
    <w:rsid w:val="002151F8"/>
    <w:rsid w:val="002168BD"/>
    <w:rsid w:val="00230F1E"/>
    <w:rsid w:val="00233E71"/>
    <w:rsid w:val="00240695"/>
    <w:rsid w:val="0024482B"/>
    <w:rsid w:val="00245B9D"/>
    <w:rsid w:val="00256391"/>
    <w:rsid w:val="0025694A"/>
    <w:rsid w:val="00256F06"/>
    <w:rsid w:val="002574FD"/>
    <w:rsid w:val="00260628"/>
    <w:rsid w:val="00270473"/>
    <w:rsid w:val="00274E92"/>
    <w:rsid w:val="002759C8"/>
    <w:rsid w:val="0029206A"/>
    <w:rsid w:val="0029454F"/>
    <w:rsid w:val="002970BA"/>
    <w:rsid w:val="002A106C"/>
    <w:rsid w:val="002A3F74"/>
    <w:rsid w:val="002A5427"/>
    <w:rsid w:val="002A7183"/>
    <w:rsid w:val="002C1256"/>
    <w:rsid w:val="002C7E09"/>
    <w:rsid w:val="002D48B0"/>
    <w:rsid w:val="002D6DE4"/>
    <w:rsid w:val="002D6FD6"/>
    <w:rsid w:val="002D7660"/>
    <w:rsid w:val="002E0FEA"/>
    <w:rsid w:val="002E5858"/>
    <w:rsid w:val="002F14FC"/>
    <w:rsid w:val="003021FB"/>
    <w:rsid w:val="00317AEA"/>
    <w:rsid w:val="00323B58"/>
    <w:rsid w:val="00326D81"/>
    <w:rsid w:val="003362FA"/>
    <w:rsid w:val="00336F09"/>
    <w:rsid w:val="00341B3F"/>
    <w:rsid w:val="00354B2A"/>
    <w:rsid w:val="003579B6"/>
    <w:rsid w:val="003619D5"/>
    <w:rsid w:val="00361D4B"/>
    <w:rsid w:val="0036261D"/>
    <w:rsid w:val="0036381E"/>
    <w:rsid w:val="003733A0"/>
    <w:rsid w:val="0037354E"/>
    <w:rsid w:val="00375342"/>
    <w:rsid w:val="003807DE"/>
    <w:rsid w:val="00381051"/>
    <w:rsid w:val="0038199A"/>
    <w:rsid w:val="00383F3B"/>
    <w:rsid w:val="0039030B"/>
    <w:rsid w:val="00392510"/>
    <w:rsid w:val="003942C1"/>
    <w:rsid w:val="00394D32"/>
    <w:rsid w:val="003A6841"/>
    <w:rsid w:val="003B1670"/>
    <w:rsid w:val="003B7478"/>
    <w:rsid w:val="003C36AA"/>
    <w:rsid w:val="003D2264"/>
    <w:rsid w:val="003D2E8C"/>
    <w:rsid w:val="003D7C51"/>
    <w:rsid w:val="003E5B12"/>
    <w:rsid w:val="003F7573"/>
    <w:rsid w:val="00401A6C"/>
    <w:rsid w:val="00401DAE"/>
    <w:rsid w:val="00403A0E"/>
    <w:rsid w:val="0042010B"/>
    <w:rsid w:val="00432450"/>
    <w:rsid w:val="004378CE"/>
    <w:rsid w:val="0044786B"/>
    <w:rsid w:val="00453B6A"/>
    <w:rsid w:val="00456521"/>
    <w:rsid w:val="00481DE4"/>
    <w:rsid w:val="00481E12"/>
    <w:rsid w:val="0049038E"/>
    <w:rsid w:val="00493E6F"/>
    <w:rsid w:val="004A3F45"/>
    <w:rsid w:val="004B6348"/>
    <w:rsid w:val="004B6CEF"/>
    <w:rsid w:val="004C7014"/>
    <w:rsid w:val="004F4478"/>
    <w:rsid w:val="004F6B1F"/>
    <w:rsid w:val="00511AD3"/>
    <w:rsid w:val="00511ECB"/>
    <w:rsid w:val="00512553"/>
    <w:rsid w:val="005149A2"/>
    <w:rsid w:val="00520B6F"/>
    <w:rsid w:val="005211A3"/>
    <w:rsid w:val="005213F5"/>
    <w:rsid w:val="00522BC9"/>
    <w:rsid w:val="005405B1"/>
    <w:rsid w:val="00542CE7"/>
    <w:rsid w:val="00545F97"/>
    <w:rsid w:val="0055025E"/>
    <w:rsid w:val="005574ED"/>
    <w:rsid w:val="005647CD"/>
    <w:rsid w:val="00564BDF"/>
    <w:rsid w:val="005742D5"/>
    <w:rsid w:val="005839C7"/>
    <w:rsid w:val="00590183"/>
    <w:rsid w:val="005911C9"/>
    <w:rsid w:val="00594CCD"/>
    <w:rsid w:val="00596223"/>
    <w:rsid w:val="005A564D"/>
    <w:rsid w:val="005A7A5E"/>
    <w:rsid w:val="005B0AA0"/>
    <w:rsid w:val="005B1F9D"/>
    <w:rsid w:val="005B640E"/>
    <w:rsid w:val="005B7CAF"/>
    <w:rsid w:val="005C0810"/>
    <w:rsid w:val="005C5395"/>
    <w:rsid w:val="005D0B8F"/>
    <w:rsid w:val="005E37C9"/>
    <w:rsid w:val="005E4B58"/>
    <w:rsid w:val="005E5E52"/>
    <w:rsid w:val="005E5EC5"/>
    <w:rsid w:val="005F2E0A"/>
    <w:rsid w:val="005F7E0E"/>
    <w:rsid w:val="006051D5"/>
    <w:rsid w:val="00605C92"/>
    <w:rsid w:val="006125F7"/>
    <w:rsid w:val="00615434"/>
    <w:rsid w:val="006176B7"/>
    <w:rsid w:val="00621B72"/>
    <w:rsid w:val="006279F8"/>
    <w:rsid w:val="00630C4E"/>
    <w:rsid w:val="006323E8"/>
    <w:rsid w:val="0064049C"/>
    <w:rsid w:val="006423E8"/>
    <w:rsid w:val="00642D61"/>
    <w:rsid w:val="00646DFC"/>
    <w:rsid w:val="0065202C"/>
    <w:rsid w:val="0065521D"/>
    <w:rsid w:val="006562FC"/>
    <w:rsid w:val="00671CDD"/>
    <w:rsid w:val="00676FE2"/>
    <w:rsid w:val="00677580"/>
    <w:rsid w:val="00681637"/>
    <w:rsid w:val="006829C5"/>
    <w:rsid w:val="00685A63"/>
    <w:rsid w:val="00686890"/>
    <w:rsid w:val="006A1C6A"/>
    <w:rsid w:val="006A5473"/>
    <w:rsid w:val="006A7CB9"/>
    <w:rsid w:val="006B024B"/>
    <w:rsid w:val="006B0CD0"/>
    <w:rsid w:val="006B64BA"/>
    <w:rsid w:val="006D210D"/>
    <w:rsid w:val="006E2649"/>
    <w:rsid w:val="006E72C2"/>
    <w:rsid w:val="006E7C5F"/>
    <w:rsid w:val="006F01BC"/>
    <w:rsid w:val="006F0774"/>
    <w:rsid w:val="006F12AA"/>
    <w:rsid w:val="006F26A5"/>
    <w:rsid w:val="006F65A0"/>
    <w:rsid w:val="006F7F11"/>
    <w:rsid w:val="00700069"/>
    <w:rsid w:val="00701C1F"/>
    <w:rsid w:val="00706060"/>
    <w:rsid w:val="007260C9"/>
    <w:rsid w:val="007422F6"/>
    <w:rsid w:val="00747A2E"/>
    <w:rsid w:val="007517B2"/>
    <w:rsid w:val="007548C6"/>
    <w:rsid w:val="0076249C"/>
    <w:rsid w:val="00762631"/>
    <w:rsid w:val="007705E9"/>
    <w:rsid w:val="007710FC"/>
    <w:rsid w:val="00771F05"/>
    <w:rsid w:val="00775993"/>
    <w:rsid w:val="00776B8F"/>
    <w:rsid w:val="00780C79"/>
    <w:rsid w:val="00781DA3"/>
    <w:rsid w:val="00784552"/>
    <w:rsid w:val="007854D1"/>
    <w:rsid w:val="00795CD4"/>
    <w:rsid w:val="007C682A"/>
    <w:rsid w:val="007E1F51"/>
    <w:rsid w:val="007F3BDE"/>
    <w:rsid w:val="007F3D6E"/>
    <w:rsid w:val="008050A1"/>
    <w:rsid w:val="00805471"/>
    <w:rsid w:val="00810DE4"/>
    <w:rsid w:val="00815C38"/>
    <w:rsid w:val="00815C4B"/>
    <w:rsid w:val="00822114"/>
    <w:rsid w:val="00823CF2"/>
    <w:rsid w:val="0082466A"/>
    <w:rsid w:val="00825532"/>
    <w:rsid w:val="00830BB1"/>
    <w:rsid w:val="00833A89"/>
    <w:rsid w:val="008366CB"/>
    <w:rsid w:val="00842605"/>
    <w:rsid w:val="00842E85"/>
    <w:rsid w:val="00846C73"/>
    <w:rsid w:val="00856E1C"/>
    <w:rsid w:val="00864B3D"/>
    <w:rsid w:val="00875BAC"/>
    <w:rsid w:val="00884A29"/>
    <w:rsid w:val="00891D2F"/>
    <w:rsid w:val="00894056"/>
    <w:rsid w:val="008B1E90"/>
    <w:rsid w:val="008B4F1D"/>
    <w:rsid w:val="008C218E"/>
    <w:rsid w:val="008D79F9"/>
    <w:rsid w:val="008E098D"/>
    <w:rsid w:val="008E3A21"/>
    <w:rsid w:val="008E4A2F"/>
    <w:rsid w:val="008F135D"/>
    <w:rsid w:val="008F4C16"/>
    <w:rsid w:val="008F6E72"/>
    <w:rsid w:val="0090182C"/>
    <w:rsid w:val="0090385C"/>
    <w:rsid w:val="00905612"/>
    <w:rsid w:val="009151CA"/>
    <w:rsid w:val="009165A0"/>
    <w:rsid w:val="00927571"/>
    <w:rsid w:val="00934E3B"/>
    <w:rsid w:val="009350C2"/>
    <w:rsid w:val="00936A0C"/>
    <w:rsid w:val="00936E15"/>
    <w:rsid w:val="00940E03"/>
    <w:rsid w:val="00955B43"/>
    <w:rsid w:val="0096674B"/>
    <w:rsid w:val="009914D8"/>
    <w:rsid w:val="00993158"/>
    <w:rsid w:val="009977ED"/>
    <w:rsid w:val="00997B3A"/>
    <w:rsid w:val="009A00B8"/>
    <w:rsid w:val="009A28CD"/>
    <w:rsid w:val="009A4064"/>
    <w:rsid w:val="009B15ED"/>
    <w:rsid w:val="009B62AC"/>
    <w:rsid w:val="009C2590"/>
    <w:rsid w:val="009D68A1"/>
    <w:rsid w:val="009D7907"/>
    <w:rsid w:val="009E0E91"/>
    <w:rsid w:val="009E394D"/>
    <w:rsid w:val="009E4B63"/>
    <w:rsid w:val="009E7EDA"/>
    <w:rsid w:val="009F11BF"/>
    <w:rsid w:val="009F65FD"/>
    <w:rsid w:val="00A10F55"/>
    <w:rsid w:val="00A20052"/>
    <w:rsid w:val="00A206BE"/>
    <w:rsid w:val="00A20F8A"/>
    <w:rsid w:val="00A431A3"/>
    <w:rsid w:val="00A4399A"/>
    <w:rsid w:val="00A5276B"/>
    <w:rsid w:val="00A619C1"/>
    <w:rsid w:val="00A6458B"/>
    <w:rsid w:val="00A732B1"/>
    <w:rsid w:val="00A80335"/>
    <w:rsid w:val="00A91FA0"/>
    <w:rsid w:val="00A97538"/>
    <w:rsid w:val="00AA182D"/>
    <w:rsid w:val="00AA2ADA"/>
    <w:rsid w:val="00AA3978"/>
    <w:rsid w:val="00AA40BB"/>
    <w:rsid w:val="00AA494C"/>
    <w:rsid w:val="00AA7CA1"/>
    <w:rsid w:val="00AB1F32"/>
    <w:rsid w:val="00AD12F9"/>
    <w:rsid w:val="00AD15E6"/>
    <w:rsid w:val="00AD31A6"/>
    <w:rsid w:val="00AD55EE"/>
    <w:rsid w:val="00AD5946"/>
    <w:rsid w:val="00AD6297"/>
    <w:rsid w:val="00AE056D"/>
    <w:rsid w:val="00AE1E28"/>
    <w:rsid w:val="00AE4C15"/>
    <w:rsid w:val="00AF3C97"/>
    <w:rsid w:val="00B0241E"/>
    <w:rsid w:val="00B02DE0"/>
    <w:rsid w:val="00B047C8"/>
    <w:rsid w:val="00B13524"/>
    <w:rsid w:val="00B237B3"/>
    <w:rsid w:val="00B3409F"/>
    <w:rsid w:val="00B44F1D"/>
    <w:rsid w:val="00B45C84"/>
    <w:rsid w:val="00B61B29"/>
    <w:rsid w:val="00B6209F"/>
    <w:rsid w:val="00B63930"/>
    <w:rsid w:val="00B67B9B"/>
    <w:rsid w:val="00B72685"/>
    <w:rsid w:val="00B734BB"/>
    <w:rsid w:val="00B8145D"/>
    <w:rsid w:val="00B85482"/>
    <w:rsid w:val="00B8566C"/>
    <w:rsid w:val="00B9151C"/>
    <w:rsid w:val="00B91DC8"/>
    <w:rsid w:val="00BA3CAF"/>
    <w:rsid w:val="00BA5DE8"/>
    <w:rsid w:val="00BB45CE"/>
    <w:rsid w:val="00BC3F87"/>
    <w:rsid w:val="00BC62F2"/>
    <w:rsid w:val="00BC68F9"/>
    <w:rsid w:val="00BC7B6B"/>
    <w:rsid w:val="00BD21B2"/>
    <w:rsid w:val="00BE0923"/>
    <w:rsid w:val="00BE0A1E"/>
    <w:rsid w:val="00BF2E6B"/>
    <w:rsid w:val="00BF6326"/>
    <w:rsid w:val="00C015CA"/>
    <w:rsid w:val="00C03D5A"/>
    <w:rsid w:val="00C111D4"/>
    <w:rsid w:val="00C227EB"/>
    <w:rsid w:val="00C24B1E"/>
    <w:rsid w:val="00C30246"/>
    <w:rsid w:val="00C37D52"/>
    <w:rsid w:val="00C45DE4"/>
    <w:rsid w:val="00C52D5C"/>
    <w:rsid w:val="00C55746"/>
    <w:rsid w:val="00C6535D"/>
    <w:rsid w:val="00C74EFF"/>
    <w:rsid w:val="00C8155D"/>
    <w:rsid w:val="00C824C7"/>
    <w:rsid w:val="00CA1275"/>
    <w:rsid w:val="00CA234E"/>
    <w:rsid w:val="00CA25A2"/>
    <w:rsid w:val="00CA4759"/>
    <w:rsid w:val="00CA6DBA"/>
    <w:rsid w:val="00CB22FF"/>
    <w:rsid w:val="00CB4ADD"/>
    <w:rsid w:val="00CB4FD3"/>
    <w:rsid w:val="00CB53DA"/>
    <w:rsid w:val="00CB6F82"/>
    <w:rsid w:val="00CC1509"/>
    <w:rsid w:val="00CC4451"/>
    <w:rsid w:val="00CD6287"/>
    <w:rsid w:val="00CE368C"/>
    <w:rsid w:val="00CE4AEB"/>
    <w:rsid w:val="00CE52B6"/>
    <w:rsid w:val="00CF0753"/>
    <w:rsid w:val="00CF0FF5"/>
    <w:rsid w:val="00CF7208"/>
    <w:rsid w:val="00D05872"/>
    <w:rsid w:val="00D06A8F"/>
    <w:rsid w:val="00D120A8"/>
    <w:rsid w:val="00D149AD"/>
    <w:rsid w:val="00D22DE0"/>
    <w:rsid w:val="00D25677"/>
    <w:rsid w:val="00D26381"/>
    <w:rsid w:val="00D3151B"/>
    <w:rsid w:val="00D32507"/>
    <w:rsid w:val="00D35DD7"/>
    <w:rsid w:val="00D3664F"/>
    <w:rsid w:val="00D36D34"/>
    <w:rsid w:val="00D43E69"/>
    <w:rsid w:val="00D51BA1"/>
    <w:rsid w:val="00D53F55"/>
    <w:rsid w:val="00D557A8"/>
    <w:rsid w:val="00D57A68"/>
    <w:rsid w:val="00D57CF7"/>
    <w:rsid w:val="00D67AAB"/>
    <w:rsid w:val="00D74862"/>
    <w:rsid w:val="00D80DAF"/>
    <w:rsid w:val="00D8195D"/>
    <w:rsid w:val="00D874AA"/>
    <w:rsid w:val="00D919EB"/>
    <w:rsid w:val="00D95DFF"/>
    <w:rsid w:val="00D9679C"/>
    <w:rsid w:val="00DA0A2A"/>
    <w:rsid w:val="00DB1382"/>
    <w:rsid w:val="00DB1912"/>
    <w:rsid w:val="00DB75AB"/>
    <w:rsid w:val="00DC1C75"/>
    <w:rsid w:val="00DC5D96"/>
    <w:rsid w:val="00DC6871"/>
    <w:rsid w:val="00DC7FD5"/>
    <w:rsid w:val="00DE4863"/>
    <w:rsid w:val="00DF3886"/>
    <w:rsid w:val="00E11012"/>
    <w:rsid w:val="00E120C9"/>
    <w:rsid w:val="00E1658B"/>
    <w:rsid w:val="00E17D88"/>
    <w:rsid w:val="00E23FCC"/>
    <w:rsid w:val="00E33A3B"/>
    <w:rsid w:val="00E33B89"/>
    <w:rsid w:val="00E342E7"/>
    <w:rsid w:val="00E45792"/>
    <w:rsid w:val="00E52B77"/>
    <w:rsid w:val="00E56384"/>
    <w:rsid w:val="00E608ED"/>
    <w:rsid w:val="00E62903"/>
    <w:rsid w:val="00E646E7"/>
    <w:rsid w:val="00E65886"/>
    <w:rsid w:val="00E670AD"/>
    <w:rsid w:val="00E71A25"/>
    <w:rsid w:val="00E72C5D"/>
    <w:rsid w:val="00E7499E"/>
    <w:rsid w:val="00E8309F"/>
    <w:rsid w:val="00E87551"/>
    <w:rsid w:val="00E87BD3"/>
    <w:rsid w:val="00E957CF"/>
    <w:rsid w:val="00E960CB"/>
    <w:rsid w:val="00E9639C"/>
    <w:rsid w:val="00E97DFB"/>
    <w:rsid w:val="00EB2354"/>
    <w:rsid w:val="00EC3F8F"/>
    <w:rsid w:val="00ED5F89"/>
    <w:rsid w:val="00ED6DD0"/>
    <w:rsid w:val="00EE0A1A"/>
    <w:rsid w:val="00EE7680"/>
    <w:rsid w:val="00EF0893"/>
    <w:rsid w:val="00F00D77"/>
    <w:rsid w:val="00F027BD"/>
    <w:rsid w:val="00F02867"/>
    <w:rsid w:val="00F05CEE"/>
    <w:rsid w:val="00F16AF9"/>
    <w:rsid w:val="00F178C6"/>
    <w:rsid w:val="00F22FD5"/>
    <w:rsid w:val="00F350EA"/>
    <w:rsid w:val="00F406AE"/>
    <w:rsid w:val="00F4173F"/>
    <w:rsid w:val="00F41B1B"/>
    <w:rsid w:val="00F463D3"/>
    <w:rsid w:val="00F576D7"/>
    <w:rsid w:val="00F865DB"/>
    <w:rsid w:val="00F935C4"/>
    <w:rsid w:val="00F945FF"/>
    <w:rsid w:val="00F95CE0"/>
    <w:rsid w:val="00FA34FD"/>
    <w:rsid w:val="00FA3C2B"/>
    <w:rsid w:val="00FA5DA7"/>
    <w:rsid w:val="00FB2F43"/>
    <w:rsid w:val="00FB31C0"/>
    <w:rsid w:val="00FB40A0"/>
    <w:rsid w:val="00FB77A1"/>
    <w:rsid w:val="00FC130F"/>
    <w:rsid w:val="00FC2876"/>
    <w:rsid w:val="00FC498F"/>
    <w:rsid w:val="00FC5C8B"/>
    <w:rsid w:val="00FD1690"/>
    <w:rsid w:val="00FD65C0"/>
    <w:rsid w:val="00FF247E"/>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26"/>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6326"/>
    <w:pPr>
      <w:ind w:left="720"/>
      <w:contextualSpacing/>
    </w:pPr>
  </w:style>
  <w:style w:type="character" w:styleId="PlaceholderText">
    <w:name w:val="Placeholder Text"/>
    <w:basedOn w:val="DefaultParagraphFont"/>
    <w:uiPriority w:val="99"/>
    <w:semiHidden/>
    <w:rsid w:val="0013457F"/>
    <w:rPr>
      <w:color w:val="808080"/>
    </w:rPr>
  </w:style>
  <w:style w:type="paragraph" w:styleId="EndnoteText">
    <w:name w:val="endnote text"/>
    <w:basedOn w:val="Normal"/>
    <w:link w:val="EndnoteTextChar"/>
    <w:uiPriority w:val="99"/>
    <w:semiHidden/>
    <w:rsid w:val="0013457F"/>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rsid w:val="0013457F"/>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rsid w:val="0013457F"/>
    <w:rPr>
      <w:rFonts w:cs="Times New Roman"/>
      <w:vertAlign w:val="superscript"/>
    </w:rPr>
  </w:style>
  <w:style w:type="character" w:styleId="Hyperlink">
    <w:name w:val="Hyperlink"/>
    <w:basedOn w:val="DefaultParagraphFont"/>
    <w:uiPriority w:val="99"/>
    <w:unhideWhenUsed/>
    <w:rsid w:val="00C111D4"/>
    <w:rPr>
      <w:color w:val="0000FF" w:themeColor="hyperlink"/>
      <w:u w:val="single"/>
    </w:rPr>
  </w:style>
  <w:style w:type="character" w:customStyle="1" w:styleId="BalloonTextChar">
    <w:name w:val="Balloon Text Char"/>
    <w:basedOn w:val="DefaultParagraphFont"/>
    <w:link w:val="BalloonText"/>
    <w:uiPriority w:val="99"/>
    <w:semiHidden/>
    <w:rsid w:val="00681637"/>
    <w:rPr>
      <w:rFonts w:ascii="Tahoma" w:hAnsi="Tahoma" w:cs="Tahoma"/>
      <w:sz w:val="16"/>
      <w:szCs w:val="16"/>
    </w:rPr>
  </w:style>
  <w:style w:type="paragraph" w:styleId="BalloonText">
    <w:name w:val="Balloon Text"/>
    <w:basedOn w:val="Normal"/>
    <w:link w:val="BalloonTextChar"/>
    <w:uiPriority w:val="99"/>
    <w:semiHidden/>
    <w:unhideWhenUsed/>
    <w:rsid w:val="00681637"/>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rsid w:val="006816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637"/>
    <w:rPr>
      <w:sz w:val="20"/>
      <w:szCs w:val="20"/>
    </w:rPr>
  </w:style>
  <w:style w:type="table" w:styleId="TableGrid">
    <w:name w:val="Table Grid"/>
    <w:basedOn w:val="TableNormal"/>
    <w:uiPriority w:val="59"/>
    <w:rsid w:val="0068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637"/>
    <w:pPr>
      <w:tabs>
        <w:tab w:val="center" w:pos="4252"/>
        <w:tab w:val="right" w:pos="8504"/>
      </w:tabs>
      <w:spacing w:after="0" w:line="240" w:lineRule="auto"/>
    </w:pPr>
  </w:style>
  <w:style w:type="character" w:customStyle="1" w:styleId="HeaderChar">
    <w:name w:val="Header Char"/>
    <w:basedOn w:val="DefaultParagraphFont"/>
    <w:link w:val="Header"/>
    <w:uiPriority w:val="99"/>
    <w:rsid w:val="00681637"/>
  </w:style>
  <w:style w:type="paragraph" w:styleId="Footer">
    <w:name w:val="footer"/>
    <w:basedOn w:val="Normal"/>
    <w:link w:val="FooterChar"/>
    <w:uiPriority w:val="99"/>
    <w:unhideWhenUsed/>
    <w:rsid w:val="00681637"/>
    <w:pPr>
      <w:tabs>
        <w:tab w:val="center" w:pos="4252"/>
        <w:tab w:val="right" w:pos="8504"/>
      </w:tabs>
      <w:spacing w:after="0" w:line="240" w:lineRule="auto"/>
    </w:pPr>
  </w:style>
  <w:style w:type="character" w:customStyle="1" w:styleId="FooterChar">
    <w:name w:val="Footer Char"/>
    <w:basedOn w:val="DefaultParagraphFont"/>
    <w:link w:val="Footer"/>
    <w:uiPriority w:val="99"/>
    <w:rsid w:val="00681637"/>
  </w:style>
  <w:style w:type="paragraph" w:styleId="Caption">
    <w:name w:val="caption"/>
    <w:basedOn w:val="Normal"/>
    <w:next w:val="Normal"/>
    <w:uiPriority w:val="35"/>
    <w:unhideWhenUsed/>
    <w:qFormat/>
    <w:rsid w:val="00681637"/>
    <w:pPr>
      <w:spacing w:line="240" w:lineRule="auto"/>
    </w:pPr>
    <w:rPr>
      <w:b/>
      <w:bCs/>
      <w:color w:val="4F81BD" w:themeColor="accent1"/>
      <w:sz w:val="18"/>
      <w:szCs w:val="18"/>
    </w:rPr>
  </w:style>
  <w:style w:type="character" w:styleId="BookTitle">
    <w:name w:val="Book Title"/>
    <w:basedOn w:val="DefaultParagraphFont"/>
    <w:uiPriority w:val="33"/>
    <w:qFormat/>
    <w:rsid w:val="00681637"/>
    <w:rPr>
      <w:rFonts w:ascii="Times New Roman" w:hAnsi="Times New Roman"/>
      <w:b/>
      <w:bCs/>
      <w:smallCaps/>
      <w:spacing w:val="5"/>
      <w:sz w:val="24"/>
    </w:rPr>
  </w:style>
  <w:style w:type="character" w:styleId="FootnoteReference">
    <w:name w:val="footnote reference"/>
    <w:basedOn w:val="DefaultParagraphFont"/>
    <w:uiPriority w:val="99"/>
    <w:semiHidden/>
    <w:unhideWhenUsed/>
    <w:rsid w:val="00432450"/>
    <w:rPr>
      <w:vertAlign w:val="superscript"/>
    </w:rPr>
  </w:style>
  <w:style w:type="table" w:customStyle="1" w:styleId="LightShading1">
    <w:name w:val="Light Shading1"/>
    <w:basedOn w:val="TableNormal"/>
    <w:uiPriority w:val="60"/>
    <w:rsid w:val="004324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comgrelha1">
    <w:name w:val="Tabela com grelha1"/>
    <w:basedOn w:val="TableNormal"/>
    <w:next w:val="TableGrid"/>
    <w:uiPriority w:val="59"/>
    <w:rsid w:val="0043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59"/>
    <w:rsid w:val="0043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11">
    <w:name w:val="Tabela com grelha11"/>
    <w:basedOn w:val="TableNormal"/>
    <w:next w:val="TableGrid"/>
    <w:uiPriority w:val="59"/>
    <w:rsid w:val="00432450"/>
    <w:pPr>
      <w:spacing w:after="0" w:line="240" w:lineRule="auto"/>
    </w:pPr>
    <w:tblPr>
      <w:tblBorders>
        <w:insideV w:val="single" w:sz="4" w:space="0" w:color="auto"/>
      </w:tblBorders>
    </w:tblPr>
  </w:style>
  <w:style w:type="table" w:customStyle="1" w:styleId="Tabelacomgrelha3">
    <w:name w:val="Tabela com grelha3"/>
    <w:basedOn w:val="TableNormal"/>
    <w:next w:val="TableGrid"/>
    <w:uiPriority w:val="59"/>
    <w:rsid w:val="0043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4">
    <w:name w:val="Tabela com grelha4"/>
    <w:basedOn w:val="TableNormal"/>
    <w:next w:val="TableGrid"/>
    <w:uiPriority w:val="59"/>
    <w:rsid w:val="0043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5">
    <w:name w:val="Tabela com grelha5"/>
    <w:basedOn w:val="TableNormal"/>
    <w:next w:val="TableGrid"/>
    <w:uiPriority w:val="59"/>
    <w:rsid w:val="0043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6">
    <w:name w:val="Tabela com grelha6"/>
    <w:basedOn w:val="TableNormal"/>
    <w:next w:val="TableGrid"/>
    <w:uiPriority w:val="59"/>
    <w:rsid w:val="0043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7">
    <w:name w:val="Tabela com grelha7"/>
    <w:basedOn w:val="TableNormal"/>
    <w:next w:val="TableGrid"/>
    <w:uiPriority w:val="59"/>
    <w:rsid w:val="0043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1">
    <w:name w:val="Tabela com grelha21"/>
    <w:basedOn w:val="TableNormal"/>
    <w:next w:val="TableGrid"/>
    <w:uiPriority w:val="59"/>
    <w:rsid w:val="00D058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13758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26"/>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6326"/>
    <w:pPr>
      <w:ind w:left="720"/>
      <w:contextualSpacing/>
    </w:pPr>
  </w:style>
  <w:style w:type="character" w:styleId="PlaceholderText">
    <w:name w:val="Placeholder Text"/>
    <w:basedOn w:val="DefaultParagraphFont"/>
    <w:uiPriority w:val="99"/>
    <w:semiHidden/>
    <w:rsid w:val="0013457F"/>
    <w:rPr>
      <w:color w:val="808080"/>
    </w:rPr>
  </w:style>
  <w:style w:type="paragraph" w:styleId="EndnoteText">
    <w:name w:val="endnote text"/>
    <w:basedOn w:val="Normal"/>
    <w:link w:val="EndnoteTextChar"/>
    <w:uiPriority w:val="99"/>
    <w:semiHidden/>
    <w:rsid w:val="0013457F"/>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rsid w:val="0013457F"/>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rsid w:val="0013457F"/>
    <w:rPr>
      <w:rFonts w:cs="Times New Roman"/>
      <w:vertAlign w:val="superscript"/>
    </w:rPr>
  </w:style>
  <w:style w:type="character" w:styleId="Hyperlink">
    <w:name w:val="Hyperlink"/>
    <w:basedOn w:val="DefaultParagraphFont"/>
    <w:uiPriority w:val="99"/>
    <w:unhideWhenUsed/>
    <w:rsid w:val="00C111D4"/>
    <w:rPr>
      <w:color w:val="0000FF" w:themeColor="hyperlink"/>
      <w:u w:val="single"/>
    </w:rPr>
  </w:style>
  <w:style w:type="character" w:customStyle="1" w:styleId="BalloonTextChar">
    <w:name w:val="Balloon Text Char"/>
    <w:basedOn w:val="DefaultParagraphFont"/>
    <w:link w:val="BalloonText"/>
    <w:uiPriority w:val="99"/>
    <w:semiHidden/>
    <w:rsid w:val="00681637"/>
    <w:rPr>
      <w:rFonts w:ascii="Tahoma" w:hAnsi="Tahoma" w:cs="Tahoma"/>
      <w:sz w:val="16"/>
      <w:szCs w:val="16"/>
    </w:rPr>
  </w:style>
  <w:style w:type="paragraph" w:styleId="BalloonText">
    <w:name w:val="Balloon Text"/>
    <w:basedOn w:val="Normal"/>
    <w:link w:val="BalloonTextChar"/>
    <w:uiPriority w:val="99"/>
    <w:semiHidden/>
    <w:unhideWhenUsed/>
    <w:rsid w:val="00681637"/>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rsid w:val="006816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637"/>
    <w:rPr>
      <w:sz w:val="20"/>
      <w:szCs w:val="20"/>
    </w:rPr>
  </w:style>
  <w:style w:type="table" w:styleId="TableGrid">
    <w:name w:val="Table Grid"/>
    <w:basedOn w:val="TableNormal"/>
    <w:uiPriority w:val="59"/>
    <w:rsid w:val="0068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637"/>
    <w:pPr>
      <w:tabs>
        <w:tab w:val="center" w:pos="4252"/>
        <w:tab w:val="right" w:pos="8504"/>
      </w:tabs>
      <w:spacing w:after="0" w:line="240" w:lineRule="auto"/>
    </w:pPr>
  </w:style>
  <w:style w:type="character" w:customStyle="1" w:styleId="HeaderChar">
    <w:name w:val="Header Char"/>
    <w:basedOn w:val="DefaultParagraphFont"/>
    <w:link w:val="Header"/>
    <w:uiPriority w:val="99"/>
    <w:rsid w:val="00681637"/>
  </w:style>
  <w:style w:type="paragraph" w:styleId="Footer">
    <w:name w:val="footer"/>
    <w:basedOn w:val="Normal"/>
    <w:link w:val="FooterChar"/>
    <w:uiPriority w:val="99"/>
    <w:unhideWhenUsed/>
    <w:rsid w:val="00681637"/>
    <w:pPr>
      <w:tabs>
        <w:tab w:val="center" w:pos="4252"/>
        <w:tab w:val="right" w:pos="8504"/>
      </w:tabs>
      <w:spacing w:after="0" w:line="240" w:lineRule="auto"/>
    </w:pPr>
  </w:style>
  <w:style w:type="character" w:customStyle="1" w:styleId="FooterChar">
    <w:name w:val="Footer Char"/>
    <w:basedOn w:val="DefaultParagraphFont"/>
    <w:link w:val="Footer"/>
    <w:uiPriority w:val="99"/>
    <w:rsid w:val="00681637"/>
  </w:style>
  <w:style w:type="paragraph" w:styleId="Caption">
    <w:name w:val="caption"/>
    <w:basedOn w:val="Normal"/>
    <w:next w:val="Normal"/>
    <w:uiPriority w:val="35"/>
    <w:unhideWhenUsed/>
    <w:qFormat/>
    <w:rsid w:val="00681637"/>
    <w:pPr>
      <w:spacing w:line="240" w:lineRule="auto"/>
    </w:pPr>
    <w:rPr>
      <w:b/>
      <w:bCs/>
      <w:color w:val="4F81BD" w:themeColor="accent1"/>
      <w:sz w:val="18"/>
      <w:szCs w:val="18"/>
    </w:rPr>
  </w:style>
  <w:style w:type="character" w:styleId="BookTitle">
    <w:name w:val="Book Title"/>
    <w:basedOn w:val="DefaultParagraphFont"/>
    <w:uiPriority w:val="33"/>
    <w:qFormat/>
    <w:rsid w:val="00681637"/>
    <w:rPr>
      <w:rFonts w:ascii="Times New Roman" w:hAnsi="Times New Roman"/>
      <w:b/>
      <w:bCs/>
      <w:smallCaps/>
      <w:spacing w:val="5"/>
      <w:sz w:val="24"/>
    </w:rPr>
  </w:style>
  <w:style w:type="character" w:styleId="FootnoteReference">
    <w:name w:val="footnote reference"/>
    <w:basedOn w:val="DefaultParagraphFont"/>
    <w:uiPriority w:val="99"/>
    <w:semiHidden/>
    <w:unhideWhenUsed/>
    <w:rsid w:val="00432450"/>
    <w:rPr>
      <w:vertAlign w:val="superscript"/>
    </w:rPr>
  </w:style>
  <w:style w:type="table" w:customStyle="1" w:styleId="LightShading1">
    <w:name w:val="Light Shading1"/>
    <w:basedOn w:val="TableNormal"/>
    <w:uiPriority w:val="60"/>
    <w:rsid w:val="004324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comgrelha1">
    <w:name w:val="Tabela com grelha1"/>
    <w:basedOn w:val="TableNormal"/>
    <w:next w:val="TableGrid"/>
    <w:uiPriority w:val="59"/>
    <w:rsid w:val="0043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59"/>
    <w:rsid w:val="0043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11">
    <w:name w:val="Tabela com grelha11"/>
    <w:basedOn w:val="TableNormal"/>
    <w:next w:val="TableGrid"/>
    <w:uiPriority w:val="59"/>
    <w:rsid w:val="00432450"/>
    <w:pPr>
      <w:spacing w:after="0" w:line="240" w:lineRule="auto"/>
    </w:pPr>
    <w:tblPr>
      <w:tblBorders>
        <w:insideV w:val="single" w:sz="4" w:space="0" w:color="auto"/>
      </w:tblBorders>
    </w:tblPr>
  </w:style>
  <w:style w:type="table" w:customStyle="1" w:styleId="Tabelacomgrelha3">
    <w:name w:val="Tabela com grelha3"/>
    <w:basedOn w:val="TableNormal"/>
    <w:next w:val="TableGrid"/>
    <w:uiPriority w:val="59"/>
    <w:rsid w:val="0043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4">
    <w:name w:val="Tabela com grelha4"/>
    <w:basedOn w:val="TableNormal"/>
    <w:next w:val="TableGrid"/>
    <w:uiPriority w:val="59"/>
    <w:rsid w:val="0043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5">
    <w:name w:val="Tabela com grelha5"/>
    <w:basedOn w:val="TableNormal"/>
    <w:next w:val="TableGrid"/>
    <w:uiPriority w:val="59"/>
    <w:rsid w:val="0043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6">
    <w:name w:val="Tabela com grelha6"/>
    <w:basedOn w:val="TableNormal"/>
    <w:next w:val="TableGrid"/>
    <w:uiPriority w:val="59"/>
    <w:rsid w:val="0043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7">
    <w:name w:val="Tabela com grelha7"/>
    <w:basedOn w:val="TableNormal"/>
    <w:next w:val="TableGrid"/>
    <w:uiPriority w:val="59"/>
    <w:rsid w:val="0043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1">
    <w:name w:val="Tabela com grelha21"/>
    <w:basedOn w:val="TableNormal"/>
    <w:next w:val="TableGrid"/>
    <w:uiPriority w:val="59"/>
    <w:rsid w:val="00D058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13758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02751">
      <w:bodyDiv w:val="1"/>
      <w:marLeft w:val="0"/>
      <w:marRight w:val="0"/>
      <w:marTop w:val="0"/>
      <w:marBottom w:val="0"/>
      <w:divBdr>
        <w:top w:val="none" w:sz="0" w:space="0" w:color="auto"/>
        <w:left w:val="none" w:sz="0" w:space="0" w:color="auto"/>
        <w:bottom w:val="none" w:sz="0" w:space="0" w:color="auto"/>
        <w:right w:val="none" w:sz="0" w:space="0" w:color="auto"/>
      </w:divBdr>
    </w:div>
    <w:div w:id="664479516">
      <w:bodyDiv w:val="1"/>
      <w:marLeft w:val="0"/>
      <w:marRight w:val="0"/>
      <w:marTop w:val="0"/>
      <w:marBottom w:val="0"/>
      <w:divBdr>
        <w:top w:val="none" w:sz="0" w:space="0" w:color="auto"/>
        <w:left w:val="none" w:sz="0" w:space="0" w:color="auto"/>
        <w:bottom w:val="none" w:sz="0" w:space="0" w:color="auto"/>
        <w:right w:val="none" w:sz="0" w:space="0" w:color="auto"/>
      </w:divBdr>
    </w:div>
    <w:div w:id="917446684">
      <w:bodyDiv w:val="1"/>
      <w:marLeft w:val="0"/>
      <w:marRight w:val="0"/>
      <w:marTop w:val="0"/>
      <w:marBottom w:val="0"/>
      <w:divBdr>
        <w:top w:val="none" w:sz="0" w:space="0" w:color="auto"/>
        <w:left w:val="none" w:sz="0" w:space="0" w:color="auto"/>
        <w:bottom w:val="none" w:sz="0" w:space="0" w:color="auto"/>
        <w:right w:val="none" w:sz="0" w:space="0" w:color="auto"/>
      </w:divBdr>
    </w:div>
    <w:div w:id="1041244902">
      <w:bodyDiv w:val="1"/>
      <w:marLeft w:val="0"/>
      <w:marRight w:val="0"/>
      <w:marTop w:val="0"/>
      <w:marBottom w:val="0"/>
      <w:divBdr>
        <w:top w:val="none" w:sz="0" w:space="0" w:color="auto"/>
        <w:left w:val="none" w:sz="0" w:space="0" w:color="auto"/>
        <w:bottom w:val="none" w:sz="0" w:space="0" w:color="auto"/>
        <w:right w:val="none" w:sz="0" w:space="0" w:color="auto"/>
      </w:divBdr>
    </w:div>
    <w:div w:id="1084913389">
      <w:bodyDiv w:val="1"/>
      <w:marLeft w:val="0"/>
      <w:marRight w:val="0"/>
      <w:marTop w:val="0"/>
      <w:marBottom w:val="0"/>
      <w:divBdr>
        <w:top w:val="none" w:sz="0" w:space="0" w:color="auto"/>
        <w:left w:val="none" w:sz="0" w:space="0" w:color="auto"/>
        <w:bottom w:val="none" w:sz="0" w:space="0" w:color="auto"/>
        <w:right w:val="none" w:sz="0" w:space="0" w:color="auto"/>
      </w:divBdr>
    </w:div>
    <w:div w:id="1143545271">
      <w:bodyDiv w:val="1"/>
      <w:marLeft w:val="0"/>
      <w:marRight w:val="0"/>
      <w:marTop w:val="0"/>
      <w:marBottom w:val="0"/>
      <w:divBdr>
        <w:top w:val="none" w:sz="0" w:space="0" w:color="auto"/>
        <w:left w:val="none" w:sz="0" w:space="0" w:color="auto"/>
        <w:bottom w:val="none" w:sz="0" w:space="0" w:color="auto"/>
        <w:right w:val="none" w:sz="0" w:space="0" w:color="auto"/>
      </w:divBdr>
    </w:div>
    <w:div w:id="1151870189">
      <w:bodyDiv w:val="1"/>
      <w:marLeft w:val="0"/>
      <w:marRight w:val="0"/>
      <w:marTop w:val="0"/>
      <w:marBottom w:val="0"/>
      <w:divBdr>
        <w:top w:val="none" w:sz="0" w:space="0" w:color="auto"/>
        <w:left w:val="none" w:sz="0" w:space="0" w:color="auto"/>
        <w:bottom w:val="none" w:sz="0" w:space="0" w:color="auto"/>
        <w:right w:val="none" w:sz="0" w:space="0" w:color="auto"/>
      </w:divBdr>
    </w:div>
    <w:div w:id="1192112233">
      <w:bodyDiv w:val="1"/>
      <w:marLeft w:val="0"/>
      <w:marRight w:val="0"/>
      <w:marTop w:val="0"/>
      <w:marBottom w:val="0"/>
      <w:divBdr>
        <w:top w:val="none" w:sz="0" w:space="0" w:color="auto"/>
        <w:left w:val="none" w:sz="0" w:space="0" w:color="auto"/>
        <w:bottom w:val="none" w:sz="0" w:space="0" w:color="auto"/>
        <w:right w:val="none" w:sz="0" w:space="0" w:color="auto"/>
      </w:divBdr>
    </w:div>
    <w:div w:id="1575358001">
      <w:bodyDiv w:val="1"/>
      <w:marLeft w:val="0"/>
      <w:marRight w:val="0"/>
      <w:marTop w:val="0"/>
      <w:marBottom w:val="0"/>
      <w:divBdr>
        <w:top w:val="none" w:sz="0" w:space="0" w:color="auto"/>
        <w:left w:val="none" w:sz="0" w:space="0" w:color="auto"/>
        <w:bottom w:val="none" w:sz="0" w:space="0" w:color="auto"/>
        <w:right w:val="none" w:sz="0" w:space="0" w:color="auto"/>
      </w:divBdr>
    </w:div>
    <w:div w:id="1735543177">
      <w:bodyDiv w:val="1"/>
      <w:marLeft w:val="0"/>
      <w:marRight w:val="0"/>
      <w:marTop w:val="0"/>
      <w:marBottom w:val="0"/>
      <w:divBdr>
        <w:top w:val="none" w:sz="0" w:space="0" w:color="auto"/>
        <w:left w:val="none" w:sz="0" w:space="0" w:color="auto"/>
        <w:bottom w:val="none" w:sz="0" w:space="0" w:color="auto"/>
        <w:right w:val="none" w:sz="0" w:space="0" w:color="auto"/>
      </w:divBdr>
    </w:div>
    <w:div w:id="1828858345">
      <w:bodyDiv w:val="1"/>
      <w:marLeft w:val="0"/>
      <w:marRight w:val="0"/>
      <w:marTop w:val="0"/>
      <w:marBottom w:val="0"/>
      <w:divBdr>
        <w:top w:val="none" w:sz="0" w:space="0" w:color="auto"/>
        <w:left w:val="none" w:sz="0" w:space="0" w:color="auto"/>
        <w:bottom w:val="none" w:sz="0" w:space="0" w:color="auto"/>
        <w:right w:val="none" w:sz="0" w:space="0" w:color="auto"/>
      </w:divBdr>
    </w:div>
    <w:div w:id="1851143739">
      <w:bodyDiv w:val="1"/>
      <w:marLeft w:val="0"/>
      <w:marRight w:val="0"/>
      <w:marTop w:val="0"/>
      <w:marBottom w:val="0"/>
      <w:divBdr>
        <w:top w:val="none" w:sz="0" w:space="0" w:color="auto"/>
        <w:left w:val="none" w:sz="0" w:space="0" w:color="auto"/>
        <w:bottom w:val="none" w:sz="0" w:space="0" w:color="auto"/>
        <w:right w:val="none" w:sz="0" w:space="0" w:color="auto"/>
      </w:divBdr>
    </w:div>
    <w:div w:id="20695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data.pt/"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mailto:FilipaSantosMachado@hotmail.com" TargetMode="External"/><Relationship Id="rId4" Type="http://schemas.microsoft.com/office/2007/relationships/stylesWithEffects" Target="stylesWithEffects.xml"/><Relationship Id="rId9" Type="http://schemas.openxmlformats.org/officeDocument/2006/relationships/hyperlink" Target="mailto:lamaral@novasbe.pt"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BACKUP%20Disco\Banking%20competititon%20long%20run\Sha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BACKUP%20Disco\Banking%20competititon%20long%20run\HHI%20e%20C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BACKUP%20Disco\Banking%20competititon%20long%20run\HHI%20e%20C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Sheet1!$E$1</c:f>
              <c:strCache>
                <c:ptCount val="1"/>
                <c:pt idx="0">
                  <c:v>Commercial</c:v>
                </c:pt>
              </c:strCache>
            </c:strRef>
          </c:tx>
          <c:spPr>
            <a:ln w="22225" cap="rnd">
              <a:solidFill>
                <a:schemeClr val="tx1"/>
              </a:solidFill>
              <a:round/>
            </a:ln>
            <a:effectLst/>
          </c:spPr>
          <c:marker>
            <c:symbol val="none"/>
          </c:marker>
          <c:cat>
            <c:numRef>
              <c:f>Sheet1!$D$2:$D$48</c:f>
              <c:numCache>
                <c:formatCode>General</c:formatCode>
                <c:ptCount val="4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numCache>
            </c:numRef>
          </c:cat>
          <c:val>
            <c:numRef>
              <c:f>Sheet1!$E$2:$E$48</c:f>
              <c:numCache>
                <c:formatCode>0.00</c:formatCode>
                <c:ptCount val="47"/>
                <c:pt idx="0">
                  <c:v>81.152124970267565</c:v>
                </c:pt>
                <c:pt idx="1">
                  <c:v>82.085047443821963</c:v>
                </c:pt>
                <c:pt idx="2">
                  <c:v>82.91555391840869</c:v>
                </c:pt>
                <c:pt idx="3">
                  <c:v>83.702141734887945</c:v>
                </c:pt>
                <c:pt idx="4">
                  <c:v>84.238689508204999</c:v>
                </c:pt>
                <c:pt idx="5">
                  <c:v>84.9537653273633</c:v>
                </c:pt>
                <c:pt idx="6">
                  <c:v>85.45574870617466</c:v>
                </c:pt>
                <c:pt idx="7">
                  <c:v>85.084316284255465</c:v>
                </c:pt>
                <c:pt idx="8">
                  <c:v>85.30057672061605</c:v>
                </c:pt>
                <c:pt idx="9">
                  <c:v>88.934310886810181</c:v>
                </c:pt>
                <c:pt idx="10">
                  <c:v>88.197513430283749</c:v>
                </c:pt>
                <c:pt idx="11">
                  <c:v>86.791762085027486</c:v>
                </c:pt>
                <c:pt idx="12">
                  <c:v>86.639733447049011</c:v>
                </c:pt>
                <c:pt idx="13">
                  <c:v>88.082142027829207</c:v>
                </c:pt>
                <c:pt idx="14">
                  <c:v>85.298272455497298</c:v>
                </c:pt>
                <c:pt idx="15">
                  <c:v>82.20632996882199</c:v>
                </c:pt>
                <c:pt idx="16">
                  <c:v>81.094443947307695</c:v>
                </c:pt>
                <c:pt idx="17">
                  <c:v>80.665983437843295</c:v>
                </c:pt>
                <c:pt idx="18">
                  <c:v>79.908755703587772</c:v>
                </c:pt>
                <c:pt idx="19">
                  <c:v>70.654462491520434</c:v>
                </c:pt>
                <c:pt idx="20">
                  <c:v>71.66630929980991</c:v>
                </c:pt>
                <c:pt idx="21">
                  <c:v>71.380315239860536</c:v>
                </c:pt>
                <c:pt idx="22">
                  <c:v>69.627576190414857</c:v>
                </c:pt>
                <c:pt idx="23">
                  <c:v>72.099465211276623</c:v>
                </c:pt>
                <c:pt idx="24">
                  <c:v>68.817455597782711</c:v>
                </c:pt>
                <c:pt idx="25">
                  <c:v>67.191008547660715</c:v>
                </c:pt>
                <c:pt idx="26">
                  <c:v>64.77537219962997</c:v>
                </c:pt>
                <c:pt idx="27">
                  <c:v>63.492170843982031</c:v>
                </c:pt>
                <c:pt idx="28">
                  <c:v>64.100571486708091</c:v>
                </c:pt>
                <c:pt idx="29">
                  <c:v>63.509094204550387</c:v>
                </c:pt>
                <c:pt idx="30">
                  <c:v>62.91541829995009</c:v>
                </c:pt>
                <c:pt idx="31">
                  <c:v>63.568593912718676</c:v>
                </c:pt>
                <c:pt idx="32">
                  <c:v>62.945619810472778</c:v>
                </c:pt>
                <c:pt idx="33">
                  <c:v>94.204563111729072</c:v>
                </c:pt>
                <c:pt idx="34">
                  <c:v>92.535227770080823</c:v>
                </c:pt>
                <c:pt idx="35">
                  <c:v>92.457055377931169</c:v>
                </c:pt>
                <c:pt idx="36">
                  <c:v>92.27221467334769</c:v>
                </c:pt>
                <c:pt idx="37">
                  <c:v>93.056741429214725</c:v>
                </c:pt>
                <c:pt idx="38">
                  <c:v>93.054127671902947</c:v>
                </c:pt>
                <c:pt idx="39">
                  <c:v>93.050052244296836</c:v>
                </c:pt>
                <c:pt idx="40">
                  <c:v>92.927842283052414</c:v>
                </c:pt>
                <c:pt idx="41">
                  <c:v>92.556471890807572</c:v>
                </c:pt>
                <c:pt idx="42">
                  <c:v>92.917683205107181</c:v>
                </c:pt>
                <c:pt idx="43">
                  <c:v>87.193279712317135</c:v>
                </c:pt>
                <c:pt idx="44">
                  <c:v>85.314064614228627</c:v>
                </c:pt>
                <c:pt idx="45">
                  <c:v>87.680127304128504</c:v>
                </c:pt>
                <c:pt idx="46">
                  <c:v>79.547137687892615</c:v>
                </c:pt>
              </c:numCache>
            </c:numRef>
          </c:val>
          <c:smooth val="0"/>
          <c:extLst xmlns:c16r2="http://schemas.microsoft.com/office/drawing/2015/06/chart">
            <c:ext xmlns:c16="http://schemas.microsoft.com/office/drawing/2014/chart" uri="{C3380CC4-5D6E-409C-BE32-E72D297353CC}">
              <c16:uniqueId val="{00000000-8674-4178-AD74-F4A7C9BFE18D}"/>
            </c:ext>
          </c:extLst>
        </c:ser>
        <c:ser>
          <c:idx val="1"/>
          <c:order val="1"/>
          <c:tx>
            <c:strRef>
              <c:f>Sheet1!$F$1</c:f>
              <c:strCache>
                <c:ptCount val="1"/>
                <c:pt idx="0">
                  <c:v>Savings</c:v>
                </c:pt>
              </c:strCache>
            </c:strRef>
          </c:tx>
          <c:spPr>
            <a:ln w="22225" cap="rnd">
              <a:solidFill>
                <a:schemeClr val="tx1"/>
              </a:solidFill>
              <a:prstDash val="sysDot"/>
              <a:round/>
            </a:ln>
            <a:effectLst/>
          </c:spPr>
          <c:marker>
            <c:symbol val="none"/>
          </c:marker>
          <c:cat>
            <c:numRef>
              <c:f>Sheet1!$D$2:$D$48</c:f>
              <c:numCache>
                <c:formatCode>General</c:formatCode>
                <c:ptCount val="47"/>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numCache>
            </c:numRef>
          </c:cat>
          <c:val>
            <c:numRef>
              <c:f>Sheet1!$F$2:$F$48</c:f>
              <c:numCache>
                <c:formatCode>0.00</c:formatCode>
                <c:ptCount val="47"/>
                <c:pt idx="0">
                  <c:v>18.295266596230757</c:v>
                </c:pt>
                <c:pt idx="1">
                  <c:v>17.313894114485354</c:v>
                </c:pt>
                <c:pt idx="2">
                  <c:v>16.535592596003315</c:v>
                </c:pt>
                <c:pt idx="3">
                  <c:v>15.832299677499378</c:v>
                </c:pt>
                <c:pt idx="4">
                  <c:v>15.334383822940817</c:v>
                </c:pt>
                <c:pt idx="5">
                  <c:v>14.653328158727815</c:v>
                </c:pt>
                <c:pt idx="6">
                  <c:v>13.985504512061675</c:v>
                </c:pt>
                <c:pt idx="7">
                  <c:v>12.8434415740729</c:v>
                </c:pt>
                <c:pt idx="8">
                  <c:v>12.688515689316873</c:v>
                </c:pt>
                <c:pt idx="9">
                  <c:v>8.0471667962545137</c:v>
                </c:pt>
                <c:pt idx="10">
                  <c:v>8.6343007107523082</c:v>
                </c:pt>
                <c:pt idx="11">
                  <c:v>9.5574145908304899</c:v>
                </c:pt>
                <c:pt idx="12">
                  <c:v>9.4122532889502732</c:v>
                </c:pt>
                <c:pt idx="13">
                  <c:v>8.4599858293689305</c:v>
                </c:pt>
                <c:pt idx="14">
                  <c:v>10.94756824997536</c:v>
                </c:pt>
                <c:pt idx="15">
                  <c:v>12.302246297033001</c:v>
                </c:pt>
                <c:pt idx="16">
                  <c:v>12.907543553104409</c:v>
                </c:pt>
                <c:pt idx="17">
                  <c:v>16.679460871297096</c:v>
                </c:pt>
                <c:pt idx="18">
                  <c:v>17.46559496236058</c:v>
                </c:pt>
                <c:pt idx="19">
                  <c:v>27.479553046883996</c:v>
                </c:pt>
                <c:pt idx="20">
                  <c:v>26.58785322099968</c:v>
                </c:pt>
                <c:pt idx="21">
                  <c:v>26.504662111897158</c:v>
                </c:pt>
                <c:pt idx="22">
                  <c:v>28.20853004013567</c:v>
                </c:pt>
                <c:pt idx="23">
                  <c:v>25.403532107152987</c:v>
                </c:pt>
                <c:pt idx="24">
                  <c:v>24.29580559946433</c:v>
                </c:pt>
                <c:pt idx="25">
                  <c:v>26.541623004740224</c:v>
                </c:pt>
                <c:pt idx="26">
                  <c:v>28.681424708285245</c:v>
                </c:pt>
                <c:pt idx="27">
                  <c:v>26.700719212585316</c:v>
                </c:pt>
                <c:pt idx="28">
                  <c:v>25.733521848483988</c:v>
                </c:pt>
                <c:pt idx="29">
                  <c:v>25.732050147073238</c:v>
                </c:pt>
                <c:pt idx="30">
                  <c:v>24.555518747533313</c:v>
                </c:pt>
                <c:pt idx="31">
                  <c:v>22.830533653105103</c:v>
                </c:pt>
                <c:pt idx="32">
                  <c:v>21.765411439730332</c:v>
                </c:pt>
                <c:pt idx="33">
                  <c:v>0.39782371564855096</c:v>
                </c:pt>
                <c:pt idx="34">
                  <c:v>0.21964361392565754</c:v>
                </c:pt>
                <c:pt idx="35">
                  <c:v>0.22092256427652954</c:v>
                </c:pt>
                <c:pt idx="36">
                  <c:v>0.19856794746001763</c:v>
                </c:pt>
                <c:pt idx="37">
                  <c:v>0.12503001890082435</c:v>
                </c:pt>
                <c:pt idx="38">
                  <c:v>0.11550641454491635</c:v>
                </c:pt>
                <c:pt idx="39">
                  <c:v>0.11416329264997899</c:v>
                </c:pt>
                <c:pt idx="40">
                  <c:v>0.1099281823392068</c:v>
                </c:pt>
                <c:pt idx="41">
                  <c:v>0.10658325609032573</c:v>
                </c:pt>
                <c:pt idx="42">
                  <c:v>6.4921587533224273E-2</c:v>
                </c:pt>
              </c:numCache>
            </c:numRef>
          </c:val>
          <c:smooth val="0"/>
          <c:extLst xmlns:c16r2="http://schemas.microsoft.com/office/drawing/2015/06/chart">
            <c:ext xmlns:c16="http://schemas.microsoft.com/office/drawing/2014/chart" uri="{C3380CC4-5D6E-409C-BE32-E72D297353CC}">
              <c16:uniqueId val="{00000001-8674-4178-AD74-F4A7C9BFE18D}"/>
            </c:ext>
          </c:extLst>
        </c:ser>
        <c:dLbls>
          <c:showLegendKey val="0"/>
          <c:showVal val="0"/>
          <c:showCatName val="0"/>
          <c:showSerName val="0"/>
          <c:showPercent val="0"/>
          <c:showBubbleSize val="0"/>
        </c:dLbls>
        <c:marker val="1"/>
        <c:smooth val="0"/>
        <c:axId val="120440320"/>
        <c:axId val="120441856"/>
      </c:lineChart>
      <c:catAx>
        <c:axId val="12044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441856"/>
        <c:crosses val="autoZero"/>
        <c:auto val="1"/>
        <c:lblAlgn val="ctr"/>
        <c:lblOffset val="100"/>
        <c:noMultiLvlLbl val="0"/>
      </c:catAx>
      <c:valAx>
        <c:axId val="12044185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440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Folha1!$C$2</c:f>
              <c:strCache>
                <c:ptCount val="1"/>
                <c:pt idx="0">
                  <c:v>HHI Assets</c:v>
                </c:pt>
              </c:strCache>
            </c:strRef>
          </c:tx>
          <c:spPr>
            <a:ln w="22225">
              <a:solidFill>
                <a:schemeClr val="tx1"/>
              </a:solidFill>
              <a:prstDash val="sysDash"/>
            </a:ln>
          </c:spPr>
          <c:marker>
            <c:symbol val="none"/>
          </c:marker>
          <c:cat>
            <c:numRef>
              <c:f>Folha1!$B$3:$B$58</c:f>
              <c:numCache>
                <c:formatCode>General</c:formatCode>
                <c:ptCount val="56"/>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numCache>
            </c:numRef>
          </c:cat>
          <c:val>
            <c:numRef>
              <c:f>Folha1!$C$3:$C$58</c:f>
              <c:numCache>
                <c:formatCode>General</c:formatCode>
                <c:ptCount val="56"/>
                <c:pt idx="0">
                  <c:v>0.13948109915391721</c:v>
                </c:pt>
                <c:pt idx="1">
                  <c:v>0.13663622662390487</c:v>
                </c:pt>
                <c:pt idx="2">
                  <c:v>0.12825302384084991</c:v>
                </c:pt>
                <c:pt idx="3">
                  <c:v>0.11994890633051594</c:v>
                </c:pt>
                <c:pt idx="4">
                  <c:v>0.11358111201730811</c:v>
                </c:pt>
                <c:pt idx="5">
                  <c:v>0.11084483566452084</c:v>
                </c:pt>
                <c:pt idx="6">
                  <c:v>0.1092506768206067</c:v>
                </c:pt>
                <c:pt idx="7">
                  <c:v>0.10647765883440891</c:v>
                </c:pt>
                <c:pt idx="8">
                  <c:v>0.10645293343898465</c:v>
                </c:pt>
                <c:pt idx="9">
                  <c:v>0.10529891204178662</c:v>
                </c:pt>
                <c:pt idx="10">
                  <c:v>0.10764974810789874</c:v>
                </c:pt>
                <c:pt idx="11">
                  <c:v>0.1082700892751409</c:v>
                </c:pt>
                <c:pt idx="12">
                  <c:v>9.4879151059224093E-2</c:v>
                </c:pt>
                <c:pt idx="13">
                  <c:v>9.1130764350069601E-2</c:v>
                </c:pt>
                <c:pt idx="14">
                  <c:v>9.6833500844223791E-2</c:v>
                </c:pt>
                <c:pt idx="15">
                  <c:v>0.10409892265981907</c:v>
                </c:pt>
                <c:pt idx="16">
                  <c:v>0.10984073459049368</c:v>
                </c:pt>
                <c:pt idx="17">
                  <c:v>0.11558199806669872</c:v>
                </c:pt>
                <c:pt idx="18">
                  <c:v>0.10642444656314284</c:v>
                </c:pt>
                <c:pt idx="19">
                  <c:v>0.10965566589842798</c:v>
                </c:pt>
                <c:pt idx="20">
                  <c:v>0.10759354974882869</c:v>
                </c:pt>
                <c:pt idx="21">
                  <c:v>0.10797793893580737</c:v>
                </c:pt>
                <c:pt idx="22">
                  <c:v>0.10527318546842154</c:v>
                </c:pt>
                <c:pt idx="23">
                  <c:v>0.11117652931155997</c:v>
                </c:pt>
                <c:pt idx="24">
                  <c:v>0.11123273962837173</c:v>
                </c:pt>
                <c:pt idx="25">
                  <c:v>0.11946091649061</c:v>
                </c:pt>
                <c:pt idx="26">
                  <c:v>0.12795152934999654</c:v>
                </c:pt>
                <c:pt idx="27">
                  <c:v>0.12193160635542685</c:v>
                </c:pt>
                <c:pt idx="28">
                  <c:v>0.12015129946306188</c:v>
                </c:pt>
                <c:pt idx="29">
                  <c:v>0.11389034529975503</c:v>
                </c:pt>
                <c:pt idx="30">
                  <c:v>0.10563592363496861</c:v>
                </c:pt>
                <c:pt idx="31">
                  <c:v>8.877312806146366E-2</c:v>
                </c:pt>
                <c:pt idx="32">
                  <c:v>8.6250087253159122E-2</c:v>
                </c:pt>
                <c:pt idx="33">
                  <c:v>9.2038577526675339E-2</c:v>
                </c:pt>
                <c:pt idx="34">
                  <c:v>9.3166091604384937E-2</c:v>
                </c:pt>
                <c:pt idx="35">
                  <c:v>9.3680819403382881E-2</c:v>
                </c:pt>
                <c:pt idx="36">
                  <c:v>0.10501438889354456</c:v>
                </c:pt>
                <c:pt idx="37">
                  <c:v>0.10044699463491472</c:v>
                </c:pt>
                <c:pt idx="38">
                  <c:v>0.10059249699885481</c:v>
                </c:pt>
                <c:pt idx="39">
                  <c:v>0.14139669646582498</c:v>
                </c:pt>
                <c:pt idx="40">
                  <c:v>0.15336324406306742</c:v>
                </c:pt>
                <c:pt idx="41">
                  <c:v>0.15608175656677609</c:v>
                </c:pt>
                <c:pt idx="42">
                  <c:v>0.15297581444514796</c:v>
                </c:pt>
                <c:pt idx="43">
                  <c:v>0.15572062552970117</c:v>
                </c:pt>
                <c:pt idx="44">
                  <c:v>0.1608475018522797</c:v>
                </c:pt>
                <c:pt idx="45">
                  <c:v>0.15823459276766066</c:v>
                </c:pt>
                <c:pt idx="46">
                  <c:v>0.15644247560974001</c:v>
                </c:pt>
                <c:pt idx="47">
                  <c:v>0.15381231542379079</c:v>
                </c:pt>
                <c:pt idx="48">
                  <c:v>0.15480755767565829</c:v>
                </c:pt>
                <c:pt idx="49">
                  <c:v>0.15463496624140788</c:v>
                </c:pt>
                <c:pt idx="50">
                  <c:v>0.16205203175704885</c:v>
                </c:pt>
                <c:pt idx="51">
                  <c:v>0.15666064535997193</c:v>
                </c:pt>
                <c:pt idx="52">
                  <c:v>0.15164210312206763</c:v>
                </c:pt>
                <c:pt idx="53">
                  <c:v>0.1462018564904855</c:v>
                </c:pt>
                <c:pt idx="54">
                  <c:v>0.14258399485573445</c:v>
                </c:pt>
                <c:pt idx="55">
                  <c:v>0.14876230153328227</c:v>
                </c:pt>
              </c:numCache>
            </c:numRef>
          </c:val>
          <c:smooth val="0"/>
          <c:extLst xmlns:c16r2="http://schemas.microsoft.com/office/drawing/2015/06/chart">
            <c:ext xmlns:c16="http://schemas.microsoft.com/office/drawing/2014/chart" uri="{C3380CC4-5D6E-409C-BE32-E72D297353CC}">
              <c16:uniqueId val="{00000000-9A98-40C5-9E7D-DC793F3187CF}"/>
            </c:ext>
          </c:extLst>
        </c:ser>
        <c:ser>
          <c:idx val="1"/>
          <c:order val="1"/>
          <c:tx>
            <c:strRef>
              <c:f>Folha1!$D$2</c:f>
              <c:strCache>
                <c:ptCount val="1"/>
                <c:pt idx="0">
                  <c:v>HHI Deposits</c:v>
                </c:pt>
              </c:strCache>
            </c:strRef>
          </c:tx>
          <c:spPr>
            <a:ln w="22225">
              <a:solidFill>
                <a:schemeClr val="tx1"/>
              </a:solidFill>
            </a:ln>
          </c:spPr>
          <c:marker>
            <c:symbol val="none"/>
          </c:marker>
          <c:cat>
            <c:numRef>
              <c:f>Folha1!$B$3:$B$58</c:f>
              <c:numCache>
                <c:formatCode>General</c:formatCode>
                <c:ptCount val="56"/>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numCache>
            </c:numRef>
          </c:cat>
          <c:val>
            <c:numRef>
              <c:f>Folha1!$D$3:$D$58</c:f>
              <c:numCache>
                <c:formatCode>General</c:formatCode>
                <c:ptCount val="56"/>
                <c:pt idx="0">
                  <c:v>0.14696352221144821</c:v>
                </c:pt>
                <c:pt idx="1">
                  <c:v>0.15034635557608847</c:v>
                </c:pt>
                <c:pt idx="2">
                  <c:v>0.14220026640251454</c:v>
                </c:pt>
                <c:pt idx="3">
                  <c:v>0.13187270774580259</c:v>
                </c:pt>
                <c:pt idx="4">
                  <c:v>0.1249017462521797</c:v>
                </c:pt>
                <c:pt idx="5">
                  <c:v>0.12087702713758575</c:v>
                </c:pt>
                <c:pt idx="6">
                  <c:v>0.1190355424216888</c:v>
                </c:pt>
                <c:pt idx="7">
                  <c:v>0.11408414074232495</c:v>
                </c:pt>
                <c:pt idx="8">
                  <c:v>0.1141022513580891</c:v>
                </c:pt>
                <c:pt idx="9">
                  <c:v>0.11286223067576803</c:v>
                </c:pt>
                <c:pt idx="10">
                  <c:v>0.1156654400145829</c:v>
                </c:pt>
                <c:pt idx="11">
                  <c:v>0.11610659717610347</c:v>
                </c:pt>
                <c:pt idx="12">
                  <c:v>0.1034398910467411</c:v>
                </c:pt>
                <c:pt idx="13">
                  <c:v>9.9018709984988906E-2</c:v>
                </c:pt>
                <c:pt idx="14">
                  <c:v>0.10679980363054473</c:v>
                </c:pt>
                <c:pt idx="15">
                  <c:v>0.11746675443743507</c:v>
                </c:pt>
                <c:pt idx="16">
                  <c:v>0.12472855964012938</c:v>
                </c:pt>
                <c:pt idx="17">
                  <c:v>0.13301830393786451</c:v>
                </c:pt>
                <c:pt idx="18">
                  <c:v>0.12087979840762071</c:v>
                </c:pt>
                <c:pt idx="19">
                  <c:v>0.11836993310958963</c:v>
                </c:pt>
                <c:pt idx="20">
                  <c:v>0.1116469895428909</c:v>
                </c:pt>
                <c:pt idx="21">
                  <c:v>0.1121291416293009</c:v>
                </c:pt>
                <c:pt idx="22">
                  <c:v>0.11011829720792818</c:v>
                </c:pt>
                <c:pt idx="23">
                  <c:v>0.1128424774677883</c:v>
                </c:pt>
                <c:pt idx="24">
                  <c:v>0.11544834531808293</c:v>
                </c:pt>
                <c:pt idx="25">
                  <c:v>0.12425724034819863</c:v>
                </c:pt>
                <c:pt idx="26">
                  <c:v>0.13514383835232741</c:v>
                </c:pt>
                <c:pt idx="27">
                  <c:v>0.13376508729541298</c:v>
                </c:pt>
                <c:pt idx="28">
                  <c:v>0.12924970788862838</c:v>
                </c:pt>
                <c:pt idx="29">
                  <c:v>0.12275188045290372</c:v>
                </c:pt>
                <c:pt idx="30">
                  <c:v>0.11067162371496346</c:v>
                </c:pt>
                <c:pt idx="31">
                  <c:v>9.1526108491311126E-2</c:v>
                </c:pt>
                <c:pt idx="32">
                  <c:v>8.7767609531951368E-2</c:v>
                </c:pt>
                <c:pt idx="33">
                  <c:v>9.4955434643375164E-2</c:v>
                </c:pt>
                <c:pt idx="34">
                  <c:v>9.5714884474843914E-2</c:v>
                </c:pt>
                <c:pt idx="35">
                  <c:v>9.4857628643926911E-2</c:v>
                </c:pt>
                <c:pt idx="36">
                  <c:v>0.10562120757345234</c:v>
                </c:pt>
                <c:pt idx="37">
                  <c:v>0.10091035663200021</c:v>
                </c:pt>
                <c:pt idx="38">
                  <c:v>0.10312654199256432</c:v>
                </c:pt>
                <c:pt idx="39">
                  <c:v>0.14075616049752293</c:v>
                </c:pt>
                <c:pt idx="40">
                  <c:v>0.15392571063647845</c:v>
                </c:pt>
                <c:pt idx="41">
                  <c:v>0.15847909698629731</c:v>
                </c:pt>
                <c:pt idx="42">
                  <c:v>0.15605737292452138</c:v>
                </c:pt>
                <c:pt idx="43">
                  <c:v>0.15547299548687382</c:v>
                </c:pt>
                <c:pt idx="44">
                  <c:v>0.17154525284752142</c:v>
                </c:pt>
                <c:pt idx="45">
                  <c:v>0.14765908387320498</c:v>
                </c:pt>
                <c:pt idx="46">
                  <c:v>0.15545636905854593</c:v>
                </c:pt>
                <c:pt idx="47">
                  <c:v>0.14426667486255912</c:v>
                </c:pt>
                <c:pt idx="48">
                  <c:v>0.15471209287089135</c:v>
                </c:pt>
                <c:pt idx="49">
                  <c:v>0.16055263273440432</c:v>
                </c:pt>
                <c:pt idx="50">
                  <c:v>0.15760023769201281</c:v>
                </c:pt>
                <c:pt idx="51">
                  <c:v>0.15671770533186011</c:v>
                </c:pt>
                <c:pt idx="52">
                  <c:v>0.16078796901458342</c:v>
                </c:pt>
                <c:pt idx="53">
                  <c:v>0.15828124666016513</c:v>
                </c:pt>
                <c:pt idx="54">
                  <c:v>0.1585961089568349</c:v>
                </c:pt>
                <c:pt idx="55">
                  <c:v>0.16881131196040128</c:v>
                </c:pt>
              </c:numCache>
            </c:numRef>
          </c:val>
          <c:smooth val="0"/>
          <c:extLst xmlns:c16r2="http://schemas.microsoft.com/office/drawing/2015/06/chart">
            <c:ext xmlns:c16="http://schemas.microsoft.com/office/drawing/2014/chart" uri="{C3380CC4-5D6E-409C-BE32-E72D297353CC}">
              <c16:uniqueId val="{00000001-9A98-40C5-9E7D-DC793F3187CF}"/>
            </c:ext>
          </c:extLst>
        </c:ser>
        <c:dLbls>
          <c:showLegendKey val="0"/>
          <c:showVal val="0"/>
          <c:showCatName val="0"/>
          <c:showSerName val="0"/>
          <c:showPercent val="0"/>
          <c:showBubbleSize val="0"/>
        </c:dLbls>
        <c:marker val="1"/>
        <c:smooth val="0"/>
        <c:axId val="96575872"/>
        <c:axId val="96577408"/>
      </c:lineChart>
      <c:catAx>
        <c:axId val="96575872"/>
        <c:scaling>
          <c:orientation val="minMax"/>
        </c:scaling>
        <c:delete val="0"/>
        <c:axPos val="b"/>
        <c:numFmt formatCode="General" sourceLinked="1"/>
        <c:majorTickMark val="out"/>
        <c:minorTickMark val="none"/>
        <c:tickLblPos val="nextTo"/>
        <c:crossAx val="96577408"/>
        <c:crosses val="autoZero"/>
        <c:auto val="1"/>
        <c:lblAlgn val="ctr"/>
        <c:lblOffset val="100"/>
        <c:noMultiLvlLbl val="0"/>
      </c:catAx>
      <c:valAx>
        <c:axId val="96577408"/>
        <c:scaling>
          <c:orientation val="minMax"/>
          <c:min val="7.0000000000000007E-2"/>
        </c:scaling>
        <c:delete val="0"/>
        <c:axPos val="l"/>
        <c:majorGridlines/>
        <c:numFmt formatCode="General" sourceLinked="1"/>
        <c:majorTickMark val="out"/>
        <c:minorTickMark val="none"/>
        <c:tickLblPos val="nextTo"/>
        <c:crossAx val="9657587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Folha1!$E$2</c:f>
              <c:strCache>
                <c:ptCount val="1"/>
                <c:pt idx="0">
                  <c:v>CR3 Assets</c:v>
                </c:pt>
              </c:strCache>
            </c:strRef>
          </c:tx>
          <c:spPr>
            <a:ln>
              <a:solidFill>
                <a:schemeClr val="tx1"/>
              </a:solidFill>
              <a:prstDash val="sysDot"/>
            </a:ln>
          </c:spPr>
          <c:marker>
            <c:symbol val="none"/>
          </c:marker>
          <c:cat>
            <c:numRef>
              <c:f>Folha1!$B$3:$B$58</c:f>
              <c:numCache>
                <c:formatCode>General</c:formatCode>
                <c:ptCount val="56"/>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numCache>
            </c:numRef>
          </c:cat>
          <c:val>
            <c:numRef>
              <c:f>Folha1!$E$3:$E$58</c:f>
              <c:numCache>
                <c:formatCode>0.00%</c:formatCode>
                <c:ptCount val="56"/>
                <c:pt idx="0">
                  <c:v>0.56405571307609537</c:v>
                </c:pt>
                <c:pt idx="1">
                  <c:v>0.55185170746926571</c:v>
                </c:pt>
                <c:pt idx="2">
                  <c:v>0.52977372364246256</c:v>
                </c:pt>
                <c:pt idx="3">
                  <c:v>0.50308692149667189</c:v>
                </c:pt>
                <c:pt idx="4">
                  <c:v>0.46974249351253083</c:v>
                </c:pt>
                <c:pt idx="5">
                  <c:v>0.44428118140862372</c:v>
                </c:pt>
                <c:pt idx="6">
                  <c:v>0.43051407358115346</c:v>
                </c:pt>
                <c:pt idx="7">
                  <c:v>0.41429692546106478</c:v>
                </c:pt>
                <c:pt idx="8">
                  <c:v>0.41268390566134688</c:v>
                </c:pt>
                <c:pt idx="9">
                  <c:v>0.40001082577190195</c:v>
                </c:pt>
                <c:pt idx="10">
                  <c:v>0.4035648718088739</c:v>
                </c:pt>
                <c:pt idx="11">
                  <c:v>0.41369210642086851</c:v>
                </c:pt>
                <c:pt idx="12">
                  <c:v>0.38257827650562753</c:v>
                </c:pt>
                <c:pt idx="13">
                  <c:v>0.3602263480119377</c:v>
                </c:pt>
                <c:pt idx="14">
                  <c:v>0.40060196492484945</c:v>
                </c:pt>
                <c:pt idx="15">
                  <c:v>0.42816348240310215</c:v>
                </c:pt>
                <c:pt idx="16">
                  <c:v>0.43398318751948284</c:v>
                </c:pt>
                <c:pt idx="17">
                  <c:v>0.44818700293422109</c:v>
                </c:pt>
                <c:pt idx="18">
                  <c:v>0.41346294772439407</c:v>
                </c:pt>
                <c:pt idx="19">
                  <c:v>0.42584280088908466</c:v>
                </c:pt>
                <c:pt idx="20">
                  <c:v>0.42841885680382308</c:v>
                </c:pt>
                <c:pt idx="21">
                  <c:v>0.43556123503191446</c:v>
                </c:pt>
                <c:pt idx="22">
                  <c:v>0.41238932360129948</c:v>
                </c:pt>
                <c:pt idx="23">
                  <c:v>0.43845531258345094</c:v>
                </c:pt>
                <c:pt idx="24">
                  <c:v>0.44727901409735815</c:v>
                </c:pt>
                <c:pt idx="25">
                  <c:v>0.46693097957446389</c:v>
                </c:pt>
                <c:pt idx="26">
                  <c:v>0.49648890352156527</c:v>
                </c:pt>
                <c:pt idx="27">
                  <c:v>0.48524292001268049</c:v>
                </c:pt>
                <c:pt idx="28">
                  <c:v>0.47884796959549941</c:v>
                </c:pt>
                <c:pt idx="29">
                  <c:v>0.45375759221204887</c:v>
                </c:pt>
                <c:pt idx="30">
                  <c:v>0.433875307475725</c:v>
                </c:pt>
                <c:pt idx="31">
                  <c:v>0.38728416389244402</c:v>
                </c:pt>
                <c:pt idx="32">
                  <c:v>0.38275571108145312</c:v>
                </c:pt>
                <c:pt idx="33">
                  <c:v>0.40621557371534034</c:v>
                </c:pt>
                <c:pt idx="34">
                  <c:v>0.4096102960722543</c:v>
                </c:pt>
                <c:pt idx="35">
                  <c:v>0.40850028972097369</c:v>
                </c:pt>
                <c:pt idx="36">
                  <c:v>0.41806556678572215</c:v>
                </c:pt>
                <c:pt idx="37">
                  <c:v>0.41871348375393902</c:v>
                </c:pt>
                <c:pt idx="38">
                  <c:v>0.42417084426010843</c:v>
                </c:pt>
                <c:pt idx="39">
                  <c:v>0.57611307547692558</c:v>
                </c:pt>
                <c:pt idx="40">
                  <c:v>0.60289528940219905</c:v>
                </c:pt>
                <c:pt idx="41">
                  <c:v>0.59520425211305872</c:v>
                </c:pt>
                <c:pt idx="42">
                  <c:v>0.59116821960395938</c:v>
                </c:pt>
                <c:pt idx="43">
                  <c:v>0.59592834294590591</c:v>
                </c:pt>
                <c:pt idx="44">
                  <c:v>0.62874461945289917</c:v>
                </c:pt>
                <c:pt idx="45">
                  <c:v>0.62142564511146881</c:v>
                </c:pt>
                <c:pt idx="46">
                  <c:v>0.62122007930996381</c:v>
                </c:pt>
                <c:pt idx="47">
                  <c:v>0.62110403455641838</c:v>
                </c:pt>
                <c:pt idx="48">
                  <c:v>0.62371586565078285</c:v>
                </c:pt>
                <c:pt idx="49">
                  <c:v>0.62106071810562991</c:v>
                </c:pt>
                <c:pt idx="50">
                  <c:v>0.64062750969063942</c:v>
                </c:pt>
                <c:pt idx="51">
                  <c:v>0.62746326079874604</c:v>
                </c:pt>
                <c:pt idx="52">
                  <c:v>0.61587246016594355</c:v>
                </c:pt>
                <c:pt idx="53">
                  <c:v>0.59971575644184361</c:v>
                </c:pt>
                <c:pt idx="54">
                  <c:v>0.57453270169042137</c:v>
                </c:pt>
                <c:pt idx="55">
                  <c:v>0.5698065053464032</c:v>
                </c:pt>
              </c:numCache>
            </c:numRef>
          </c:val>
          <c:smooth val="0"/>
          <c:extLst xmlns:c16r2="http://schemas.microsoft.com/office/drawing/2015/06/chart">
            <c:ext xmlns:c16="http://schemas.microsoft.com/office/drawing/2014/chart" uri="{C3380CC4-5D6E-409C-BE32-E72D297353CC}">
              <c16:uniqueId val="{00000000-6601-458C-9DD3-69C4258FD9A3}"/>
            </c:ext>
          </c:extLst>
        </c:ser>
        <c:ser>
          <c:idx val="1"/>
          <c:order val="1"/>
          <c:tx>
            <c:strRef>
              <c:f>Folha1!$F$2</c:f>
              <c:strCache>
                <c:ptCount val="1"/>
                <c:pt idx="0">
                  <c:v>CR3 Deposits</c:v>
                </c:pt>
              </c:strCache>
            </c:strRef>
          </c:tx>
          <c:spPr>
            <a:ln w="22225">
              <a:solidFill>
                <a:schemeClr val="tx1"/>
              </a:solidFill>
            </a:ln>
          </c:spPr>
          <c:marker>
            <c:symbol val="circle"/>
            <c:size val="5"/>
            <c:spPr>
              <a:noFill/>
              <a:ln>
                <a:solidFill>
                  <a:schemeClr val="tx1"/>
                </a:solidFill>
              </a:ln>
            </c:spPr>
          </c:marker>
          <c:cat>
            <c:numRef>
              <c:f>Folha1!$B$3:$B$58</c:f>
              <c:numCache>
                <c:formatCode>General</c:formatCode>
                <c:ptCount val="56"/>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numCache>
            </c:numRef>
          </c:cat>
          <c:val>
            <c:numRef>
              <c:f>Folha1!$F$3:$F$58</c:f>
              <c:numCache>
                <c:formatCode>0.00%</c:formatCode>
                <c:ptCount val="56"/>
                <c:pt idx="0">
                  <c:v>0.54670393555789087</c:v>
                </c:pt>
                <c:pt idx="1">
                  <c:v>0.54714170762323922</c:v>
                </c:pt>
                <c:pt idx="2">
                  <c:v>0.52429276815230597</c:v>
                </c:pt>
                <c:pt idx="3">
                  <c:v>0.50846321840779396</c:v>
                </c:pt>
                <c:pt idx="4">
                  <c:v>0.49985554601636617</c:v>
                </c:pt>
                <c:pt idx="5">
                  <c:v>0.48689415280463066</c:v>
                </c:pt>
                <c:pt idx="6">
                  <c:v>0.48281333918719938</c:v>
                </c:pt>
                <c:pt idx="7">
                  <c:v>0.46591629695074976</c:v>
                </c:pt>
                <c:pt idx="8">
                  <c:v>0.47334352127106538</c:v>
                </c:pt>
                <c:pt idx="9">
                  <c:v>0.45491552224431331</c:v>
                </c:pt>
                <c:pt idx="10">
                  <c:v>0.45808860187768607</c:v>
                </c:pt>
                <c:pt idx="11">
                  <c:v>0.46010906276969898</c:v>
                </c:pt>
                <c:pt idx="12">
                  <c:v>0.42995206339528003</c:v>
                </c:pt>
                <c:pt idx="13">
                  <c:v>0.41238600486643529</c:v>
                </c:pt>
                <c:pt idx="14">
                  <c:v>0.43851822987606714</c:v>
                </c:pt>
                <c:pt idx="15">
                  <c:v>0.46858769871258599</c:v>
                </c:pt>
                <c:pt idx="16">
                  <c:v>0.48106832914907993</c:v>
                </c:pt>
                <c:pt idx="17">
                  <c:v>0.50281540836027461</c:v>
                </c:pt>
                <c:pt idx="18">
                  <c:v>0.45835239044138965</c:v>
                </c:pt>
                <c:pt idx="19">
                  <c:v>0.45312104573902884</c:v>
                </c:pt>
                <c:pt idx="20">
                  <c:v>0.44046760674850471</c:v>
                </c:pt>
                <c:pt idx="21">
                  <c:v>0.45061436885601924</c:v>
                </c:pt>
                <c:pt idx="22">
                  <c:v>0.43793128730435427</c:v>
                </c:pt>
                <c:pt idx="23">
                  <c:v>0.44525564606796997</c:v>
                </c:pt>
                <c:pt idx="24">
                  <c:v>0.45692207370158378</c:v>
                </c:pt>
                <c:pt idx="25">
                  <c:v>0.47919258626373351</c:v>
                </c:pt>
                <c:pt idx="26">
                  <c:v>0.5182532327202094</c:v>
                </c:pt>
                <c:pt idx="27">
                  <c:v>0.51977057373250446</c:v>
                </c:pt>
                <c:pt idx="28">
                  <c:v>0.50798399152507212</c:v>
                </c:pt>
                <c:pt idx="29">
                  <c:v>0.47646911654303747</c:v>
                </c:pt>
                <c:pt idx="30">
                  <c:v>0.45137083540569201</c:v>
                </c:pt>
                <c:pt idx="31">
                  <c:v>0.39722929037728893</c:v>
                </c:pt>
                <c:pt idx="32">
                  <c:v>0.39341590516788794</c:v>
                </c:pt>
                <c:pt idx="33">
                  <c:v>0.41978140527098917</c:v>
                </c:pt>
                <c:pt idx="34">
                  <c:v>0.41982693867657095</c:v>
                </c:pt>
                <c:pt idx="35">
                  <c:v>0.41611457689214426</c:v>
                </c:pt>
                <c:pt idx="36">
                  <c:v>0.42916938597638538</c:v>
                </c:pt>
                <c:pt idx="37">
                  <c:v>0.42140810650016863</c:v>
                </c:pt>
                <c:pt idx="38">
                  <c:v>0.43616399884421164</c:v>
                </c:pt>
                <c:pt idx="39">
                  <c:v>0.57486841014301349</c:v>
                </c:pt>
                <c:pt idx="40">
                  <c:v>0.60643852256333952</c:v>
                </c:pt>
                <c:pt idx="41">
                  <c:v>0.60180252303091164</c:v>
                </c:pt>
                <c:pt idx="42">
                  <c:v>0.60412625085473004</c:v>
                </c:pt>
                <c:pt idx="43">
                  <c:v>0.59566467494495989</c:v>
                </c:pt>
                <c:pt idx="44">
                  <c:v>0.64360995138991073</c:v>
                </c:pt>
                <c:pt idx="45">
                  <c:v>0.59274407520941463</c:v>
                </c:pt>
                <c:pt idx="46">
                  <c:v>0.63528760089933456</c:v>
                </c:pt>
                <c:pt idx="47">
                  <c:v>0.58516495249292033</c:v>
                </c:pt>
                <c:pt idx="48">
                  <c:v>0.61194068909439525</c:v>
                </c:pt>
                <c:pt idx="49">
                  <c:v>0.62467055949204608</c:v>
                </c:pt>
                <c:pt idx="50">
                  <c:v>0.62750925894182585</c:v>
                </c:pt>
                <c:pt idx="51">
                  <c:v>0.62396616729574705</c:v>
                </c:pt>
                <c:pt idx="52">
                  <c:v>0.6341586432248898</c:v>
                </c:pt>
                <c:pt idx="53">
                  <c:v>0.63132970781856113</c:v>
                </c:pt>
                <c:pt idx="54">
                  <c:v>0.60931905141162013</c:v>
                </c:pt>
                <c:pt idx="55">
                  <c:v>0.58891126981811737</c:v>
                </c:pt>
              </c:numCache>
            </c:numRef>
          </c:val>
          <c:smooth val="0"/>
          <c:extLst xmlns:c16r2="http://schemas.microsoft.com/office/drawing/2015/06/chart">
            <c:ext xmlns:c16="http://schemas.microsoft.com/office/drawing/2014/chart" uri="{C3380CC4-5D6E-409C-BE32-E72D297353CC}">
              <c16:uniqueId val="{00000001-6601-458C-9DD3-69C4258FD9A3}"/>
            </c:ext>
          </c:extLst>
        </c:ser>
        <c:ser>
          <c:idx val="2"/>
          <c:order val="2"/>
          <c:tx>
            <c:strRef>
              <c:f>Folha1!$G$2</c:f>
              <c:strCache>
                <c:ptCount val="1"/>
                <c:pt idx="0">
                  <c:v>CR5 Assets</c:v>
                </c:pt>
              </c:strCache>
            </c:strRef>
          </c:tx>
          <c:spPr>
            <a:ln w="22225">
              <a:solidFill>
                <a:schemeClr val="tx1"/>
              </a:solidFill>
              <a:prstDash val="sysDash"/>
            </a:ln>
          </c:spPr>
          <c:marker>
            <c:symbol val="none"/>
          </c:marker>
          <c:cat>
            <c:numRef>
              <c:f>Folha1!$B$3:$B$58</c:f>
              <c:numCache>
                <c:formatCode>General</c:formatCode>
                <c:ptCount val="56"/>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numCache>
            </c:numRef>
          </c:cat>
          <c:val>
            <c:numRef>
              <c:f>Folha1!$G$3:$G$58</c:f>
              <c:numCache>
                <c:formatCode>0.00%</c:formatCode>
                <c:ptCount val="56"/>
                <c:pt idx="0">
                  <c:v>0.72825314977240319</c:v>
                </c:pt>
                <c:pt idx="1">
                  <c:v>0.72393376040971058</c:v>
                </c:pt>
                <c:pt idx="2">
                  <c:v>0.70738401162092346</c:v>
                </c:pt>
                <c:pt idx="3">
                  <c:v>0.6836645621550157</c:v>
                </c:pt>
                <c:pt idx="4">
                  <c:v>0.66879786893172177</c:v>
                </c:pt>
                <c:pt idx="5">
                  <c:v>0.65685739045029301</c:v>
                </c:pt>
                <c:pt idx="6">
                  <c:v>0.65201245990860168</c:v>
                </c:pt>
                <c:pt idx="7">
                  <c:v>0.63333346218947351</c:v>
                </c:pt>
                <c:pt idx="8">
                  <c:v>0.63759718556408684</c:v>
                </c:pt>
                <c:pt idx="9">
                  <c:v>0.63329716203206354</c:v>
                </c:pt>
                <c:pt idx="10">
                  <c:v>0.61982349382707014</c:v>
                </c:pt>
                <c:pt idx="11">
                  <c:v>0.64723020474348647</c:v>
                </c:pt>
                <c:pt idx="12">
                  <c:v>0.59550366650159081</c:v>
                </c:pt>
                <c:pt idx="13">
                  <c:v>0.58290096475714193</c:v>
                </c:pt>
                <c:pt idx="14">
                  <c:v>0.61053720403811673</c:v>
                </c:pt>
                <c:pt idx="15">
                  <c:v>0.6146727167076671</c:v>
                </c:pt>
                <c:pt idx="16">
                  <c:v>0.6199580514065367</c:v>
                </c:pt>
                <c:pt idx="17">
                  <c:v>0.64228812044598593</c:v>
                </c:pt>
                <c:pt idx="18">
                  <c:v>0.60853409118027924</c:v>
                </c:pt>
                <c:pt idx="19">
                  <c:v>0.60278011290620959</c:v>
                </c:pt>
                <c:pt idx="20">
                  <c:v>0.61072687460095876</c:v>
                </c:pt>
                <c:pt idx="21">
                  <c:v>0.60210621042682033</c:v>
                </c:pt>
                <c:pt idx="22">
                  <c:v>0.59991686911412723</c:v>
                </c:pt>
                <c:pt idx="23">
                  <c:v>0.61099176645250663</c:v>
                </c:pt>
                <c:pt idx="24">
                  <c:v>0.61679600229302467</c:v>
                </c:pt>
                <c:pt idx="25">
                  <c:v>0.63721332147408982</c:v>
                </c:pt>
                <c:pt idx="26">
                  <c:v>0.65273625598016172</c:v>
                </c:pt>
                <c:pt idx="27">
                  <c:v>0.63757085866508545</c:v>
                </c:pt>
                <c:pt idx="28">
                  <c:v>0.62553798013076101</c:v>
                </c:pt>
                <c:pt idx="29">
                  <c:v>0.59958177944049762</c:v>
                </c:pt>
                <c:pt idx="30">
                  <c:v>0.59623212642164336</c:v>
                </c:pt>
                <c:pt idx="31">
                  <c:v>0.54551921051213004</c:v>
                </c:pt>
                <c:pt idx="32">
                  <c:v>0.54985469784075736</c:v>
                </c:pt>
                <c:pt idx="33">
                  <c:v>0.57930760743824383</c:v>
                </c:pt>
                <c:pt idx="34">
                  <c:v>0.58516247582032999</c:v>
                </c:pt>
                <c:pt idx="35">
                  <c:v>0.59055813777879029</c:v>
                </c:pt>
                <c:pt idx="36">
                  <c:v>0.62637033641558371</c:v>
                </c:pt>
                <c:pt idx="37">
                  <c:v>0.61284974387303881</c:v>
                </c:pt>
                <c:pt idx="38">
                  <c:v>0.61758428326538561</c:v>
                </c:pt>
                <c:pt idx="39">
                  <c:v>0.72493947555960492</c:v>
                </c:pt>
                <c:pt idx="40">
                  <c:v>0.76829814289870102</c:v>
                </c:pt>
                <c:pt idx="41">
                  <c:v>0.79640345908287513</c:v>
                </c:pt>
                <c:pt idx="42">
                  <c:v>0.79125292656683821</c:v>
                </c:pt>
                <c:pt idx="43">
                  <c:v>0.79250261287272661</c:v>
                </c:pt>
                <c:pt idx="44">
                  <c:v>0.82540088214535579</c:v>
                </c:pt>
                <c:pt idx="45">
                  <c:v>0.82695060488742</c:v>
                </c:pt>
                <c:pt idx="46">
                  <c:v>0.81139558120159594</c:v>
                </c:pt>
                <c:pt idx="47">
                  <c:v>0.81623342316902792</c:v>
                </c:pt>
                <c:pt idx="48">
                  <c:v>0.82059802038522989</c:v>
                </c:pt>
                <c:pt idx="49">
                  <c:v>0.82334764639737168</c:v>
                </c:pt>
                <c:pt idx="50">
                  <c:v>0.83633628547228689</c:v>
                </c:pt>
                <c:pt idx="51">
                  <c:v>0.81702353046062925</c:v>
                </c:pt>
                <c:pt idx="52">
                  <c:v>0.80771086799832115</c:v>
                </c:pt>
                <c:pt idx="53">
                  <c:v>0.79316839162879504</c:v>
                </c:pt>
                <c:pt idx="54">
                  <c:v>0.7772428688073687</c:v>
                </c:pt>
                <c:pt idx="55">
                  <c:v>0.80641146690460475</c:v>
                </c:pt>
              </c:numCache>
            </c:numRef>
          </c:val>
          <c:smooth val="0"/>
          <c:extLst xmlns:c16r2="http://schemas.microsoft.com/office/drawing/2015/06/chart">
            <c:ext xmlns:c16="http://schemas.microsoft.com/office/drawing/2014/chart" uri="{C3380CC4-5D6E-409C-BE32-E72D297353CC}">
              <c16:uniqueId val="{00000002-6601-458C-9DD3-69C4258FD9A3}"/>
            </c:ext>
          </c:extLst>
        </c:ser>
        <c:ser>
          <c:idx val="3"/>
          <c:order val="3"/>
          <c:tx>
            <c:strRef>
              <c:f>Folha1!$H$2</c:f>
              <c:strCache>
                <c:ptCount val="1"/>
                <c:pt idx="0">
                  <c:v>CR5 Deposits</c:v>
                </c:pt>
              </c:strCache>
            </c:strRef>
          </c:tx>
          <c:spPr>
            <a:ln w="22225">
              <a:solidFill>
                <a:schemeClr val="tx1"/>
              </a:solidFill>
            </a:ln>
          </c:spPr>
          <c:marker>
            <c:symbol val="none"/>
          </c:marker>
          <c:cat>
            <c:numRef>
              <c:f>Folha1!$B$3:$B$58</c:f>
              <c:numCache>
                <c:formatCode>General</c:formatCode>
                <c:ptCount val="56"/>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numCache>
            </c:numRef>
          </c:cat>
          <c:val>
            <c:numRef>
              <c:f>Folha1!$H$3:$H$58</c:f>
              <c:numCache>
                <c:formatCode>0.00%</c:formatCode>
                <c:ptCount val="56"/>
                <c:pt idx="0">
                  <c:v>0.6969389438623157</c:v>
                </c:pt>
                <c:pt idx="1">
                  <c:v>0.70556313174240648</c:v>
                </c:pt>
                <c:pt idx="2">
                  <c:v>0.6924188139849059</c:v>
                </c:pt>
                <c:pt idx="3">
                  <c:v>0.68571023711897838</c:v>
                </c:pt>
                <c:pt idx="4">
                  <c:v>0.68524723388960562</c:v>
                </c:pt>
                <c:pt idx="5">
                  <c:v>0.68084400332565498</c:v>
                </c:pt>
                <c:pt idx="6">
                  <c:v>0.68394967902571591</c:v>
                </c:pt>
                <c:pt idx="7">
                  <c:v>0.68071563848175998</c:v>
                </c:pt>
                <c:pt idx="8">
                  <c:v>0.68979382255571786</c:v>
                </c:pt>
                <c:pt idx="9">
                  <c:v>0.69003010856872082</c:v>
                </c:pt>
                <c:pt idx="10">
                  <c:v>0.67792518970971194</c:v>
                </c:pt>
                <c:pt idx="11">
                  <c:v>0.67953886163230703</c:v>
                </c:pt>
                <c:pt idx="12">
                  <c:v>0.64035618420412166</c:v>
                </c:pt>
                <c:pt idx="13">
                  <c:v>0.6227134154604721</c:v>
                </c:pt>
                <c:pt idx="14">
                  <c:v>0.64236286406405985</c:v>
                </c:pt>
                <c:pt idx="15">
                  <c:v>0.64310792478479439</c:v>
                </c:pt>
                <c:pt idx="16">
                  <c:v>0.66049008104345064</c:v>
                </c:pt>
                <c:pt idx="17">
                  <c:v>0.69444427047748536</c:v>
                </c:pt>
                <c:pt idx="18">
                  <c:v>0.65187285553234264</c:v>
                </c:pt>
                <c:pt idx="19">
                  <c:v>0.63782216285740356</c:v>
                </c:pt>
                <c:pt idx="20">
                  <c:v>0.62511487093362872</c:v>
                </c:pt>
                <c:pt idx="21">
                  <c:v>0.61839631116133309</c:v>
                </c:pt>
                <c:pt idx="22">
                  <c:v>0.62094360731163556</c:v>
                </c:pt>
                <c:pt idx="23">
                  <c:v>0.62806639851057755</c:v>
                </c:pt>
                <c:pt idx="24">
                  <c:v>0.63792312737928714</c:v>
                </c:pt>
                <c:pt idx="25">
                  <c:v>0.65822668334837697</c:v>
                </c:pt>
                <c:pt idx="26">
                  <c:v>0.67404828120608107</c:v>
                </c:pt>
                <c:pt idx="27">
                  <c:v>0.66793092790429665</c:v>
                </c:pt>
                <c:pt idx="28">
                  <c:v>0.66267524633732577</c:v>
                </c:pt>
                <c:pt idx="29">
                  <c:v>0.62861280277895226</c:v>
                </c:pt>
                <c:pt idx="30">
                  <c:v>0.62017283771287934</c:v>
                </c:pt>
                <c:pt idx="31">
                  <c:v>0.5543980647582446</c:v>
                </c:pt>
                <c:pt idx="32">
                  <c:v>0.55748138754842569</c:v>
                </c:pt>
                <c:pt idx="33">
                  <c:v>0.59102673112377602</c:v>
                </c:pt>
                <c:pt idx="34">
                  <c:v>0.59485003036635942</c:v>
                </c:pt>
                <c:pt idx="35">
                  <c:v>0.59845969301502699</c:v>
                </c:pt>
                <c:pt idx="36">
                  <c:v>0.63317610951689995</c:v>
                </c:pt>
                <c:pt idx="37">
                  <c:v>0.6123201417368489</c:v>
                </c:pt>
                <c:pt idx="38">
                  <c:v>0.62437668554607018</c:v>
                </c:pt>
                <c:pt idx="39">
                  <c:v>0.72321631714699874</c:v>
                </c:pt>
                <c:pt idx="40">
                  <c:v>0.76381320111937034</c:v>
                </c:pt>
                <c:pt idx="41">
                  <c:v>0.79560862982186598</c:v>
                </c:pt>
                <c:pt idx="42">
                  <c:v>0.77664804376455721</c:v>
                </c:pt>
                <c:pt idx="43">
                  <c:v>0.77470320669321557</c:v>
                </c:pt>
                <c:pt idx="44">
                  <c:v>0.79194099238522098</c:v>
                </c:pt>
                <c:pt idx="45">
                  <c:v>0.74768088202909588</c:v>
                </c:pt>
                <c:pt idx="46">
                  <c:v>0.77037596738625802</c:v>
                </c:pt>
                <c:pt idx="47">
                  <c:v>0.75824357135358045</c:v>
                </c:pt>
                <c:pt idx="48">
                  <c:v>0.78622498424206255</c:v>
                </c:pt>
                <c:pt idx="49">
                  <c:v>0.78563870232841804</c:v>
                </c:pt>
                <c:pt idx="50">
                  <c:v>0.78854908621958231</c:v>
                </c:pt>
                <c:pt idx="51">
                  <c:v>0.79032244141549612</c:v>
                </c:pt>
                <c:pt idx="52">
                  <c:v>0.80090199386524996</c:v>
                </c:pt>
                <c:pt idx="53">
                  <c:v>0.79770773644018944</c:v>
                </c:pt>
                <c:pt idx="54">
                  <c:v>0.78782614623900327</c:v>
                </c:pt>
                <c:pt idx="55">
                  <c:v>0.81472356728772</c:v>
                </c:pt>
              </c:numCache>
            </c:numRef>
          </c:val>
          <c:smooth val="0"/>
          <c:extLst xmlns:c16r2="http://schemas.microsoft.com/office/drawing/2015/06/chart">
            <c:ext xmlns:c16="http://schemas.microsoft.com/office/drawing/2014/chart" uri="{C3380CC4-5D6E-409C-BE32-E72D297353CC}">
              <c16:uniqueId val="{00000003-6601-458C-9DD3-69C4258FD9A3}"/>
            </c:ext>
          </c:extLst>
        </c:ser>
        <c:dLbls>
          <c:showLegendKey val="0"/>
          <c:showVal val="0"/>
          <c:showCatName val="0"/>
          <c:showSerName val="0"/>
          <c:showPercent val="0"/>
          <c:showBubbleSize val="0"/>
        </c:dLbls>
        <c:marker val="1"/>
        <c:smooth val="0"/>
        <c:axId val="120354304"/>
        <c:axId val="120355840"/>
      </c:lineChart>
      <c:catAx>
        <c:axId val="120354304"/>
        <c:scaling>
          <c:orientation val="minMax"/>
        </c:scaling>
        <c:delete val="0"/>
        <c:axPos val="b"/>
        <c:numFmt formatCode="General" sourceLinked="1"/>
        <c:majorTickMark val="out"/>
        <c:minorTickMark val="none"/>
        <c:tickLblPos val="nextTo"/>
        <c:crossAx val="120355840"/>
        <c:crosses val="autoZero"/>
        <c:auto val="1"/>
        <c:lblAlgn val="ctr"/>
        <c:lblOffset val="100"/>
        <c:noMultiLvlLbl val="0"/>
      </c:catAx>
      <c:valAx>
        <c:axId val="120355840"/>
        <c:scaling>
          <c:orientation val="minMax"/>
          <c:min val="0.25"/>
        </c:scaling>
        <c:delete val="0"/>
        <c:axPos val="l"/>
        <c:majorGridlines/>
        <c:numFmt formatCode="0.00%" sourceLinked="1"/>
        <c:majorTickMark val="out"/>
        <c:minorTickMark val="none"/>
        <c:tickLblPos val="nextTo"/>
        <c:crossAx val="1203543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C2833-4CAD-41C7-9172-462C621C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13023</Words>
  <Characters>74234</Characters>
  <Application>Microsoft Office Word</Application>
  <DocSecurity>0</DocSecurity>
  <Lines>618</Lines>
  <Paragraphs>174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lamaral</dc:creator>
  <cp:lastModifiedBy>SPS-User</cp:lastModifiedBy>
  <cp:revision>2</cp:revision>
  <dcterms:created xsi:type="dcterms:W3CDTF">2017-11-15T16:42:00Z</dcterms:created>
  <dcterms:modified xsi:type="dcterms:W3CDTF">2017-11-15T16:42:00Z</dcterms:modified>
</cp:coreProperties>
</file>