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F84CC" w14:textId="77777777" w:rsidR="00826619" w:rsidRPr="004C5B23" w:rsidRDefault="00571195" w:rsidP="00CA2C7F">
      <w:pPr>
        <w:jc w:val="center"/>
        <w:rPr>
          <w:rFonts w:ascii="Garamond" w:hAnsi="Garamond"/>
          <w:b/>
          <w:bCs/>
          <w:sz w:val="28"/>
          <w:szCs w:val="28"/>
        </w:rPr>
      </w:pPr>
      <w:bookmarkStart w:id="0" w:name="_GoBack"/>
      <w:bookmarkEnd w:id="0"/>
      <w:r w:rsidRPr="004C5B23">
        <w:rPr>
          <w:rFonts w:ascii="Garamond" w:hAnsi="Garamond"/>
          <w:b/>
          <w:sz w:val="28"/>
          <w:szCs w:val="28"/>
        </w:rPr>
        <w:t>Taming the Global Financial Cycle: Central bank balance sheets and the sterilization of capital flows under t</w:t>
      </w:r>
      <w:r w:rsidR="00717FEE" w:rsidRPr="004C5B23">
        <w:rPr>
          <w:rFonts w:ascii="Garamond" w:hAnsi="Garamond"/>
          <w:b/>
          <w:sz w:val="28"/>
          <w:szCs w:val="28"/>
        </w:rPr>
        <w:t>he Classical Gold Standard (1891 – 1913</w:t>
      </w:r>
      <w:r w:rsidRPr="004C5B23">
        <w:rPr>
          <w:rFonts w:ascii="Garamond" w:hAnsi="Garamond"/>
          <w:b/>
          <w:sz w:val="28"/>
          <w:szCs w:val="28"/>
        </w:rPr>
        <w:t>)</w:t>
      </w:r>
    </w:p>
    <w:p w14:paraId="4CB6638B" w14:textId="77777777" w:rsidR="00717FEE" w:rsidRPr="004C5B23" w:rsidRDefault="00717FEE" w:rsidP="00CA2C7F">
      <w:pPr>
        <w:jc w:val="both"/>
        <w:rPr>
          <w:rFonts w:ascii="Garamond" w:hAnsi="Garamond"/>
        </w:rPr>
      </w:pPr>
    </w:p>
    <w:p w14:paraId="0C15B8BF" w14:textId="77777777" w:rsidR="00EE7222" w:rsidRPr="00CA2C7F" w:rsidRDefault="00EE7222" w:rsidP="00CA2C7F">
      <w:pPr>
        <w:jc w:val="center"/>
        <w:rPr>
          <w:rFonts w:ascii="Garamond" w:hAnsi="Garamond"/>
          <w:i/>
        </w:rPr>
      </w:pPr>
    </w:p>
    <w:p w14:paraId="385D246B" w14:textId="5A1B496C" w:rsidR="00EE7222" w:rsidRPr="00CA2C7F" w:rsidRDefault="00EE7222" w:rsidP="00CA2C7F">
      <w:pPr>
        <w:jc w:val="center"/>
        <w:rPr>
          <w:rFonts w:ascii="Garamond" w:hAnsi="Garamond"/>
          <w:i/>
        </w:rPr>
      </w:pPr>
      <w:r w:rsidRPr="00CA2C7F">
        <w:rPr>
          <w:rFonts w:ascii="Garamond" w:hAnsi="Garamond"/>
          <w:i/>
        </w:rPr>
        <w:t xml:space="preserve">This draft: </w:t>
      </w:r>
      <w:r w:rsidR="009667B1">
        <w:rPr>
          <w:rFonts w:ascii="Garamond" w:hAnsi="Garamond"/>
          <w:i/>
        </w:rPr>
        <w:t>March</w:t>
      </w:r>
      <w:r w:rsidR="00ED4B41">
        <w:rPr>
          <w:rFonts w:ascii="Garamond" w:hAnsi="Garamond"/>
          <w:i/>
        </w:rPr>
        <w:t xml:space="preserve"> 2019</w:t>
      </w:r>
      <w:r w:rsidR="00EC47A7" w:rsidRPr="004C5B23">
        <w:rPr>
          <w:rFonts w:ascii="Garamond" w:hAnsi="Garamond"/>
          <w:vertAlign w:val="superscript"/>
        </w:rPr>
        <w:t>1</w:t>
      </w:r>
    </w:p>
    <w:p w14:paraId="1FDBCACC" w14:textId="259985C8" w:rsidR="00717FEE" w:rsidRDefault="00ED4B41" w:rsidP="00CA2C7F">
      <w:pPr>
        <w:jc w:val="center"/>
        <w:rPr>
          <w:rFonts w:ascii="Garamond" w:hAnsi="Garamond"/>
        </w:rPr>
      </w:pPr>
      <w:r>
        <w:rPr>
          <w:rFonts w:ascii="Garamond" w:hAnsi="Garamond"/>
        </w:rPr>
        <w:t>P</w:t>
      </w:r>
      <w:r w:rsidR="00EC47A7">
        <w:rPr>
          <w:rFonts w:ascii="Garamond" w:hAnsi="Garamond"/>
        </w:rPr>
        <w:t>reliminary version</w:t>
      </w:r>
    </w:p>
    <w:p w14:paraId="0DA1AC08" w14:textId="77777777" w:rsidR="00EC47A7" w:rsidRPr="004C5B23" w:rsidRDefault="00EC47A7" w:rsidP="00CA2C7F">
      <w:pPr>
        <w:jc w:val="center"/>
        <w:rPr>
          <w:rFonts w:ascii="Garamond" w:hAnsi="Garamond"/>
        </w:rPr>
      </w:pPr>
    </w:p>
    <w:p w14:paraId="4DFFC87A" w14:textId="77777777" w:rsidR="00571195" w:rsidRPr="004C5B23" w:rsidRDefault="00571195" w:rsidP="00CA2C7F">
      <w:pPr>
        <w:ind w:firstLine="720"/>
        <w:jc w:val="center"/>
        <w:rPr>
          <w:rFonts w:ascii="Garamond" w:hAnsi="Garamond"/>
        </w:rPr>
      </w:pPr>
      <w:r w:rsidRPr="004C5B23">
        <w:rPr>
          <w:rFonts w:ascii="Garamond" w:hAnsi="Garamond"/>
        </w:rPr>
        <w:t>Guillaume Bazot (University Paris 8)</w:t>
      </w:r>
    </w:p>
    <w:p w14:paraId="68BADE63" w14:textId="77777777" w:rsidR="00571195" w:rsidRPr="004C5B23" w:rsidRDefault="00571195" w:rsidP="00CA2C7F">
      <w:pPr>
        <w:ind w:firstLine="720"/>
        <w:jc w:val="center"/>
        <w:rPr>
          <w:rFonts w:ascii="Garamond" w:hAnsi="Garamond"/>
        </w:rPr>
      </w:pPr>
      <w:r w:rsidRPr="004C5B23">
        <w:rPr>
          <w:rFonts w:ascii="Garamond" w:hAnsi="Garamond"/>
        </w:rPr>
        <w:t>Eric Monnet (Banque de France, Paris School of Economics &amp; CEPR)</w:t>
      </w:r>
    </w:p>
    <w:p w14:paraId="67983A8B" w14:textId="5D4F342C" w:rsidR="00C63269" w:rsidRPr="00654FA4" w:rsidRDefault="00571195" w:rsidP="00654FA4">
      <w:pPr>
        <w:ind w:firstLine="720"/>
        <w:jc w:val="center"/>
        <w:rPr>
          <w:rFonts w:ascii="Garamond" w:hAnsi="Garamond"/>
        </w:rPr>
      </w:pPr>
      <w:r w:rsidRPr="004C5B23">
        <w:rPr>
          <w:rFonts w:ascii="Garamond" w:hAnsi="Garamond"/>
        </w:rPr>
        <w:t>Matthias Morys (University of York)</w:t>
      </w:r>
    </w:p>
    <w:p w14:paraId="560ACD26" w14:textId="77777777" w:rsidR="00D04183" w:rsidRPr="004C5B23" w:rsidRDefault="00D04183" w:rsidP="00CA2C7F">
      <w:pPr>
        <w:jc w:val="both"/>
        <w:rPr>
          <w:rFonts w:ascii="Garamond" w:hAnsi="Garamond"/>
          <w:b/>
        </w:rPr>
      </w:pPr>
    </w:p>
    <w:p w14:paraId="776CFECC" w14:textId="77777777" w:rsidR="00D04183" w:rsidRPr="004C5B23" w:rsidRDefault="00D04183" w:rsidP="00CA2C7F">
      <w:pPr>
        <w:ind w:left="567" w:right="567"/>
        <w:jc w:val="both"/>
        <w:rPr>
          <w:rFonts w:ascii="Garamond" w:hAnsi="Garamond"/>
          <w:color w:val="000000" w:themeColor="text1"/>
          <w:sz w:val="22"/>
          <w:szCs w:val="22"/>
        </w:rPr>
      </w:pPr>
      <w:r w:rsidRPr="004C5B23">
        <w:rPr>
          <w:rFonts w:ascii="Garamond" w:hAnsi="Garamond"/>
          <w:color w:val="000000" w:themeColor="text1"/>
          <w:sz w:val="22"/>
          <w:szCs w:val="22"/>
        </w:rPr>
        <w:t>Completely monetarized communities could not have stood the ruinous effects of abrupt changes in the price level necessitated by the maintenance of stable exchanges unless the shock was cushioned by the means of an independent central banking policy. The national token currency was the certain safeguard of this relative security since it allowed the central bank to act as a buffer between the internal and the external economy. If the balance of payment was threatened with illiquidity, reserves and foreign loans would tide over the difficulty; if an altogether new economic balance had to be created involving a fall in the domestic price level, the restriction of credit could be spread in the most rational fashion, eliminating the inefficient, and putting the burden on the efficient. Absence of such a mechanism would have made it impossible for any advanced country to stay on gold without devastating effects as to its welfare, whether in terms of production, income, or employment.</w:t>
      </w:r>
    </w:p>
    <w:p w14:paraId="2B77C9B4" w14:textId="77777777" w:rsidR="00D04183" w:rsidRPr="004C5B23" w:rsidRDefault="00D04183" w:rsidP="00CA2C7F">
      <w:pPr>
        <w:ind w:left="1287" w:right="567" w:firstLine="153"/>
        <w:jc w:val="both"/>
        <w:rPr>
          <w:rFonts w:ascii="Garamond" w:hAnsi="Garamond"/>
          <w:color w:val="000000" w:themeColor="text1"/>
        </w:rPr>
      </w:pPr>
      <w:r w:rsidRPr="004C5B23">
        <w:rPr>
          <w:rFonts w:ascii="Garamond" w:hAnsi="Garamond"/>
          <w:color w:val="000000" w:themeColor="text1"/>
        </w:rPr>
        <w:t xml:space="preserve">Karl Polanyi, </w:t>
      </w:r>
      <w:r w:rsidRPr="004C5B23">
        <w:rPr>
          <w:rFonts w:ascii="Garamond" w:hAnsi="Garamond"/>
          <w:i/>
          <w:color w:val="000000" w:themeColor="text1"/>
        </w:rPr>
        <w:t xml:space="preserve">The Great Transformation </w:t>
      </w:r>
      <w:r w:rsidRPr="004C5B23">
        <w:rPr>
          <w:rFonts w:ascii="Garamond" w:hAnsi="Garamond"/>
          <w:color w:val="000000" w:themeColor="text1"/>
        </w:rPr>
        <w:t>(1944: 218)</w:t>
      </w:r>
    </w:p>
    <w:p w14:paraId="2D81BFF4" w14:textId="77777777" w:rsidR="00717FEE" w:rsidRPr="004C5B23" w:rsidRDefault="00717FEE" w:rsidP="00CA2C7F">
      <w:pPr>
        <w:jc w:val="both"/>
        <w:rPr>
          <w:rFonts w:ascii="Garamond" w:hAnsi="Garamond"/>
          <w:b/>
        </w:rPr>
      </w:pPr>
    </w:p>
    <w:p w14:paraId="65ADCB01" w14:textId="77777777" w:rsidR="00EC3E40" w:rsidRPr="004C5B23" w:rsidRDefault="00EC3E40" w:rsidP="00CA2C7F">
      <w:pPr>
        <w:jc w:val="both"/>
        <w:rPr>
          <w:rFonts w:ascii="Garamond" w:hAnsi="Garamond"/>
        </w:rPr>
      </w:pPr>
    </w:p>
    <w:p w14:paraId="5751DD9F" w14:textId="77777777" w:rsidR="009022F7" w:rsidRPr="004C5B23" w:rsidRDefault="009022F7" w:rsidP="00CA2C7F">
      <w:pPr>
        <w:jc w:val="both"/>
        <w:rPr>
          <w:rFonts w:ascii="Garamond" w:hAnsi="Garamond"/>
          <w:b/>
        </w:rPr>
      </w:pPr>
      <w:r w:rsidRPr="004C5B23">
        <w:rPr>
          <w:rFonts w:ascii="Garamond" w:hAnsi="Garamond"/>
          <w:b/>
        </w:rPr>
        <w:t>Abstract</w:t>
      </w:r>
    </w:p>
    <w:p w14:paraId="4EA50050" w14:textId="7F4B7B3D" w:rsidR="00717FEE" w:rsidRPr="00CF151B" w:rsidRDefault="00571195" w:rsidP="00CF151B">
      <w:pPr>
        <w:jc w:val="both"/>
        <w:rPr>
          <w:rFonts w:ascii="Garamond" w:hAnsi="Garamond"/>
        </w:rPr>
      </w:pPr>
      <w:r w:rsidRPr="004C5B23">
        <w:rPr>
          <w:rFonts w:ascii="Garamond" w:hAnsi="Garamond"/>
        </w:rPr>
        <w:t>Are central banks able to isolate their domestic economy by offsetting the effects of capital flows, or are they fully constrained by international financial conditions and</w:t>
      </w:r>
      <w:r w:rsidR="00275675" w:rsidRPr="004C5B23">
        <w:rPr>
          <w:rFonts w:ascii="Garamond" w:hAnsi="Garamond"/>
        </w:rPr>
        <w:t>/or</w:t>
      </w:r>
      <w:r w:rsidRPr="004C5B23">
        <w:rPr>
          <w:rFonts w:ascii="Garamond" w:hAnsi="Garamond"/>
        </w:rPr>
        <w:t xml:space="preserve"> </w:t>
      </w:r>
      <w:r w:rsidR="00275675" w:rsidRPr="004C5B23">
        <w:rPr>
          <w:rFonts w:ascii="Garamond" w:hAnsi="Garamond"/>
        </w:rPr>
        <w:t>their exchange-rate regime</w:t>
      </w:r>
      <w:r w:rsidRPr="004C5B23">
        <w:rPr>
          <w:rFonts w:ascii="Garamond" w:hAnsi="Garamond"/>
        </w:rPr>
        <w:t xml:space="preserve">? </w:t>
      </w:r>
      <w:r w:rsidR="00717FEE" w:rsidRPr="004C5B23">
        <w:rPr>
          <w:rFonts w:ascii="Garamond" w:hAnsi="Garamond"/>
        </w:rPr>
        <w:t>We provide an answer for the F</w:t>
      </w:r>
      <w:r w:rsidRPr="004C5B23">
        <w:rPr>
          <w:rFonts w:ascii="Garamond" w:hAnsi="Garamond"/>
        </w:rPr>
        <w:t>irst Age of Globalisation based on a</w:t>
      </w:r>
      <w:r w:rsidR="00275675" w:rsidRPr="004C5B23">
        <w:rPr>
          <w:rFonts w:ascii="Garamond" w:hAnsi="Garamond"/>
        </w:rPr>
        <w:t>n</w:t>
      </w:r>
      <w:r w:rsidRPr="004C5B23">
        <w:rPr>
          <w:rFonts w:ascii="Garamond" w:hAnsi="Garamond"/>
        </w:rPr>
        <w:t xml:space="preserve"> exceptional</w:t>
      </w:r>
      <w:r w:rsidR="00275675" w:rsidRPr="004C5B23">
        <w:rPr>
          <w:rFonts w:ascii="Garamond" w:hAnsi="Garamond"/>
        </w:rPr>
        <w:t xml:space="preserve">ly detailed and </w:t>
      </w:r>
      <w:r w:rsidR="00EC47A7">
        <w:rPr>
          <w:rFonts w:ascii="Garamond" w:hAnsi="Garamond"/>
        </w:rPr>
        <w:t xml:space="preserve">standardized </w:t>
      </w:r>
      <w:r w:rsidRPr="004C5B23">
        <w:rPr>
          <w:rFonts w:ascii="Garamond" w:hAnsi="Garamond"/>
        </w:rPr>
        <w:t>database of monthly balance sheets of 21 central banks</w:t>
      </w:r>
      <w:r w:rsidR="00EC47A7">
        <w:rPr>
          <w:rFonts w:ascii="Garamond" w:hAnsi="Garamond"/>
        </w:rPr>
        <w:t xml:space="preserve"> (1891-1913) found in the a</w:t>
      </w:r>
      <w:r w:rsidRPr="004C5B23">
        <w:rPr>
          <w:rFonts w:ascii="Garamond" w:hAnsi="Garamond"/>
        </w:rPr>
        <w:t xml:space="preserve">rchives of the Bank of France. Investigating the impact of a </w:t>
      </w:r>
      <w:r w:rsidR="00275675" w:rsidRPr="004C5B23">
        <w:rPr>
          <w:rFonts w:ascii="Garamond" w:hAnsi="Garamond"/>
        </w:rPr>
        <w:t>global interest rate shock</w:t>
      </w:r>
      <w:r w:rsidRPr="004C5B23">
        <w:rPr>
          <w:rFonts w:ascii="Garamond" w:hAnsi="Garamond"/>
        </w:rPr>
        <w:t xml:space="preserve"> on the exchange-rate, the interest rate and the central bank balance sheet, we find that </w:t>
      </w:r>
      <w:r w:rsidR="00ED4B41">
        <w:rPr>
          <w:rFonts w:ascii="Garamond" w:hAnsi="Garamond"/>
        </w:rPr>
        <w:t>not a single country played</w:t>
      </w:r>
      <w:r w:rsidR="00275675" w:rsidRPr="004C5B23">
        <w:rPr>
          <w:rFonts w:ascii="Garamond" w:hAnsi="Garamond"/>
        </w:rPr>
        <w:t xml:space="preserve"> the “rules of the game.” C</w:t>
      </w:r>
      <w:r w:rsidRPr="004C5B23">
        <w:rPr>
          <w:rFonts w:ascii="Garamond" w:hAnsi="Garamond"/>
        </w:rPr>
        <w:t xml:space="preserve">ore countries </w:t>
      </w:r>
      <w:r w:rsidR="00B723ED">
        <w:rPr>
          <w:rFonts w:ascii="Garamond" w:hAnsi="Garamond"/>
        </w:rPr>
        <w:t>fully</w:t>
      </w:r>
      <w:r w:rsidR="00275675" w:rsidRPr="004C5B23">
        <w:rPr>
          <w:rFonts w:ascii="Garamond" w:hAnsi="Garamond"/>
        </w:rPr>
        <w:t xml:space="preserve"> </w:t>
      </w:r>
      <w:r w:rsidRPr="004C5B23">
        <w:rPr>
          <w:rFonts w:ascii="Garamond" w:hAnsi="Garamond"/>
        </w:rPr>
        <w:t>sterilized capital flows</w:t>
      </w:r>
      <w:r w:rsidR="00275675" w:rsidRPr="004C5B23">
        <w:rPr>
          <w:rFonts w:ascii="Garamond" w:hAnsi="Garamond"/>
        </w:rPr>
        <w:t>, wh</w:t>
      </w:r>
      <w:r w:rsidR="00CF151B">
        <w:rPr>
          <w:rFonts w:ascii="Garamond" w:hAnsi="Garamond"/>
        </w:rPr>
        <w:t>ile</w:t>
      </w:r>
      <w:r w:rsidR="00275675" w:rsidRPr="004C5B23">
        <w:rPr>
          <w:rFonts w:ascii="Garamond" w:hAnsi="Garamond"/>
        </w:rPr>
        <w:t xml:space="preserve"> peripheral countries relied on convertibility restrictions to avoid reserve losses. </w:t>
      </w:r>
      <w:r w:rsidR="00ED4B41">
        <w:rPr>
          <w:rFonts w:ascii="Garamond" w:hAnsi="Garamond"/>
        </w:rPr>
        <w:t xml:space="preserve">These features allowed central banks to round the corner of the </w:t>
      </w:r>
      <w:r w:rsidR="00ED4B41" w:rsidRPr="00711AA3">
        <w:rPr>
          <w:rFonts w:ascii="Garamond" w:hAnsi="Garamond"/>
          <w:i/>
        </w:rPr>
        <w:t>trilemma</w:t>
      </w:r>
      <w:r w:rsidR="00ED4B41">
        <w:rPr>
          <w:rFonts w:ascii="Garamond" w:hAnsi="Garamond"/>
        </w:rPr>
        <w:t xml:space="preserve"> and serve as “a buffer between the internal and</w:t>
      </w:r>
      <w:r w:rsidR="00457848">
        <w:rPr>
          <w:rFonts w:ascii="Garamond" w:hAnsi="Garamond"/>
        </w:rPr>
        <w:t xml:space="preserve"> the external economy”</w:t>
      </w:r>
      <w:r w:rsidR="00ED4B41">
        <w:rPr>
          <w:rFonts w:ascii="Garamond" w:hAnsi="Garamond"/>
        </w:rPr>
        <w:t>.</w:t>
      </w:r>
      <w:r w:rsidR="00754D62">
        <w:rPr>
          <w:rFonts w:ascii="Garamond" w:hAnsi="Garamond"/>
        </w:rPr>
        <w:t xml:space="preserve"> </w:t>
      </w:r>
      <w:r w:rsidR="00CF151B" w:rsidRPr="00CF151B">
        <w:rPr>
          <w:rFonts w:ascii="Garamond" w:hAnsi="Garamond"/>
        </w:rPr>
        <w:t xml:space="preserve">In contrast, in the United States, a gold standard country without a central bank, </w:t>
      </w:r>
      <w:r w:rsidR="00AC096D">
        <w:rPr>
          <w:rFonts w:ascii="Garamond" w:hAnsi="Garamond"/>
        </w:rPr>
        <w:t>the reaction of the money market rate was</w:t>
      </w:r>
      <w:r w:rsidR="00CF151B" w:rsidRPr="00CF151B">
        <w:rPr>
          <w:rFonts w:ascii="Garamond" w:hAnsi="Garamond"/>
        </w:rPr>
        <w:t xml:space="preserve"> about 10 times higher than the interest rates of</w:t>
      </w:r>
      <w:r w:rsidR="00CF151B">
        <w:rPr>
          <w:rFonts w:ascii="Garamond" w:hAnsi="Garamond"/>
        </w:rPr>
        <w:t xml:space="preserve"> countries with a central bank.</w:t>
      </w:r>
      <w:r w:rsidR="00CF151B" w:rsidRPr="00CF151B">
        <w:rPr>
          <w:rFonts w:ascii="Garamond" w:hAnsi="Garamond"/>
        </w:rPr>
        <w:t xml:space="preserve"> </w:t>
      </w:r>
      <w:r w:rsidR="00B723ED">
        <w:rPr>
          <w:rFonts w:ascii="Garamond" w:hAnsi="Garamond"/>
        </w:rPr>
        <w:t xml:space="preserve">In line with the predictions of the </w:t>
      </w:r>
      <w:r w:rsidR="00B723ED" w:rsidRPr="00B723ED">
        <w:rPr>
          <w:rFonts w:ascii="Garamond" w:hAnsi="Garamond"/>
          <w:i/>
        </w:rPr>
        <w:t>trilemma</w:t>
      </w:r>
      <w:r w:rsidR="00B723ED">
        <w:rPr>
          <w:rFonts w:ascii="Garamond" w:hAnsi="Garamond"/>
        </w:rPr>
        <w:t xml:space="preserve">, </w:t>
      </w:r>
      <w:r w:rsidR="00CF151B" w:rsidRPr="00CF151B">
        <w:rPr>
          <w:rFonts w:ascii="Garamond" w:hAnsi="Garamond"/>
        </w:rPr>
        <w:t>the exchange rate reacted</w:t>
      </w:r>
      <w:r w:rsidR="00B723ED">
        <w:rPr>
          <w:rFonts w:ascii="Garamond" w:hAnsi="Garamond"/>
        </w:rPr>
        <w:t xml:space="preserve"> </w:t>
      </w:r>
      <w:r w:rsidR="00457848">
        <w:rPr>
          <w:rFonts w:ascii="Garamond" w:hAnsi="Garamond"/>
        </w:rPr>
        <w:t xml:space="preserve">strongly </w:t>
      </w:r>
      <w:r w:rsidR="00B723ED">
        <w:rPr>
          <w:rFonts w:ascii="Garamond" w:hAnsi="Garamond"/>
        </w:rPr>
        <w:t>i</w:t>
      </w:r>
      <w:r w:rsidR="00B723ED" w:rsidRPr="00CF151B">
        <w:rPr>
          <w:rFonts w:ascii="Garamond" w:hAnsi="Garamond"/>
        </w:rPr>
        <w:t xml:space="preserve">n countries </w:t>
      </w:r>
      <w:r w:rsidR="00B723ED">
        <w:rPr>
          <w:rFonts w:ascii="Garamond" w:hAnsi="Garamond"/>
        </w:rPr>
        <w:t>off the gold standard</w:t>
      </w:r>
      <w:r w:rsidR="00B723ED" w:rsidRPr="00CF151B">
        <w:rPr>
          <w:rFonts w:ascii="Garamond" w:hAnsi="Garamond"/>
        </w:rPr>
        <w:t xml:space="preserve"> (i.e. with a floating exchange rate), </w:t>
      </w:r>
      <w:r w:rsidR="00CF151B">
        <w:rPr>
          <w:rFonts w:ascii="Garamond" w:hAnsi="Garamond"/>
        </w:rPr>
        <w:t xml:space="preserve">whereas </w:t>
      </w:r>
      <w:r w:rsidR="00CF151B" w:rsidRPr="00CF151B">
        <w:rPr>
          <w:rFonts w:ascii="Garamond" w:hAnsi="Garamond"/>
        </w:rPr>
        <w:t xml:space="preserve">the central bank's </w:t>
      </w:r>
      <w:r w:rsidR="00CF151B">
        <w:rPr>
          <w:rFonts w:ascii="Garamond" w:hAnsi="Garamond"/>
        </w:rPr>
        <w:t>balance sheet and interest rate were not affected.</w:t>
      </w:r>
      <w:r w:rsidR="00AC096D">
        <w:rPr>
          <w:rFonts w:ascii="Garamond" w:hAnsi="Garamond"/>
        </w:rPr>
        <w:t xml:space="preserve"> This paper also provides a new method to identify sterilization by central bank</w:t>
      </w:r>
      <w:r w:rsidR="00457848">
        <w:rPr>
          <w:rFonts w:ascii="Garamond" w:hAnsi="Garamond"/>
        </w:rPr>
        <w:t>s</w:t>
      </w:r>
      <w:r w:rsidR="00AC096D">
        <w:rPr>
          <w:rFonts w:ascii="Garamond" w:hAnsi="Garamond"/>
        </w:rPr>
        <w:t>. It can be extended to other periods and countries as long as detailed central bank balance sheet</w:t>
      </w:r>
      <w:r w:rsidR="00457848">
        <w:rPr>
          <w:rFonts w:ascii="Garamond" w:hAnsi="Garamond"/>
        </w:rPr>
        <w:t>s</w:t>
      </w:r>
      <w:r w:rsidR="00AC096D">
        <w:rPr>
          <w:rFonts w:ascii="Garamond" w:hAnsi="Garamond"/>
        </w:rPr>
        <w:t xml:space="preserve"> are available. </w:t>
      </w:r>
    </w:p>
    <w:p w14:paraId="3197C3D6" w14:textId="2315EDE0" w:rsidR="009022F7" w:rsidRPr="004C5B23" w:rsidRDefault="009022F7" w:rsidP="00654FA4">
      <w:pPr>
        <w:ind w:left="2160" w:hanging="2160"/>
        <w:jc w:val="both"/>
        <w:rPr>
          <w:rFonts w:ascii="Garamond" w:hAnsi="Garamond"/>
          <w:color w:val="000000" w:themeColor="text1"/>
        </w:rPr>
      </w:pPr>
      <w:r w:rsidRPr="004C5B23">
        <w:rPr>
          <w:rFonts w:ascii="Garamond" w:hAnsi="Garamond"/>
          <w:b/>
          <w:color w:val="000000" w:themeColor="text1"/>
        </w:rPr>
        <w:t xml:space="preserve">Keywords: </w:t>
      </w:r>
      <w:r w:rsidR="004201C6" w:rsidRPr="004C5B23">
        <w:rPr>
          <w:rFonts w:ascii="Garamond" w:hAnsi="Garamond"/>
          <w:color w:val="000000" w:themeColor="text1"/>
        </w:rPr>
        <w:t>gold standard, sterilization, rules of the game, central banking, trilemma</w:t>
      </w:r>
      <w:r w:rsidRPr="004C5B23">
        <w:rPr>
          <w:rFonts w:ascii="Garamond" w:hAnsi="Garamond"/>
          <w:color w:val="000000" w:themeColor="text1"/>
        </w:rPr>
        <w:tab/>
      </w:r>
    </w:p>
    <w:p w14:paraId="3D22FED2" w14:textId="64D3A752" w:rsidR="00717FEE" w:rsidRPr="00825014" w:rsidRDefault="009022F7" w:rsidP="00CA2C7F">
      <w:pPr>
        <w:jc w:val="both"/>
        <w:rPr>
          <w:rFonts w:ascii="Garamond" w:hAnsi="Garamond"/>
          <w:color w:val="000000" w:themeColor="text1"/>
          <w:lang w:val="pt-BR"/>
        </w:rPr>
      </w:pPr>
      <w:r w:rsidRPr="00825014">
        <w:rPr>
          <w:rFonts w:ascii="Garamond" w:hAnsi="Garamond"/>
          <w:b/>
          <w:color w:val="000000" w:themeColor="text1"/>
          <w:lang w:val="pt-BR"/>
        </w:rPr>
        <w:t>JEL classification:</w:t>
      </w:r>
      <w:r w:rsidRPr="00825014">
        <w:rPr>
          <w:rFonts w:ascii="Garamond" w:hAnsi="Garamond"/>
          <w:color w:val="000000" w:themeColor="text1"/>
          <w:lang w:val="pt-BR"/>
        </w:rPr>
        <w:t xml:space="preserve"> </w:t>
      </w:r>
      <w:r w:rsidR="004201C6" w:rsidRPr="00825014">
        <w:rPr>
          <w:rFonts w:ascii="Garamond" w:hAnsi="Garamond"/>
          <w:color w:val="000000" w:themeColor="text1"/>
          <w:lang w:val="pt-BR"/>
        </w:rPr>
        <w:t>N10, N20, E42, E50, F30, F44</w:t>
      </w:r>
      <w:r w:rsidRPr="00825014">
        <w:rPr>
          <w:rFonts w:ascii="Garamond" w:hAnsi="Garamond"/>
          <w:color w:val="000000" w:themeColor="text1"/>
          <w:lang w:val="pt-BR"/>
        </w:rPr>
        <w:tab/>
      </w:r>
    </w:p>
    <w:p w14:paraId="029698F5" w14:textId="77777777" w:rsidR="00717FEE" w:rsidRPr="00825014" w:rsidRDefault="00717FEE" w:rsidP="00CA2C7F">
      <w:pPr>
        <w:jc w:val="both"/>
        <w:rPr>
          <w:rFonts w:ascii="Garamond" w:hAnsi="Garamond"/>
          <w:sz w:val="22"/>
          <w:szCs w:val="22"/>
          <w:lang w:val="pt-BR"/>
        </w:rPr>
      </w:pPr>
      <w:r w:rsidRPr="00825014">
        <w:rPr>
          <w:rFonts w:ascii="Garamond" w:hAnsi="Garamond"/>
          <w:sz w:val="22"/>
          <w:szCs w:val="22"/>
          <w:lang w:val="pt-BR"/>
        </w:rPr>
        <w:t>_____________________________</w:t>
      </w:r>
      <w:r w:rsidRPr="00825014">
        <w:rPr>
          <w:rFonts w:ascii="Garamond" w:hAnsi="Garamond"/>
          <w:color w:val="000000"/>
          <w:sz w:val="22"/>
          <w:szCs w:val="22"/>
          <w:lang w:val="pt-BR"/>
        </w:rPr>
        <w:t xml:space="preserve"> </w:t>
      </w:r>
    </w:p>
    <w:p w14:paraId="66769A3C" w14:textId="229A0960" w:rsidR="00717FEE" w:rsidRPr="00825014" w:rsidRDefault="00717FEE" w:rsidP="00CA2C7F">
      <w:pPr>
        <w:jc w:val="both"/>
        <w:rPr>
          <w:rFonts w:ascii="Garamond" w:hAnsi="Garamond"/>
          <w:sz w:val="22"/>
          <w:szCs w:val="22"/>
          <w:lang w:val="pt-BR"/>
        </w:rPr>
      </w:pPr>
      <w:r w:rsidRPr="00825014">
        <w:rPr>
          <w:rFonts w:ascii="Garamond" w:hAnsi="Garamond"/>
          <w:sz w:val="22"/>
          <w:szCs w:val="22"/>
          <w:lang w:val="pt-BR"/>
        </w:rPr>
        <w:t xml:space="preserve">1 </w:t>
      </w:r>
      <w:hyperlink r:id="rId8" w:history="1">
        <w:r w:rsidR="00F96946" w:rsidRPr="00825014">
          <w:rPr>
            <w:rStyle w:val="Hyperlink"/>
            <w:rFonts w:ascii="Garamond" w:hAnsi="Garamond"/>
            <w:sz w:val="22"/>
            <w:szCs w:val="22"/>
            <w:lang w:val="pt-BR"/>
          </w:rPr>
          <w:t>gbazot@gmail.com</w:t>
        </w:r>
      </w:hyperlink>
      <w:r w:rsidR="00F96946" w:rsidRPr="00825014">
        <w:rPr>
          <w:rFonts w:ascii="Garamond" w:hAnsi="Garamond"/>
          <w:sz w:val="22"/>
          <w:szCs w:val="22"/>
          <w:lang w:val="pt-BR"/>
        </w:rPr>
        <w:t xml:space="preserve">; </w:t>
      </w:r>
      <w:hyperlink r:id="rId9" w:history="1">
        <w:r w:rsidR="00F96946" w:rsidRPr="00825014">
          <w:rPr>
            <w:rStyle w:val="Hyperlink"/>
            <w:rFonts w:ascii="Garamond" w:hAnsi="Garamond"/>
            <w:sz w:val="22"/>
            <w:szCs w:val="22"/>
            <w:lang w:val="pt-BR"/>
          </w:rPr>
          <w:t>eric.monnet@banque-france.fr</w:t>
        </w:r>
      </w:hyperlink>
      <w:r w:rsidR="00F96946" w:rsidRPr="00825014">
        <w:rPr>
          <w:rFonts w:ascii="Garamond" w:hAnsi="Garamond"/>
          <w:sz w:val="22"/>
          <w:szCs w:val="22"/>
          <w:lang w:val="pt-BR"/>
        </w:rPr>
        <w:t xml:space="preserve">; </w:t>
      </w:r>
      <w:hyperlink r:id="rId10" w:history="1">
        <w:r w:rsidRPr="00825014">
          <w:rPr>
            <w:rStyle w:val="Hyperlink"/>
            <w:rFonts w:ascii="Garamond" w:hAnsi="Garamond"/>
            <w:sz w:val="22"/>
            <w:szCs w:val="22"/>
            <w:lang w:val="pt-BR"/>
          </w:rPr>
          <w:t>matthias.morys@york.ac.uk</w:t>
        </w:r>
      </w:hyperlink>
    </w:p>
    <w:p w14:paraId="33EA35B3" w14:textId="0E2E8912" w:rsidR="00717FEE" w:rsidRDefault="00717FEE" w:rsidP="00C05D8D">
      <w:pPr>
        <w:jc w:val="both"/>
        <w:rPr>
          <w:rFonts w:ascii="Garamond" w:hAnsi="Garamond"/>
        </w:rPr>
      </w:pPr>
      <w:r w:rsidRPr="004C5B23">
        <w:rPr>
          <w:rFonts w:ascii="Garamond" w:hAnsi="Garamond"/>
          <w:sz w:val="22"/>
          <w:szCs w:val="22"/>
        </w:rPr>
        <w:t>We gratefully acknowledge financial support by</w:t>
      </w:r>
      <w:r w:rsidR="00F96946" w:rsidRPr="004C5B23">
        <w:rPr>
          <w:rFonts w:ascii="Garamond" w:hAnsi="Garamond"/>
          <w:sz w:val="22"/>
          <w:szCs w:val="22"/>
        </w:rPr>
        <w:t xml:space="preserve"> the Fondation Banque de France and the Labex OSE (Paris School of Economics). The results presented in this paper do not reflect the views of the Banque de France or the Eurosystem.</w:t>
      </w:r>
      <w:r w:rsidR="00754D62">
        <w:rPr>
          <w:rFonts w:ascii="Garamond" w:hAnsi="Garamond"/>
          <w:sz w:val="22"/>
          <w:szCs w:val="22"/>
        </w:rPr>
        <w:t xml:space="preserve"> We thank participants at the Lund economic history workshop, the Institute of International Monetary Research, the American Economic Association meeting. </w:t>
      </w:r>
    </w:p>
    <w:p w14:paraId="453267ED" w14:textId="77777777" w:rsidR="00C05D8D" w:rsidRPr="004C5B23" w:rsidRDefault="00C05D8D" w:rsidP="00C05D8D">
      <w:pPr>
        <w:jc w:val="both"/>
        <w:rPr>
          <w:rFonts w:ascii="Garamond" w:hAnsi="Garamond"/>
        </w:rPr>
      </w:pPr>
    </w:p>
    <w:p w14:paraId="1D72857B" w14:textId="77777777" w:rsidR="00A463B2" w:rsidRPr="004C5B23" w:rsidRDefault="00A463B2" w:rsidP="00CA2C7F">
      <w:pPr>
        <w:spacing w:line="360" w:lineRule="auto"/>
        <w:jc w:val="both"/>
        <w:rPr>
          <w:rFonts w:ascii="Garamond" w:hAnsi="Garamond"/>
        </w:rPr>
      </w:pPr>
    </w:p>
    <w:sdt>
      <w:sdtPr>
        <w:rPr>
          <w:rFonts w:ascii="Times New Roman" w:eastAsia="Times New Roman" w:hAnsi="Times New Roman" w:cs="Times New Roman"/>
          <w:color w:val="auto"/>
          <w:sz w:val="24"/>
          <w:szCs w:val="24"/>
          <w:lang w:val="en-GB" w:eastAsia="en-GB"/>
        </w:rPr>
        <w:id w:val="-2056077227"/>
        <w:docPartObj>
          <w:docPartGallery w:val="Table of Contents"/>
          <w:docPartUnique/>
        </w:docPartObj>
      </w:sdtPr>
      <w:sdtEndPr>
        <w:rPr>
          <w:b/>
          <w:bCs/>
          <w:noProof/>
        </w:rPr>
      </w:sdtEndPr>
      <w:sdtContent>
        <w:p w14:paraId="07A4D766" w14:textId="515411CF" w:rsidR="006C7E82" w:rsidRDefault="006C7E82">
          <w:pPr>
            <w:pStyle w:val="TOCHeading"/>
          </w:pPr>
          <w:r>
            <w:t>Table of Contents</w:t>
          </w:r>
        </w:p>
        <w:p w14:paraId="2E51E190" w14:textId="3A3C8F10" w:rsidR="00AC096D" w:rsidRDefault="006C7E82">
          <w:pPr>
            <w:pStyle w:val="TOC1"/>
            <w:tabs>
              <w:tab w:val="right" w:leader="dot" w:pos="9062"/>
            </w:tabs>
            <w:rPr>
              <w:rFonts w:asciiTheme="minorHAnsi" w:eastAsiaTheme="minorEastAsia" w:hAnsiTheme="minorHAnsi" w:cstheme="minorBidi"/>
              <w:noProof/>
              <w:sz w:val="22"/>
              <w:szCs w:val="22"/>
              <w:lang w:val="en-US" w:eastAsia="en-US"/>
            </w:rPr>
          </w:pPr>
          <w:r>
            <w:rPr>
              <w:b/>
              <w:bCs/>
              <w:noProof/>
            </w:rPr>
            <w:fldChar w:fldCharType="begin"/>
          </w:r>
          <w:r>
            <w:rPr>
              <w:b/>
              <w:bCs/>
              <w:noProof/>
            </w:rPr>
            <w:instrText xml:space="preserve"> TOC \o "1-3" \h \z \u </w:instrText>
          </w:r>
          <w:r>
            <w:rPr>
              <w:b/>
              <w:bCs/>
              <w:noProof/>
            </w:rPr>
            <w:fldChar w:fldCharType="separate"/>
          </w:r>
          <w:hyperlink w:anchor="_Toc2521971" w:history="1">
            <w:r w:rsidR="00AC096D" w:rsidRPr="00403495">
              <w:rPr>
                <w:rStyle w:val="Hyperlink"/>
                <w:noProof/>
              </w:rPr>
              <w:t>Introduction</w:t>
            </w:r>
            <w:r w:rsidR="00AC096D">
              <w:rPr>
                <w:noProof/>
                <w:webHidden/>
              </w:rPr>
              <w:tab/>
            </w:r>
            <w:r w:rsidR="00AC096D">
              <w:rPr>
                <w:noProof/>
                <w:webHidden/>
              </w:rPr>
              <w:fldChar w:fldCharType="begin"/>
            </w:r>
            <w:r w:rsidR="00AC096D">
              <w:rPr>
                <w:noProof/>
                <w:webHidden/>
              </w:rPr>
              <w:instrText xml:space="preserve"> PAGEREF _Toc2521971 \h </w:instrText>
            </w:r>
            <w:r w:rsidR="00AC096D">
              <w:rPr>
                <w:noProof/>
                <w:webHidden/>
              </w:rPr>
            </w:r>
            <w:r w:rsidR="00AC096D">
              <w:rPr>
                <w:noProof/>
                <w:webHidden/>
              </w:rPr>
              <w:fldChar w:fldCharType="separate"/>
            </w:r>
            <w:r w:rsidR="00AC096D">
              <w:rPr>
                <w:noProof/>
                <w:webHidden/>
              </w:rPr>
              <w:t>2</w:t>
            </w:r>
            <w:r w:rsidR="00AC096D">
              <w:rPr>
                <w:noProof/>
                <w:webHidden/>
              </w:rPr>
              <w:fldChar w:fldCharType="end"/>
            </w:r>
          </w:hyperlink>
        </w:p>
        <w:p w14:paraId="16472323" w14:textId="043A8010" w:rsidR="00AC096D" w:rsidRDefault="003B6976">
          <w:pPr>
            <w:pStyle w:val="TOC1"/>
            <w:tabs>
              <w:tab w:val="right" w:leader="dot" w:pos="9062"/>
            </w:tabs>
            <w:rPr>
              <w:rFonts w:asciiTheme="minorHAnsi" w:eastAsiaTheme="minorEastAsia" w:hAnsiTheme="minorHAnsi" w:cstheme="minorBidi"/>
              <w:noProof/>
              <w:sz w:val="22"/>
              <w:szCs w:val="22"/>
              <w:lang w:val="en-US" w:eastAsia="en-US"/>
            </w:rPr>
          </w:pPr>
          <w:hyperlink w:anchor="_Toc2521972" w:history="1">
            <w:r w:rsidR="00AC096D" w:rsidRPr="00403495">
              <w:rPr>
                <w:rStyle w:val="Hyperlink"/>
                <w:noProof/>
              </w:rPr>
              <w:t>A unique database on central bank balance sheets</w:t>
            </w:r>
            <w:r w:rsidR="00AC096D">
              <w:rPr>
                <w:noProof/>
                <w:webHidden/>
              </w:rPr>
              <w:tab/>
            </w:r>
            <w:r w:rsidR="00AC096D">
              <w:rPr>
                <w:noProof/>
                <w:webHidden/>
              </w:rPr>
              <w:fldChar w:fldCharType="begin"/>
            </w:r>
            <w:r w:rsidR="00AC096D">
              <w:rPr>
                <w:noProof/>
                <w:webHidden/>
              </w:rPr>
              <w:instrText xml:space="preserve"> PAGEREF _Toc2521972 \h </w:instrText>
            </w:r>
            <w:r w:rsidR="00AC096D">
              <w:rPr>
                <w:noProof/>
                <w:webHidden/>
              </w:rPr>
            </w:r>
            <w:r w:rsidR="00AC096D">
              <w:rPr>
                <w:noProof/>
                <w:webHidden/>
              </w:rPr>
              <w:fldChar w:fldCharType="separate"/>
            </w:r>
            <w:r w:rsidR="00AC096D">
              <w:rPr>
                <w:noProof/>
                <w:webHidden/>
              </w:rPr>
              <w:t>6</w:t>
            </w:r>
            <w:r w:rsidR="00AC096D">
              <w:rPr>
                <w:noProof/>
                <w:webHidden/>
              </w:rPr>
              <w:fldChar w:fldCharType="end"/>
            </w:r>
          </w:hyperlink>
        </w:p>
        <w:p w14:paraId="421BB6AE" w14:textId="0FAFE420" w:rsidR="00AC096D" w:rsidRDefault="003B6976">
          <w:pPr>
            <w:pStyle w:val="TOC2"/>
            <w:tabs>
              <w:tab w:val="right" w:leader="dot" w:pos="9062"/>
            </w:tabs>
            <w:rPr>
              <w:rFonts w:asciiTheme="minorHAnsi" w:eastAsiaTheme="minorEastAsia" w:hAnsiTheme="minorHAnsi" w:cstheme="minorBidi"/>
              <w:noProof/>
              <w:sz w:val="22"/>
              <w:szCs w:val="22"/>
              <w:lang w:val="en-US" w:eastAsia="en-US"/>
            </w:rPr>
          </w:pPr>
          <w:hyperlink w:anchor="_Toc2521973" w:history="1">
            <w:r w:rsidR="00AC096D" w:rsidRPr="00403495">
              <w:rPr>
                <w:rStyle w:val="Hyperlink"/>
                <w:noProof/>
              </w:rPr>
              <w:t>Sources</w:t>
            </w:r>
            <w:r w:rsidR="00AC096D">
              <w:rPr>
                <w:noProof/>
                <w:webHidden/>
              </w:rPr>
              <w:tab/>
            </w:r>
            <w:r w:rsidR="00AC096D">
              <w:rPr>
                <w:noProof/>
                <w:webHidden/>
              </w:rPr>
              <w:fldChar w:fldCharType="begin"/>
            </w:r>
            <w:r w:rsidR="00AC096D">
              <w:rPr>
                <w:noProof/>
                <w:webHidden/>
              </w:rPr>
              <w:instrText xml:space="preserve"> PAGEREF _Toc2521973 \h </w:instrText>
            </w:r>
            <w:r w:rsidR="00AC096D">
              <w:rPr>
                <w:noProof/>
                <w:webHidden/>
              </w:rPr>
            </w:r>
            <w:r w:rsidR="00AC096D">
              <w:rPr>
                <w:noProof/>
                <w:webHidden/>
              </w:rPr>
              <w:fldChar w:fldCharType="separate"/>
            </w:r>
            <w:r w:rsidR="00AC096D">
              <w:rPr>
                <w:noProof/>
                <w:webHidden/>
              </w:rPr>
              <w:t>6</w:t>
            </w:r>
            <w:r w:rsidR="00AC096D">
              <w:rPr>
                <w:noProof/>
                <w:webHidden/>
              </w:rPr>
              <w:fldChar w:fldCharType="end"/>
            </w:r>
          </w:hyperlink>
        </w:p>
        <w:p w14:paraId="3C3BF732" w14:textId="1E6FEE04" w:rsidR="00AC096D" w:rsidRDefault="003B6976">
          <w:pPr>
            <w:pStyle w:val="TOC2"/>
            <w:tabs>
              <w:tab w:val="right" w:leader="dot" w:pos="9062"/>
            </w:tabs>
            <w:rPr>
              <w:rFonts w:asciiTheme="minorHAnsi" w:eastAsiaTheme="minorEastAsia" w:hAnsiTheme="minorHAnsi" w:cstheme="minorBidi"/>
              <w:noProof/>
              <w:sz w:val="22"/>
              <w:szCs w:val="22"/>
              <w:lang w:val="en-US" w:eastAsia="en-US"/>
            </w:rPr>
          </w:pPr>
          <w:hyperlink w:anchor="_Toc2521974" w:history="1">
            <w:r w:rsidR="00AC096D" w:rsidRPr="00403495">
              <w:rPr>
                <w:rStyle w:val="Hyperlink"/>
                <w:noProof/>
              </w:rPr>
              <w:t>Presentation of the data</w:t>
            </w:r>
            <w:r w:rsidR="00AC096D">
              <w:rPr>
                <w:noProof/>
                <w:webHidden/>
              </w:rPr>
              <w:tab/>
            </w:r>
            <w:r w:rsidR="00AC096D">
              <w:rPr>
                <w:noProof/>
                <w:webHidden/>
              </w:rPr>
              <w:fldChar w:fldCharType="begin"/>
            </w:r>
            <w:r w:rsidR="00AC096D">
              <w:rPr>
                <w:noProof/>
                <w:webHidden/>
              </w:rPr>
              <w:instrText xml:space="preserve"> PAGEREF _Toc2521974 \h </w:instrText>
            </w:r>
            <w:r w:rsidR="00AC096D">
              <w:rPr>
                <w:noProof/>
                <w:webHidden/>
              </w:rPr>
            </w:r>
            <w:r w:rsidR="00AC096D">
              <w:rPr>
                <w:noProof/>
                <w:webHidden/>
              </w:rPr>
              <w:fldChar w:fldCharType="separate"/>
            </w:r>
            <w:r w:rsidR="00AC096D">
              <w:rPr>
                <w:noProof/>
                <w:webHidden/>
              </w:rPr>
              <w:t>8</w:t>
            </w:r>
            <w:r w:rsidR="00AC096D">
              <w:rPr>
                <w:noProof/>
                <w:webHidden/>
              </w:rPr>
              <w:fldChar w:fldCharType="end"/>
            </w:r>
          </w:hyperlink>
        </w:p>
        <w:p w14:paraId="638705AA" w14:textId="4EE6B060" w:rsidR="00AC096D" w:rsidRDefault="003B6976">
          <w:pPr>
            <w:pStyle w:val="TOC1"/>
            <w:tabs>
              <w:tab w:val="right" w:leader="dot" w:pos="9062"/>
            </w:tabs>
            <w:rPr>
              <w:rFonts w:asciiTheme="minorHAnsi" w:eastAsiaTheme="minorEastAsia" w:hAnsiTheme="minorHAnsi" w:cstheme="minorBidi"/>
              <w:noProof/>
              <w:sz w:val="22"/>
              <w:szCs w:val="22"/>
              <w:lang w:val="en-US" w:eastAsia="en-US"/>
            </w:rPr>
          </w:pPr>
          <w:hyperlink w:anchor="_Toc2521975" w:history="1">
            <w:r w:rsidR="00AC096D" w:rsidRPr="00403495">
              <w:rPr>
                <w:rStyle w:val="Hyperlink"/>
                <w:noProof/>
              </w:rPr>
              <w:t>Sterilization and the “rules of the game” under the gold standard</w:t>
            </w:r>
            <w:r w:rsidR="00AC096D">
              <w:rPr>
                <w:noProof/>
                <w:webHidden/>
              </w:rPr>
              <w:tab/>
            </w:r>
            <w:r w:rsidR="00AC096D">
              <w:rPr>
                <w:noProof/>
                <w:webHidden/>
              </w:rPr>
              <w:fldChar w:fldCharType="begin"/>
            </w:r>
            <w:r w:rsidR="00AC096D">
              <w:rPr>
                <w:noProof/>
                <w:webHidden/>
              </w:rPr>
              <w:instrText xml:space="preserve"> PAGEREF _Toc2521975 \h </w:instrText>
            </w:r>
            <w:r w:rsidR="00AC096D">
              <w:rPr>
                <w:noProof/>
                <w:webHidden/>
              </w:rPr>
            </w:r>
            <w:r w:rsidR="00AC096D">
              <w:rPr>
                <w:noProof/>
                <w:webHidden/>
              </w:rPr>
              <w:fldChar w:fldCharType="separate"/>
            </w:r>
            <w:r w:rsidR="00AC096D">
              <w:rPr>
                <w:noProof/>
                <w:webHidden/>
              </w:rPr>
              <w:t>9</w:t>
            </w:r>
            <w:r w:rsidR="00AC096D">
              <w:rPr>
                <w:noProof/>
                <w:webHidden/>
              </w:rPr>
              <w:fldChar w:fldCharType="end"/>
            </w:r>
          </w:hyperlink>
        </w:p>
        <w:p w14:paraId="4DF1360E" w14:textId="5D41D176" w:rsidR="00AC096D" w:rsidRDefault="003B6976">
          <w:pPr>
            <w:pStyle w:val="TOC2"/>
            <w:tabs>
              <w:tab w:val="right" w:leader="dot" w:pos="9062"/>
            </w:tabs>
            <w:rPr>
              <w:rFonts w:asciiTheme="minorHAnsi" w:eastAsiaTheme="minorEastAsia" w:hAnsiTheme="minorHAnsi" w:cstheme="minorBidi"/>
              <w:noProof/>
              <w:sz w:val="22"/>
              <w:szCs w:val="22"/>
              <w:lang w:val="en-US" w:eastAsia="en-US"/>
            </w:rPr>
          </w:pPr>
          <w:hyperlink w:anchor="_Toc2521976" w:history="1">
            <w:r w:rsidR="00AC096D" w:rsidRPr="00403495">
              <w:rPr>
                <w:rStyle w:val="Hyperlink"/>
                <w:noProof/>
              </w:rPr>
              <w:t>Definition of sterilization</w:t>
            </w:r>
            <w:r w:rsidR="00AC096D">
              <w:rPr>
                <w:noProof/>
                <w:webHidden/>
              </w:rPr>
              <w:tab/>
            </w:r>
            <w:r w:rsidR="00AC096D">
              <w:rPr>
                <w:noProof/>
                <w:webHidden/>
              </w:rPr>
              <w:fldChar w:fldCharType="begin"/>
            </w:r>
            <w:r w:rsidR="00AC096D">
              <w:rPr>
                <w:noProof/>
                <w:webHidden/>
              </w:rPr>
              <w:instrText xml:space="preserve"> PAGEREF _Toc2521976 \h </w:instrText>
            </w:r>
            <w:r w:rsidR="00AC096D">
              <w:rPr>
                <w:noProof/>
                <w:webHidden/>
              </w:rPr>
            </w:r>
            <w:r w:rsidR="00AC096D">
              <w:rPr>
                <w:noProof/>
                <w:webHidden/>
              </w:rPr>
              <w:fldChar w:fldCharType="separate"/>
            </w:r>
            <w:r w:rsidR="00AC096D">
              <w:rPr>
                <w:noProof/>
                <w:webHidden/>
              </w:rPr>
              <w:t>9</w:t>
            </w:r>
            <w:r w:rsidR="00AC096D">
              <w:rPr>
                <w:noProof/>
                <w:webHidden/>
              </w:rPr>
              <w:fldChar w:fldCharType="end"/>
            </w:r>
          </w:hyperlink>
        </w:p>
        <w:p w14:paraId="39B3951F" w14:textId="62064FA5" w:rsidR="00AC096D" w:rsidRDefault="003B6976">
          <w:pPr>
            <w:pStyle w:val="TOC2"/>
            <w:tabs>
              <w:tab w:val="right" w:leader="dot" w:pos="9062"/>
            </w:tabs>
            <w:rPr>
              <w:rFonts w:asciiTheme="minorHAnsi" w:eastAsiaTheme="minorEastAsia" w:hAnsiTheme="minorHAnsi" w:cstheme="minorBidi"/>
              <w:noProof/>
              <w:sz w:val="22"/>
              <w:szCs w:val="22"/>
              <w:lang w:val="en-US" w:eastAsia="en-US"/>
            </w:rPr>
          </w:pPr>
          <w:hyperlink w:anchor="_Toc2521977" w:history="1">
            <w:r w:rsidR="00AC096D" w:rsidRPr="00403495">
              <w:rPr>
                <w:rStyle w:val="Hyperlink"/>
                <w:noProof/>
              </w:rPr>
              <w:t>Identification of sterilization</w:t>
            </w:r>
            <w:r w:rsidR="00AC096D">
              <w:rPr>
                <w:noProof/>
                <w:webHidden/>
              </w:rPr>
              <w:tab/>
            </w:r>
            <w:r w:rsidR="00AC096D">
              <w:rPr>
                <w:noProof/>
                <w:webHidden/>
              </w:rPr>
              <w:fldChar w:fldCharType="begin"/>
            </w:r>
            <w:r w:rsidR="00AC096D">
              <w:rPr>
                <w:noProof/>
                <w:webHidden/>
              </w:rPr>
              <w:instrText xml:space="preserve"> PAGEREF _Toc2521977 \h </w:instrText>
            </w:r>
            <w:r w:rsidR="00AC096D">
              <w:rPr>
                <w:noProof/>
                <w:webHidden/>
              </w:rPr>
            </w:r>
            <w:r w:rsidR="00AC096D">
              <w:rPr>
                <w:noProof/>
                <w:webHidden/>
              </w:rPr>
              <w:fldChar w:fldCharType="separate"/>
            </w:r>
            <w:r w:rsidR="00AC096D">
              <w:rPr>
                <w:noProof/>
                <w:webHidden/>
              </w:rPr>
              <w:t>11</w:t>
            </w:r>
            <w:r w:rsidR="00AC096D">
              <w:rPr>
                <w:noProof/>
                <w:webHidden/>
              </w:rPr>
              <w:fldChar w:fldCharType="end"/>
            </w:r>
          </w:hyperlink>
        </w:p>
        <w:p w14:paraId="396C9E87" w14:textId="6A9FD603" w:rsidR="00AC096D" w:rsidRDefault="003B6976">
          <w:pPr>
            <w:pStyle w:val="TOC1"/>
            <w:tabs>
              <w:tab w:val="right" w:leader="dot" w:pos="9062"/>
            </w:tabs>
            <w:rPr>
              <w:rFonts w:asciiTheme="minorHAnsi" w:eastAsiaTheme="minorEastAsia" w:hAnsiTheme="minorHAnsi" w:cstheme="minorBidi"/>
              <w:noProof/>
              <w:sz w:val="22"/>
              <w:szCs w:val="22"/>
              <w:lang w:val="en-US" w:eastAsia="en-US"/>
            </w:rPr>
          </w:pPr>
          <w:hyperlink w:anchor="_Toc2521978" w:history="1">
            <w:r w:rsidR="00AC096D" w:rsidRPr="00403495">
              <w:rPr>
                <w:rStyle w:val="Hyperlink"/>
                <w:noProof/>
              </w:rPr>
              <w:t>Theory and methods of estimations</w:t>
            </w:r>
            <w:r w:rsidR="00AC096D">
              <w:rPr>
                <w:noProof/>
                <w:webHidden/>
              </w:rPr>
              <w:tab/>
            </w:r>
            <w:r w:rsidR="00AC096D">
              <w:rPr>
                <w:noProof/>
                <w:webHidden/>
              </w:rPr>
              <w:fldChar w:fldCharType="begin"/>
            </w:r>
            <w:r w:rsidR="00AC096D">
              <w:rPr>
                <w:noProof/>
                <w:webHidden/>
              </w:rPr>
              <w:instrText xml:space="preserve"> PAGEREF _Toc2521978 \h </w:instrText>
            </w:r>
            <w:r w:rsidR="00AC096D">
              <w:rPr>
                <w:noProof/>
                <w:webHidden/>
              </w:rPr>
            </w:r>
            <w:r w:rsidR="00AC096D">
              <w:rPr>
                <w:noProof/>
                <w:webHidden/>
              </w:rPr>
              <w:fldChar w:fldCharType="separate"/>
            </w:r>
            <w:r w:rsidR="00AC096D">
              <w:rPr>
                <w:noProof/>
                <w:webHidden/>
              </w:rPr>
              <w:t>13</w:t>
            </w:r>
            <w:r w:rsidR="00AC096D">
              <w:rPr>
                <w:noProof/>
                <w:webHidden/>
              </w:rPr>
              <w:fldChar w:fldCharType="end"/>
            </w:r>
          </w:hyperlink>
        </w:p>
        <w:p w14:paraId="170A79D6" w14:textId="44815FB4" w:rsidR="00AC096D" w:rsidRDefault="003B6976">
          <w:pPr>
            <w:pStyle w:val="TOC2"/>
            <w:tabs>
              <w:tab w:val="right" w:leader="dot" w:pos="9062"/>
            </w:tabs>
            <w:rPr>
              <w:rFonts w:asciiTheme="minorHAnsi" w:eastAsiaTheme="minorEastAsia" w:hAnsiTheme="minorHAnsi" w:cstheme="minorBidi"/>
              <w:noProof/>
              <w:sz w:val="22"/>
              <w:szCs w:val="22"/>
              <w:lang w:val="en-US" w:eastAsia="en-US"/>
            </w:rPr>
          </w:pPr>
          <w:hyperlink w:anchor="_Toc2521979" w:history="1">
            <w:r w:rsidR="00AC096D" w:rsidRPr="00403495">
              <w:rPr>
                <w:rStyle w:val="Hyperlink"/>
                <w:noProof/>
              </w:rPr>
              <w:t>Theoretical predictions</w:t>
            </w:r>
            <w:r w:rsidR="00AC096D">
              <w:rPr>
                <w:noProof/>
                <w:webHidden/>
              </w:rPr>
              <w:tab/>
            </w:r>
            <w:r w:rsidR="00AC096D">
              <w:rPr>
                <w:noProof/>
                <w:webHidden/>
              </w:rPr>
              <w:fldChar w:fldCharType="begin"/>
            </w:r>
            <w:r w:rsidR="00AC096D">
              <w:rPr>
                <w:noProof/>
                <w:webHidden/>
              </w:rPr>
              <w:instrText xml:space="preserve"> PAGEREF _Toc2521979 \h </w:instrText>
            </w:r>
            <w:r w:rsidR="00AC096D">
              <w:rPr>
                <w:noProof/>
                <w:webHidden/>
              </w:rPr>
            </w:r>
            <w:r w:rsidR="00AC096D">
              <w:rPr>
                <w:noProof/>
                <w:webHidden/>
              </w:rPr>
              <w:fldChar w:fldCharType="separate"/>
            </w:r>
            <w:r w:rsidR="00AC096D">
              <w:rPr>
                <w:noProof/>
                <w:webHidden/>
              </w:rPr>
              <w:t>13</w:t>
            </w:r>
            <w:r w:rsidR="00AC096D">
              <w:rPr>
                <w:noProof/>
                <w:webHidden/>
              </w:rPr>
              <w:fldChar w:fldCharType="end"/>
            </w:r>
          </w:hyperlink>
        </w:p>
        <w:p w14:paraId="07F0C396" w14:textId="476950F7" w:rsidR="00AC096D" w:rsidRDefault="003B6976">
          <w:pPr>
            <w:pStyle w:val="TOC2"/>
            <w:tabs>
              <w:tab w:val="right" w:leader="dot" w:pos="9062"/>
            </w:tabs>
            <w:rPr>
              <w:rFonts w:asciiTheme="minorHAnsi" w:eastAsiaTheme="minorEastAsia" w:hAnsiTheme="minorHAnsi" w:cstheme="minorBidi"/>
              <w:noProof/>
              <w:sz w:val="22"/>
              <w:szCs w:val="22"/>
              <w:lang w:val="en-US" w:eastAsia="en-US"/>
            </w:rPr>
          </w:pPr>
          <w:hyperlink w:anchor="_Toc2521980" w:history="1">
            <w:r w:rsidR="00AC096D" w:rsidRPr="00403495">
              <w:rPr>
                <w:rStyle w:val="Hyperlink"/>
                <w:noProof/>
              </w:rPr>
              <w:t>Methods of estimation</w:t>
            </w:r>
            <w:r w:rsidR="00AC096D">
              <w:rPr>
                <w:noProof/>
                <w:webHidden/>
              </w:rPr>
              <w:tab/>
            </w:r>
            <w:r w:rsidR="00AC096D">
              <w:rPr>
                <w:noProof/>
                <w:webHidden/>
              </w:rPr>
              <w:fldChar w:fldCharType="begin"/>
            </w:r>
            <w:r w:rsidR="00AC096D">
              <w:rPr>
                <w:noProof/>
                <w:webHidden/>
              </w:rPr>
              <w:instrText xml:space="preserve"> PAGEREF _Toc2521980 \h </w:instrText>
            </w:r>
            <w:r w:rsidR="00AC096D">
              <w:rPr>
                <w:noProof/>
                <w:webHidden/>
              </w:rPr>
            </w:r>
            <w:r w:rsidR="00AC096D">
              <w:rPr>
                <w:noProof/>
                <w:webHidden/>
              </w:rPr>
              <w:fldChar w:fldCharType="separate"/>
            </w:r>
            <w:r w:rsidR="00AC096D">
              <w:rPr>
                <w:noProof/>
                <w:webHidden/>
              </w:rPr>
              <w:t>15</w:t>
            </w:r>
            <w:r w:rsidR="00AC096D">
              <w:rPr>
                <w:noProof/>
                <w:webHidden/>
              </w:rPr>
              <w:fldChar w:fldCharType="end"/>
            </w:r>
          </w:hyperlink>
        </w:p>
        <w:p w14:paraId="3A8C17DA" w14:textId="052597F3" w:rsidR="00AC096D" w:rsidRDefault="003B6976">
          <w:pPr>
            <w:pStyle w:val="TOC2"/>
            <w:tabs>
              <w:tab w:val="right" w:leader="dot" w:pos="9062"/>
            </w:tabs>
            <w:rPr>
              <w:rFonts w:asciiTheme="minorHAnsi" w:eastAsiaTheme="minorEastAsia" w:hAnsiTheme="minorHAnsi" w:cstheme="minorBidi"/>
              <w:noProof/>
              <w:sz w:val="22"/>
              <w:szCs w:val="22"/>
              <w:lang w:val="en-US" w:eastAsia="en-US"/>
            </w:rPr>
          </w:pPr>
          <w:hyperlink w:anchor="_Toc2521981" w:history="1">
            <w:r w:rsidR="00AC096D" w:rsidRPr="00403495">
              <w:rPr>
                <w:rStyle w:val="Hyperlink"/>
                <w:noProof/>
              </w:rPr>
              <w:t>Groups of countries</w:t>
            </w:r>
            <w:r w:rsidR="00AC096D">
              <w:rPr>
                <w:noProof/>
                <w:webHidden/>
              </w:rPr>
              <w:tab/>
            </w:r>
            <w:r w:rsidR="00AC096D">
              <w:rPr>
                <w:noProof/>
                <w:webHidden/>
              </w:rPr>
              <w:fldChar w:fldCharType="begin"/>
            </w:r>
            <w:r w:rsidR="00AC096D">
              <w:rPr>
                <w:noProof/>
                <w:webHidden/>
              </w:rPr>
              <w:instrText xml:space="preserve"> PAGEREF _Toc2521981 \h </w:instrText>
            </w:r>
            <w:r w:rsidR="00AC096D">
              <w:rPr>
                <w:noProof/>
                <w:webHidden/>
              </w:rPr>
            </w:r>
            <w:r w:rsidR="00AC096D">
              <w:rPr>
                <w:noProof/>
                <w:webHidden/>
              </w:rPr>
              <w:fldChar w:fldCharType="separate"/>
            </w:r>
            <w:r w:rsidR="00AC096D">
              <w:rPr>
                <w:noProof/>
                <w:webHidden/>
              </w:rPr>
              <w:t>17</w:t>
            </w:r>
            <w:r w:rsidR="00AC096D">
              <w:rPr>
                <w:noProof/>
                <w:webHidden/>
              </w:rPr>
              <w:fldChar w:fldCharType="end"/>
            </w:r>
          </w:hyperlink>
        </w:p>
        <w:p w14:paraId="2B7BCF2D" w14:textId="199DFE11" w:rsidR="00AC096D" w:rsidRDefault="003B6976">
          <w:pPr>
            <w:pStyle w:val="TOC1"/>
            <w:tabs>
              <w:tab w:val="right" w:leader="dot" w:pos="9062"/>
            </w:tabs>
            <w:rPr>
              <w:rFonts w:asciiTheme="minorHAnsi" w:eastAsiaTheme="minorEastAsia" w:hAnsiTheme="minorHAnsi" w:cstheme="minorBidi"/>
              <w:noProof/>
              <w:sz w:val="22"/>
              <w:szCs w:val="22"/>
              <w:lang w:val="en-US" w:eastAsia="en-US"/>
            </w:rPr>
          </w:pPr>
          <w:hyperlink w:anchor="_Toc2521982" w:history="1">
            <w:r w:rsidR="00AC096D" w:rsidRPr="00403495">
              <w:rPr>
                <w:rStyle w:val="Hyperlink"/>
                <w:noProof/>
              </w:rPr>
              <w:t>Results</w:t>
            </w:r>
            <w:r w:rsidR="00AC096D">
              <w:rPr>
                <w:noProof/>
                <w:webHidden/>
              </w:rPr>
              <w:tab/>
            </w:r>
            <w:r w:rsidR="00AC096D">
              <w:rPr>
                <w:noProof/>
                <w:webHidden/>
              </w:rPr>
              <w:fldChar w:fldCharType="begin"/>
            </w:r>
            <w:r w:rsidR="00AC096D">
              <w:rPr>
                <w:noProof/>
                <w:webHidden/>
              </w:rPr>
              <w:instrText xml:space="preserve"> PAGEREF _Toc2521982 \h </w:instrText>
            </w:r>
            <w:r w:rsidR="00AC096D">
              <w:rPr>
                <w:noProof/>
                <w:webHidden/>
              </w:rPr>
            </w:r>
            <w:r w:rsidR="00AC096D">
              <w:rPr>
                <w:noProof/>
                <w:webHidden/>
              </w:rPr>
              <w:fldChar w:fldCharType="separate"/>
            </w:r>
            <w:r w:rsidR="00AC096D">
              <w:rPr>
                <w:noProof/>
                <w:webHidden/>
              </w:rPr>
              <w:t>18</w:t>
            </w:r>
            <w:r w:rsidR="00AC096D">
              <w:rPr>
                <w:noProof/>
                <w:webHidden/>
              </w:rPr>
              <w:fldChar w:fldCharType="end"/>
            </w:r>
          </w:hyperlink>
        </w:p>
        <w:p w14:paraId="47C7C80A" w14:textId="7F110FFF" w:rsidR="00AC096D" w:rsidRDefault="003B6976">
          <w:pPr>
            <w:pStyle w:val="TOC2"/>
            <w:tabs>
              <w:tab w:val="right" w:leader="dot" w:pos="9062"/>
            </w:tabs>
            <w:rPr>
              <w:rFonts w:asciiTheme="minorHAnsi" w:eastAsiaTheme="minorEastAsia" w:hAnsiTheme="minorHAnsi" w:cstheme="minorBidi"/>
              <w:noProof/>
              <w:sz w:val="22"/>
              <w:szCs w:val="22"/>
              <w:lang w:val="en-US" w:eastAsia="en-US"/>
            </w:rPr>
          </w:pPr>
          <w:hyperlink w:anchor="_Toc2521983" w:history="1">
            <w:r w:rsidR="00AC096D" w:rsidRPr="00403495">
              <w:rPr>
                <w:rStyle w:val="Hyperlink"/>
                <w:noProof/>
              </w:rPr>
              <w:t>Core countries: sterilization of gold outflows</w:t>
            </w:r>
            <w:r w:rsidR="00AC096D">
              <w:rPr>
                <w:noProof/>
                <w:webHidden/>
              </w:rPr>
              <w:tab/>
            </w:r>
            <w:r w:rsidR="00AC096D">
              <w:rPr>
                <w:noProof/>
                <w:webHidden/>
              </w:rPr>
              <w:fldChar w:fldCharType="begin"/>
            </w:r>
            <w:r w:rsidR="00AC096D">
              <w:rPr>
                <w:noProof/>
                <w:webHidden/>
              </w:rPr>
              <w:instrText xml:space="preserve"> PAGEREF _Toc2521983 \h </w:instrText>
            </w:r>
            <w:r w:rsidR="00AC096D">
              <w:rPr>
                <w:noProof/>
                <w:webHidden/>
              </w:rPr>
            </w:r>
            <w:r w:rsidR="00AC096D">
              <w:rPr>
                <w:noProof/>
                <w:webHidden/>
              </w:rPr>
              <w:fldChar w:fldCharType="separate"/>
            </w:r>
            <w:r w:rsidR="00AC096D">
              <w:rPr>
                <w:noProof/>
                <w:webHidden/>
              </w:rPr>
              <w:t>19</w:t>
            </w:r>
            <w:r w:rsidR="00AC096D">
              <w:rPr>
                <w:noProof/>
                <w:webHidden/>
              </w:rPr>
              <w:fldChar w:fldCharType="end"/>
            </w:r>
          </w:hyperlink>
        </w:p>
        <w:p w14:paraId="5652078A" w14:textId="22BB9F8D" w:rsidR="00AC096D" w:rsidRDefault="003B6976">
          <w:pPr>
            <w:pStyle w:val="TOC2"/>
            <w:tabs>
              <w:tab w:val="right" w:leader="dot" w:pos="9062"/>
            </w:tabs>
            <w:rPr>
              <w:rFonts w:asciiTheme="minorHAnsi" w:eastAsiaTheme="minorEastAsia" w:hAnsiTheme="minorHAnsi" w:cstheme="minorBidi"/>
              <w:noProof/>
              <w:sz w:val="22"/>
              <w:szCs w:val="22"/>
              <w:lang w:val="en-US" w:eastAsia="en-US"/>
            </w:rPr>
          </w:pPr>
          <w:hyperlink w:anchor="_Toc2521984" w:history="1">
            <w:r w:rsidR="00AC096D" w:rsidRPr="00403495">
              <w:rPr>
                <w:rStyle w:val="Hyperlink"/>
                <w:noProof/>
              </w:rPr>
              <w:t>The gold standard periphery: imperfect convertibility</w:t>
            </w:r>
            <w:r w:rsidR="00AC096D">
              <w:rPr>
                <w:noProof/>
                <w:webHidden/>
              </w:rPr>
              <w:tab/>
            </w:r>
            <w:r w:rsidR="00AC096D">
              <w:rPr>
                <w:noProof/>
                <w:webHidden/>
              </w:rPr>
              <w:fldChar w:fldCharType="begin"/>
            </w:r>
            <w:r w:rsidR="00AC096D">
              <w:rPr>
                <w:noProof/>
                <w:webHidden/>
              </w:rPr>
              <w:instrText xml:space="preserve"> PAGEREF _Toc2521984 \h </w:instrText>
            </w:r>
            <w:r w:rsidR="00AC096D">
              <w:rPr>
                <w:noProof/>
                <w:webHidden/>
              </w:rPr>
            </w:r>
            <w:r w:rsidR="00AC096D">
              <w:rPr>
                <w:noProof/>
                <w:webHidden/>
              </w:rPr>
              <w:fldChar w:fldCharType="separate"/>
            </w:r>
            <w:r w:rsidR="00AC096D">
              <w:rPr>
                <w:noProof/>
                <w:webHidden/>
              </w:rPr>
              <w:t>20</w:t>
            </w:r>
            <w:r w:rsidR="00AC096D">
              <w:rPr>
                <w:noProof/>
                <w:webHidden/>
              </w:rPr>
              <w:fldChar w:fldCharType="end"/>
            </w:r>
          </w:hyperlink>
        </w:p>
        <w:p w14:paraId="23F82628" w14:textId="5A8D2AD9" w:rsidR="00AC096D" w:rsidRDefault="003B6976">
          <w:pPr>
            <w:pStyle w:val="TOC2"/>
            <w:tabs>
              <w:tab w:val="right" w:leader="dot" w:pos="9062"/>
            </w:tabs>
            <w:rPr>
              <w:rFonts w:asciiTheme="minorHAnsi" w:eastAsiaTheme="minorEastAsia" w:hAnsiTheme="minorHAnsi" w:cstheme="minorBidi"/>
              <w:noProof/>
              <w:sz w:val="22"/>
              <w:szCs w:val="22"/>
              <w:lang w:val="en-US" w:eastAsia="en-US"/>
            </w:rPr>
          </w:pPr>
          <w:hyperlink w:anchor="_Toc2521985" w:history="1">
            <w:r w:rsidR="00AC096D" w:rsidRPr="00403495">
              <w:rPr>
                <w:rStyle w:val="Hyperlink"/>
                <w:noProof/>
              </w:rPr>
              <w:t>Floating</w:t>
            </w:r>
            <w:r w:rsidR="00AC096D">
              <w:rPr>
                <w:noProof/>
                <w:webHidden/>
              </w:rPr>
              <w:tab/>
            </w:r>
            <w:r w:rsidR="00AC096D">
              <w:rPr>
                <w:noProof/>
                <w:webHidden/>
              </w:rPr>
              <w:fldChar w:fldCharType="begin"/>
            </w:r>
            <w:r w:rsidR="00AC096D">
              <w:rPr>
                <w:noProof/>
                <w:webHidden/>
              </w:rPr>
              <w:instrText xml:space="preserve"> PAGEREF _Toc2521985 \h </w:instrText>
            </w:r>
            <w:r w:rsidR="00AC096D">
              <w:rPr>
                <w:noProof/>
                <w:webHidden/>
              </w:rPr>
            </w:r>
            <w:r w:rsidR="00AC096D">
              <w:rPr>
                <w:noProof/>
                <w:webHidden/>
              </w:rPr>
              <w:fldChar w:fldCharType="separate"/>
            </w:r>
            <w:r w:rsidR="00AC096D">
              <w:rPr>
                <w:noProof/>
                <w:webHidden/>
              </w:rPr>
              <w:t>22</w:t>
            </w:r>
            <w:r w:rsidR="00AC096D">
              <w:rPr>
                <w:noProof/>
                <w:webHidden/>
              </w:rPr>
              <w:fldChar w:fldCharType="end"/>
            </w:r>
          </w:hyperlink>
        </w:p>
        <w:p w14:paraId="01DC8B07" w14:textId="0D751590" w:rsidR="00AC096D" w:rsidRDefault="003B6976">
          <w:pPr>
            <w:pStyle w:val="TOC2"/>
            <w:tabs>
              <w:tab w:val="right" w:leader="dot" w:pos="9062"/>
            </w:tabs>
            <w:rPr>
              <w:rFonts w:asciiTheme="minorHAnsi" w:eastAsiaTheme="minorEastAsia" w:hAnsiTheme="minorHAnsi" w:cstheme="minorBidi"/>
              <w:noProof/>
              <w:sz w:val="22"/>
              <w:szCs w:val="22"/>
              <w:lang w:val="en-US" w:eastAsia="en-US"/>
            </w:rPr>
          </w:pPr>
          <w:hyperlink w:anchor="_Toc2521986" w:history="1">
            <w:r w:rsidR="00AC096D" w:rsidRPr="00403495">
              <w:rPr>
                <w:rStyle w:val="Hyperlink"/>
                <w:noProof/>
              </w:rPr>
              <w:t>The United States of America</w:t>
            </w:r>
            <w:r w:rsidR="00AC096D">
              <w:rPr>
                <w:noProof/>
                <w:webHidden/>
              </w:rPr>
              <w:tab/>
            </w:r>
            <w:r w:rsidR="00AC096D">
              <w:rPr>
                <w:noProof/>
                <w:webHidden/>
              </w:rPr>
              <w:fldChar w:fldCharType="begin"/>
            </w:r>
            <w:r w:rsidR="00AC096D">
              <w:rPr>
                <w:noProof/>
                <w:webHidden/>
              </w:rPr>
              <w:instrText xml:space="preserve"> PAGEREF _Toc2521986 \h </w:instrText>
            </w:r>
            <w:r w:rsidR="00AC096D">
              <w:rPr>
                <w:noProof/>
                <w:webHidden/>
              </w:rPr>
            </w:r>
            <w:r w:rsidR="00AC096D">
              <w:rPr>
                <w:noProof/>
                <w:webHidden/>
              </w:rPr>
              <w:fldChar w:fldCharType="separate"/>
            </w:r>
            <w:r w:rsidR="00AC096D">
              <w:rPr>
                <w:noProof/>
                <w:webHidden/>
              </w:rPr>
              <w:t>23</w:t>
            </w:r>
            <w:r w:rsidR="00AC096D">
              <w:rPr>
                <w:noProof/>
                <w:webHidden/>
              </w:rPr>
              <w:fldChar w:fldCharType="end"/>
            </w:r>
          </w:hyperlink>
        </w:p>
        <w:p w14:paraId="04CE2B64" w14:textId="5DD0084C" w:rsidR="00AC096D" w:rsidRDefault="003B6976">
          <w:pPr>
            <w:pStyle w:val="TOC1"/>
            <w:tabs>
              <w:tab w:val="right" w:leader="dot" w:pos="9062"/>
            </w:tabs>
            <w:rPr>
              <w:rFonts w:asciiTheme="minorHAnsi" w:eastAsiaTheme="minorEastAsia" w:hAnsiTheme="minorHAnsi" w:cstheme="minorBidi"/>
              <w:noProof/>
              <w:sz w:val="22"/>
              <w:szCs w:val="22"/>
              <w:lang w:val="en-US" w:eastAsia="en-US"/>
            </w:rPr>
          </w:pPr>
          <w:hyperlink w:anchor="_Toc2521987" w:history="1">
            <w:r w:rsidR="00AC096D" w:rsidRPr="00403495">
              <w:rPr>
                <w:rStyle w:val="Hyperlink"/>
                <w:rFonts w:ascii="Garamond" w:hAnsi="Garamond"/>
                <w:noProof/>
              </w:rPr>
              <w:t>Discussion of endogeneity and robustness checks</w:t>
            </w:r>
            <w:r w:rsidR="00AC096D">
              <w:rPr>
                <w:noProof/>
                <w:webHidden/>
              </w:rPr>
              <w:tab/>
            </w:r>
            <w:r w:rsidR="00AC096D">
              <w:rPr>
                <w:noProof/>
                <w:webHidden/>
              </w:rPr>
              <w:fldChar w:fldCharType="begin"/>
            </w:r>
            <w:r w:rsidR="00AC096D">
              <w:rPr>
                <w:noProof/>
                <w:webHidden/>
              </w:rPr>
              <w:instrText xml:space="preserve"> PAGEREF _Toc2521987 \h </w:instrText>
            </w:r>
            <w:r w:rsidR="00AC096D">
              <w:rPr>
                <w:noProof/>
                <w:webHidden/>
              </w:rPr>
            </w:r>
            <w:r w:rsidR="00AC096D">
              <w:rPr>
                <w:noProof/>
                <w:webHidden/>
              </w:rPr>
              <w:fldChar w:fldCharType="separate"/>
            </w:r>
            <w:r w:rsidR="00AC096D">
              <w:rPr>
                <w:noProof/>
                <w:webHidden/>
              </w:rPr>
              <w:t>25</w:t>
            </w:r>
            <w:r w:rsidR="00AC096D">
              <w:rPr>
                <w:noProof/>
                <w:webHidden/>
              </w:rPr>
              <w:fldChar w:fldCharType="end"/>
            </w:r>
          </w:hyperlink>
        </w:p>
        <w:p w14:paraId="7463565F" w14:textId="2BE160E7" w:rsidR="00AC096D" w:rsidRDefault="003B6976">
          <w:pPr>
            <w:pStyle w:val="TOC1"/>
            <w:tabs>
              <w:tab w:val="right" w:leader="dot" w:pos="9062"/>
            </w:tabs>
            <w:rPr>
              <w:rFonts w:asciiTheme="minorHAnsi" w:eastAsiaTheme="minorEastAsia" w:hAnsiTheme="minorHAnsi" w:cstheme="minorBidi"/>
              <w:noProof/>
              <w:sz w:val="22"/>
              <w:szCs w:val="22"/>
              <w:lang w:val="en-US" w:eastAsia="en-US"/>
            </w:rPr>
          </w:pPr>
          <w:hyperlink w:anchor="_Toc2521988" w:history="1">
            <w:r w:rsidR="00AC096D" w:rsidRPr="00403495">
              <w:rPr>
                <w:rStyle w:val="Hyperlink"/>
                <w:noProof/>
              </w:rPr>
              <w:t>Conclusions</w:t>
            </w:r>
            <w:r w:rsidR="00AC096D">
              <w:rPr>
                <w:noProof/>
                <w:webHidden/>
              </w:rPr>
              <w:tab/>
            </w:r>
            <w:r w:rsidR="00AC096D">
              <w:rPr>
                <w:noProof/>
                <w:webHidden/>
              </w:rPr>
              <w:fldChar w:fldCharType="begin"/>
            </w:r>
            <w:r w:rsidR="00AC096D">
              <w:rPr>
                <w:noProof/>
                <w:webHidden/>
              </w:rPr>
              <w:instrText xml:space="preserve"> PAGEREF _Toc2521988 \h </w:instrText>
            </w:r>
            <w:r w:rsidR="00AC096D">
              <w:rPr>
                <w:noProof/>
                <w:webHidden/>
              </w:rPr>
            </w:r>
            <w:r w:rsidR="00AC096D">
              <w:rPr>
                <w:noProof/>
                <w:webHidden/>
              </w:rPr>
              <w:fldChar w:fldCharType="separate"/>
            </w:r>
            <w:r w:rsidR="00AC096D">
              <w:rPr>
                <w:noProof/>
                <w:webHidden/>
              </w:rPr>
              <w:t>29</w:t>
            </w:r>
            <w:r w:rsidR="00AC096D">
              <w:rPr>
                <w:noProof/>
                <w:webHidden/>
              </w:rPr>
              <w:fldChar w:fldCharType="end"/>
            </w:r>
          </w:hyperlink>
        </w:p>
        <w:p w14:paraId="21F57071" w14:textId="533B8A0C" w:rsidR="00AC096D" w:rsidRDefault="003B6976">
          <w:pPr>
            <w:pStyle w:val="TOC1"/>
            <w:tabs>
              <w:tab w:val="right" w:leader="dot" w:pos="9062"/>
            </w:tabs>
            <w:rPr>
              <w:rFonts w:asciiTheme="minorHAnsi" w:eastAsiaTheme="minorEastAsia" w:hAnsiTheme="minorHAnsi" w:cstheme="minorBidi"/>
              <w:noProof/>
              <w:sz w:val="22"/>
              <w:szCs w:val="22"/>
              <w:lang w:val="en-US" w:eastAsia="en-US"/>
            </w:rPr>
          </w:pPr>
          <w:hyperlink w:anchor="_Toc2521989" w:history="1">
            <w:r w:rsidR="00AC096D" w:rsidRPr="00403495">
              <w:rPr>
                <w:rStyle w:val="Hyperlink"/>
                <w:noProof/>
              </w:rPr>
              <w:t>DATA APPENDIX</w:t>
            </w:r>
            <w:r w:rsidR="00AC096D">
              <w:rPr>
                <w:noProof/>
                <w:webHidden/>
              </w:rPr>
              <w:tab/>
            </w:r>
            <w:r w:rsidR="00AC096D">
              <w:rPr>
                <w:noProof/>
                <w:webHidden/>
              </w:rPr>
              <w:fldChar w:fldCharType="begin"/>
            </w:r>
            <w:r w:rsidR="00AC096D">
              <w:rPr>
                <w:noProof/>
                <w:webHidden/>
              </w:rPr>
              <w:instrText xml:space="preserve"> PAGEREF _Toc2521989 \h </w:instrText>
            </w:r>
            <w:r w:rsidR="00AC096D">
              <w:rPr>
                <w:noProof/>
                <w:webHidden/>
              </w:rPr>
            </w:r>
            <w:r w:rsidR="00AC096D">
              <w:rPr>
                <w:noProof/>
                <w:webHidden/>
              </w:rPr>
              <w:fldChar w:fldCharType="separate"/>
            </w:r>
            <w:r w:rsidR="00AC096D">
              <w:rPr>
                <w:noProof/>
                <w:webHidden/>
              </w:rPr>
              <w:t>31</w:t>
            </w:r>
            <w:r w:rsidR="00AC096D">
              <w:rPr>
                <w:noProof/>
                <w:webHidden/>
              </w:rPr>
              <w:fldChar w:fldCharType="end"/>
            </w:r>
          </w:hyperlink>
        </w:p>
        <w:p w14:paraId="5FE76602" w14:textId="344B0C80" w:rsidR="00AC096D" w:rsidRDefault="003B6976">
          <w:pPr>
            <w:pStyle w:val="TOC2"/>
            <w:tabs>
              <w:tab w:val="right" w:leader="dot" w:pos="9062"/>
            </w:tabs>
            <w:rPr>
              <w:rFonts w:asciiTheme="minorHAnsi" w:eastAsiaTheme="minorEastAsia" w:hAnsiTheme="minorHAnsi" w:cstheme="minorBidi"/>
              <w:noProof/>
              <w:sz w:val="22"/>
              <w:szCs w:val="22"/>
              <w:lang w:val="en-US" w:eastAsia="en-US"/>
            </w:rPr>
          </w:pPr>
          <w:hyperlink w:anchor="_Toc2521990" w:history="1">
            <w:r w:rsidR="00AC096D" w:rsidRPr="00403495">
              <w:rPr>
                <w:rStyle w:val="Hyperlink"/>
                <w:noProof/>
              </w:rPr>
              <w:t>Table A1 Summary statistics</w:t>
            </w:r>
            <w:r w:rsidR="00AC096D">
              <w:rPr>
                <w:noProof/>
                <w:webHidden/>
              </w:rPr>
              <w:tab/>
            </w:r>
            <w:r w:rsidR="00AC096D">
              <w:rPr>
                <w:noProof/>
                <w:webHidden/>
              </w:rPr>
              <w:fldChar w:fldCharType="begin"/>
            </w:r>
            <w:r w:rsidR="00AC096D">
              <w:rPr>
                <w:noProof/>
                <w:webHidden/>
              </w:rPr>
              <w:instrText xml:space="preserve"> PAGEREF _Toc2521990 \h </w:instrText>
            </w:r>
            <w:r w:rsidR="00AC096D">
              <w:rPr>
                <w:noProof/>
                <w:webHidden/>
              </w:rPr>
            </w:r>
            <w:r w:rsidR="00AC096D">
              <w:rPr>
                <w:noProof/>
                <w:webHidden/>
              </w:rPr>
              <w:fldChar w:fldCharType="separate"/>
            </w:r>
            <w:r w:rsidR="00AC096D">
              <w:rPr>
                <w:noProof/>
                <w:webHidden/>
              </w:rPr>
              <w:t>36</w:t>
            </w:r>
            <w:r w:rsidR="00AC096D">
              <w:rPr>
                <w:noProof/>
                <w:webHidden/>
              </w:rPr>
              <w:fldChar w:fldCharType="end"/>
            </w:r>
          </w:hyperlink>
        </w:p>
        <w:p w14:paraId="4B413517" w14:textId="49D38C3C" w:rsidR="00AC096D" w:rsidRDefault="003B6976">
          <w:pPr>
            <w:pStyle w:val="TOC1"/>
            <w:tabs>
              <w:tab w:val="right" w:leader="dot" w:pos="9062"/>
            </w:tabs>
            <w:rPr>
              <w:rFonts w:asciiTheme="minorHAnsi" w:eastAsiaTheme="minorEastAsia" w:hAnsiTheme="minorHAnsi" w:cstheme="minorBidi"/>
              <w:noProof/>
              <w:sz w:val="22"/>
              <w:szCs w:val="22"/>
              <w:lang w:val="en-US" w:eastAsia="en-US"/>
            </w:rPr>
          </w:pPr>
          <w:hyperlink w:anchor="_Toc2521991" w:history="1">
            <w:r w:rsidR="00AC096D" w:rsidRPr="00403495">
              <w:rPr>
                <w:rStyle w:val="Hyperlink"/>
                <w:noProof/>
              </w:rPr>
              <w:t>References</w:t>
            </w:r>
            <w:r w:rsidR="00AC096D">
              <w:rPr>
                <w:noProof/>
                <w:webHidden/>
              </w:rPr>
              <w:tab/>
            </w:r>
            <w:r w:rsidR="00AC096D">
              <w:rPr>
                <w:noProof/>
                <w:webHidden/>
              </w:rPr>
              <w:fldChar w:fldCharType="begin"/>
            </w:r>
            <w:r w:rsidR="00AC096D">
              <w:rPr>
                <w:noProof/>
                <w:webHidden/>
              </w:rPr>
              <w:instrText xml:space="preserve"> PAGEREF _Toc2521991 \h </w:instrText>
            </w:r>
            <w:r w:rsidR="00AC096D">
              <w:rPr>
                <w:noProof/>
                <w:webHidden/>
              </w:rPr>
            </w:r>
            <w:r w:rsidR="00AC096D">
              <w:rPr>
                <w:noProof/>
                <w:webHidden/>
              </w:rPr>
              <w:fldChar w:fldCharType="separate"/>
            </w:r>
            <w:r w:rsidR="00AC096D">
              <w:rPr>
                <w:noProof/>
                <w:webHidden/>
              </w:rPr>
              <w:t>37</w:t>
            </w:r>
            <w:r w:rsidR="00AC096D">
              <w:rPr>
                <w:noProof/>
                <w:webHidden/>
              </w:rPr>
              <w:fldChar w:fldCharType="end"/>
            </w:r>
          </w:hyperlink>
        </w:p>
        <w:p w14:paraId="1F9E8F72" w14:textId="483EB428" w:rsidR="00AC096D" w:rsidRDefault="003B6976">
          <w:pPr>
            <w:pStyle w:val="TOC1"/>
            <w:tabs>
              <w:tab w:val="right" w:leader="dot" w:pos="9062"/>
            </w:tabs>
            <w:rPr>
              <w:rFonts w:asciiTheme="minorHAnsi" w:eastAsiaTheme="minorEastAsia" w:hAnsiTheme="minorHAnsi" w:cstheme="minorBidi"/>
              <w:noProof/>
              <w:sz w:val="22"/>
              <w:szCs w:val="22"/>
              <w:lang w:val="en-US" w:eastAsia="en-US"/>
            </w:rPr>
          </w:pPr>
          <w:hyperlink w:anchor="_Toc2521992" w:history="1">
            <w:r w:rsidR="00AC096D" w:rsidRPr="00403495">
              <w:rPr>
                <w:rStyle w:val="Hyperlink"/>
                <w:noProof/>
              </w:rPr>
              <w:t>APPENDIX</w:t>
            </w:r>
            <w:r w:rsidR="00AC096D">
              <w:rPr>
                <w:noProof/>
                <w:webHidden/>
              </w:rPr>
              <w:tab/>
            </w:r>
            <w:r w:rsidR="00AC096D">
              <w:rPr>
                <w:noProof/>
                <w:webHidden/>
              </w:rPr>
              <w:fldChar w:fldCharType="begin"/>
            </w:r>
            <w:r w:rsidR="00AC096D">
              <w:rPr>
                <w:noProof/>
                <w:webHidden/>
              </w:rPr>
              <w:instrText xml:space="preserve"> PAGEREF _Toc2521992 \h </w:instrText>
            </w:r>
            <w:r w:rsidR="00AC096D">
              <w:rPr>
                <w:noProof/>
                <w:webHidden/>
              </w:rPr>
            </w:r>
            <w:r w:rsidR="00AC096D">
              <w:rPr>
                <w:noProof/>
                <w:webHidden/>
              </w:rPr>
              <w:fldChar w:fldCharType="separate"/>
            </w:r>
            <w:r w:rsidR="00AC096D">
              <w:rPr>
                <w:noProof/>
                <w:webHidden/>
              </w:rPr>
              <w:t>44</w:t>
            </w:r>
            <w:r w:rsidR="00AC096D">
              <w:rPr>
                <w:noProof/>
                <w:webHidden/>
              </w:rPr>
              <w:fldChar w:fldCharType="end"/>
            </w:r>
          </w:hyperlink>
        </w:p>
        <w:p w14:paraId="59E807A5" w14:textId="13A7FAEC" w:rsidR="006C7E82" w:rsidRDefault="006C7E82">
          <w:r>
            <w:rPr>
              <w:b/>
              <w:bCs/>
              <w:noProof/>
            </w:rPr>
            <w:fldChar w:fldCharType="end"/>
          </w:r>
        </w:p>
      </w:sdtContent>
    </w:sdt>
    <w:p w14:paraId="4059399E" w14:textId="77777777" w:rsidR="006C7E82" w:rsidRDefault="006C7E82" w:rsidP="008313AD">
      <w:pPr>
        <w:pStyle w:val="Heading1"/>
      </w:pPr>
    </w:p>
    <w:p w14:paraId="2C904A2B" w14:textId="77777777" w:rsidR="006C7E82" w:rsidRDefault="006C7E82" w:rsidP="008313AD">
      <w:pPr>
        <w:pStyle w:val="Heading1"/>
      </w:pPr>
    </w:p>
    <w:p w14:paraId="71FD75AD" w14:textId="77777777" w:rsidR="006C7E82" w:rsidRDefault="006C7E82" w:rsidP="008313AD">
      <w:pPr>
        <w:pStyle w:val="Heading1"/>
      </w:pPr>
    </w:p>
    <w:p w14:paraId="4D778225" w14:textId="24552872" w:rsidR="00D04183" w:rsidRPr="008313AD" w:rsidRDefault="00D04183" w:rsidP="008313AD">
      <w:pPr>
        <w:pStyle w:val="Heading1"/>
      </w:pPr>
      <w:bookmarkStart w:id="1" w:name="_Toc2521971"/>
      <w:r w:rsidRPr="008313AD">
        <w:t>Introduction</w:t>
      </w:r>
      <w:bookmarkEnd w:id="1"/>
    </w:p>
    <w:p w14:paraId="7CC8A3B3" w14:textId="77777777" w:rsidR="00D04183" w:rsidRPr="004C5B23" w:rsidRDefault="00D04183" w:rsidP="00CA2C7F">
      <w:pPr>
        <w:spacing w:line="360" w:lineRule="auto"/>
        <w:ind w:firstLine="720"/>
        <w:jc w:val="both"/>
        <w:rPr>
          <w:rFonts w:ascii="Garamond" w:hAnsi="Garamond"/>
        </w:rPr>
      </w:pPr>
    </w:p>
    <w:p w14:paraId="383CF733" w14:textId="26657585" w:rsidR="00D04183" w:rsidRPr="004C5B23" w:rsidRDefault="00D04183" w:rsidP="00CA2C7F">
      <w:pPr>
        <w:spacing w:line="360" w:lineRule="auto"/>
        <w:jc w:val="both"/>
        <w:rPr>
          <w:rFonts w:ascii="Garamond" w:hAnsi="Garamond"/>
        </w:rPr>
      </w:pPr>
      <w:r w:rsidRPr="004C5B23">
        <w:rPr>
          <w:rFonts w:ascii="Garamond" w:hAnsi="Garamond"/>
        </w:rPr>
        <w:t xml:space="preserve">Countries wish to reap the benefits of financial integration while shielding themselves from the vagaries of international financial markets. But can they have it both ways?  A large body of work acknowledges the constraints of a </w:t>
      </w:r>
      <w:r w:rsidRPr="00B723ED">
        <w:rPr>
          <w:rFonts w:ascii="Garamond" w:hAnsi="Garamond"/>
          <w:i/>
        </w:rPr>
        <w:t>trilemma</w:t>
      </w:r>
      <w:r w:rsidRPr="004C5B23">
        <w:rPr>
          <w:rFonts w:ascii="Garamond" w:hAnsi="Garamond"/>
        </w:rPr>
        <w:t>, in the spirit of Robert Mundell’s international macroeconomic model, pointing out that a fixed-exchange rate regime and full capital account openness lead countries to give up their monetary autonomy (Obsteld Taylor 2004, Aizenman et al. 2010, Farhi and Werning 2014 , Klein and Shambaugh 2015</w:t>
      </w:r>
      <w:r w:rsidR="00616F25">
        <w:rPr>
          <w:rFonts w:ascii="Garamond" w:hAnsi="Garamond"/>
        </w:rPr>
        <w:t>, Jorda, Schularick and Taylor 2019</w:t>
      </w:r>
      <w:r w:rsidRPr="004C5B23">
        <w:rPr>
          <w:rFonts w:ascii="Garamond" w:hAnsi="Garamond"/>
        </w:rPr>
        <w:t xml:space="preserve">).  </w:t>
      </w:r>
      <w:r w:rsidRPr="004C5B23">
        <w:rPr>
          <w:rFonts w:ascii="Garamond" w:hAnsi="Garamond"/>
        </w:rPr>
        <w:lastRenderedPageBreak/>
        <w:t>The first era of globalization, also the period of the classical gold standard (1880</w:t>
      </w:r>
      <w:r w:rsidR="00EC47A7">
        <w:rPr>
          <w:rFonts w:ascii="Garamond" w:hAnsi="Garamond"/>
        </w:rPr>
        <w:t>s</w:t>
      </w:r>
      <w:r w:rsidRPr="004C5B23">
        <w:rPr>
          <w:rFonts w:ascii="Garamond" w:hAnsi="Garamond"/>
        </w:rPr>
        <w:t>-1914), is often taken as the paradigmatic example of such constraints, with central banks changing their discount rate in function of international pressures only (Obstfeld and Taylor 2004, Bordo and James 2015). For those who believe that the constraints facing central banks do not even depend on the exchange rate regime – being a simple dilemma – (Rey 2016), the classical gold standard era (1880-1914) should have offered even fewer opportunities for any kind of monetary autonomy, given strong financial integration and the leading role of London in the international financial cycle</w:t>
      </w:r>
      <w:r w:rsidR="00E844BD" w:rsidRPr="004C5B23">
        <w:rPr>
          <w:rFonts w:ascii="Garamond" w:hAnsi="Garamond"/>
        </w:rPr>
        <w:t xml:space="preserve"> (</w:t>
      </w:r>
      <w:r w:rsidR="00B723ED">
        <w:rPr>
          <w:rFonts w:ascii="Garamond" w:hAnsi="Garamond"/>
        </w:rPr>
        <w:t xml:space="preserve">Lindert 1969, </w:t>
      </w:r>
      <w:r w:rsidR="00E844BD" w:rsidRPr="004C5B23">
        <w:rPr>
          <w:rFonts w:ascii="Garamond" w:hAnsi="Garamond"/>
        </w:rPr>
        <w:t>Eichengreen 1987)</w:t>
      </w:r>
      <w:r w:rsidRPr="004C5B23">
        <w:rPr>
          <w:rFonts w:ascii="Garamond" w:hAnsi="Garamond"/>
        </w:rPr>
        <w:t xml:space="preserve">. </w:t>
      </w:r>
    </w:p>
    <w:p w14:paraId="15E42C08" w14:textId="75A8A4E1" w:rsidR="00D04183" w:rsidRPr="004C5B23" w:rsidRDefault="00D04183" w:rsidP="00CA2C7F">
      <w:pPr>
        <w:spacing w:line="360" w:lineRule="auto"/>
        <w:jc w:val="both"/>
        <w:rPr>
          <w:rFonts w:ascii="Garamond" w:hAnsi="Garamond"/>
        </w:rPr>
      </w:pPr>
      <w:r w:rsidRPr="004C5B23">
        <w:rPr>
          <w:rFonts w:ascii="Garamond" w:hAnsi="Garamond"/>
        </w:rPr>
        <w:tab/>
        <w:t xml:space="preserve">Yet, since Arthur Bloomfield (1959)’s seminal study, economic historians have argued that gold standard’s central banks could rely on various devices (sterilization, foreign exchange interventions, </w:t>
      </w:r>
      <w:r w:rsidR="00E844BD" w:rsidRPr="004C5B23">
        <w:rPr>
          <w:rFonts w:ascii="Garamond" w:hAnsi="Garamond"/>
        </w:rPr>
        <w:t>convertibility restrictions</w:t>
      </w:r>
      <w:r w:rsidRPr="004C5B23">
        <w:rPr>
          <w:rFonts w:ascii="Garamond" w:hAnsi="Garamond"/>
        </w:rPr>
        <w:t xml:space="preserve">) which allowed them to achieve significant levels of autonomy, breaking the “rules of the game” (Keynes) and avoiding partly the constraints of international finance. </w:t>
      </w:r>
      <w:r w:rsidR="00E844BD" w:rsidRPr="004C5B23">
        <w:rPr>
          <w:rFonts w:ascii="Garamond" w:hAnsi="Garamond"/>
        </w:rPr>
        <w:t xml:space="preserve">Bloomfield (1963) and </w:t>
      </w:r>
      <w:r w:rsidRPr="004C5B23">
        <w:rPr>
          <w:rFonts w:ascii="Garamond" w:hAnsi="Garamond"/>
        </w:rPr>
        <w:t xml:space="preserve">Lindert (1969) </w:t>
      </w:r>
      <w:r w:rsidR="00E844BD" w:rsidRPr="004C5B23">
        <w:rPr>
          <w:rFonts w:ascii="Garamond" w:hAnsi="Garamond"/>
        </w:rPr>
        <w:t xml:space="preserve">further </w:t>
      </w:r>
      <w:r w:rsidRPr="004C5B23">
        <w:rPr>
          <w:rFonts w:ascii="Garamond" w:hAnsi="Garamond"/>
        </w:rPr>
        <w:t xml:space="preserve">supported </w:t>
      </w:r>
      <w:r w:rsidR="00E844BD" w:rsidRPr="004C5B23">
        <w:rPr>
          <w:rFonts w:ascii="Garamond" w:hAnsi="Garamond"/>
        </w:rPr>
        <w:t xml:space="preserve">this </w:t>
      </w:r>
      <w:r w:rsidRPr="004C5B23">
        <w:rPr>
          <w:rFonts w:ascii="Garamond" w:hAnsi="Garamond"/>
        </w:rPr>
        <w:t>claim by showing the widespread use of foreign exchange interventions by central banks at the beginning of the XXth century</w:t>
      </w:r>
      <w:r w:rsidR="0047794A" w:rsidRPr="004C5B23">
        <w:rPr>
          <w:rFonts w:ascii="Garamond" w:hAnsi="Garamond"/>
        </w:rPr>
        <w:t xml:space="preserve"> (</w:t>
      </w:r>
      <w:r w:rsidRPr="004C5B23">
        <w:rPr>
          <w:rFonts w:ascii="Garamond" w:hAnsi="Garamond"/>
        </w:rPr>
        <w:t xml:space="preserve">although </w:t>
      </w:r>
      <w:r w:rsidR="0047794A" w:rsidRPr="004C5B23">
        <w:rPr>
          <w:rFonts w:ascii="Garamond" w:hAnsi="Garamond"/>
        </w:rPr>
        <w:t>t</w:t>
      </w:r>
      <w:r w:rsidRPr="004C5B23">
        <w:rPr>
          <w:rFonts w:ascii="Garamond" w:hAnsi="Garamond"/>
        </w:rPr>
        <w:t>he</w:t>
      </w:r>
      <w:r w:rsidR="0047794A" w:rsidRPr="004C5B23">
        <w:rPr>
          <w:rFonts w:ascii="Garamond" w:hAnsi="Garamond"/>
        </w:rPr>
        <w:t>y</w:t>
      </w:r>
      <w:r w:rsidRPr="004C5B23">
        <w:rPr>
          <w:rFonts w:ascii="Garamond" w:hAnsi="Garamond"/>
        </w:rPr>
        <w:t xml:space="preserve"> did not look at sterilization </w:t>
      </w:r>
      <w:r w:rsidRPr="004C5B23">
        <w:rPr>
          <w:rFonts w:ascii="Garamond" w:hAnsi="Garamond"/>
          <w:i/>
        </w:rPr>
        <w:t>per se</w:t>
      </w:r>
      <w:r w:rsidR="0047794A" w:rsidRPr="004C5B23">
        <w:rPr>
          <w:rFonts w:ascii="Garamond" w:hAnsi="Garamond"/>
          <w:i/>
        </w:rPr>
        <w:t>)</w:t>
      </w:r>
      <w:r w:rsidRPr="004C5B23">
        <w:rPr>
          <w:rFonts w:ascii="Garamond" w:hAnsi="Garamond"/>
        </w:rPr>
        <w:t>. It is based on these arguments that, for example, Davis, Hanes and Rhode (2009), and Hanes and Rhode (2013) argue that a US central bank – if it had existed before 1913 - could have sterilized domestic and international shocks by adjusting the money supply without endangering the country’s commitment to the gold standard. Much has been written about the gold standard, but the debate is not over whether or not central banks sacrificed their autonomy in favor of exchange rate stability and financial globalization.</w:t>
      </w:r>
    </w:p>
    <w:p w14:paraId="6D79F3D6" w14:textId="0BDC31C2" w:rsidR="00D04183" w:rsidRPr="004C5B23" w:rsidRDefault="00D04183" w:rsidP="00CA2C7F">
      <w:pPr>
        <w:spacing w:line="360" w:lineRule="auto"/>
        <w:ind w:firstLine="720"/>
        <w:jc w:val="both"/>
        <w:rPr>
          <w:rFonts w:ascii="Garamond" w:hAnsi="Garamond"/>
        </w:rPr>
      </w:pPr>
      <w:r w:rsidRPr="004C5B23">
        <w:rPr>
          <w:rFonts w:ascii="Garamond" w:hAnsi="Garamond"/>
        </w:rPr>
        <w:t>Although scholars have extended and built upon the work of Bloomfield (1959</w:t>
      </w:r>
      <w:r w:rsidR="0047794A" w:rsidRPr="004C5B23">
        <w:rPr>
          <w:rFonts w:ascii="Garamond" w:hAnsi="Garamond"/>
        </w:rPr>
        <w:t>, 1963</w:t>
      </w:r>
      <w:r w:rsidRPr="004C5B23">
        <w:rPr>
          <w:rFonts w:ascii="Garamond" w:hAnsi="Garamond"/>
        </w:rPr>
        <w:t>) and Lindert (1969) by providing detailed case studies of operations of several central banks, our paper is the first to go back to the original comparative ambition of these two authors.</w:t>
      </w:r>
      <w:r w:rsidRPr="004C5B23">
        <w:rPr>
          <w:rStyle w:val="FootnoteReference"/>
          <w:rFonts w:ascii="Garamond" w:hAnsi="Garamond"/>
        </w:rPr>
        <w:footnoteReference w:id="1"/>
      </w:r>
      <w:r w:rsidRPr="004C5B23">
        <w:rPr>
          <w:rFonts w:ascii="Garamond" w:hAnsi="Garamond"/>
        </w:rPr>
        <w:t xml:space="preserve"> Compared to our predecessors, we provide high frequency data (monthly rather than annual), a much larger sample of countries than Bloomfield (including countries not on the gold standard, for the purpose of comparison) and a new methodology to </w:t>
      </w:r>
      <w:r w:rsidR="0047794A" w:rsidRPr="004C5B23">
        <w:rPr>
          <w:rFonts w:ascii="Garamond" w:hAnsi="Garamond"/>
        </w:rPr>
        <w:t>define and measure</w:t>
      </w:r>
      <w:r w:rsidRPr="004C5B23">
        <w:rPr>
          <w:rFonts w:ascii="Garamond" w:hAnsi="Garamond"/>
        </w:rPr>
        <w:t xml:space="preserve"> sterilization, based on the identification of the responses of central banks to international shocks. Overall, our results show that central banks enjoyed a high degree of autonomy during the gold standard period </w:t>
      </w:r>
      <w:r w:rsidR="0047794A" w:rsidRPr="004C5B23">
        <w:rPr>
          <w:rFonts w:ascii="Garamond" w:hAnsi="Garamond"/>
        </w:rPr>
        <w:t>–</w:t>
      </w:r>
      <w:r w:rsidRPr="004C5B23">
        <w:rPr>
          <w:rFonts w:ascii="Garamond" w:hAnsi="Garamond"/>
        </w:rPr>
        <w:t xml:space="preserve"> very far </w:t>
      </w:r>
      <w:r w:rsidRPr="004C5B23">
        <w:rPr>
          <w:rFonts w:ascii="Garamond" w:hAnsi="Garamond"/>
        </w:rPr>
        <w:lastRenderedPageBreak/>
        <w:t xml:space="preserve">from the supposed “rules of the games” </w:t>
      </w:r>
      <w:r w:rsidR="0047794A" w:rsidRPr="004C5B23">
        <w:rPr>
          <w:rFonts w:ascii="Garamond" w:hAnsi="Garamond"/>
        </w:rPr>
        <w:t>–</w:t>
      </w:r>
      <w:r w:rsidR="0035431E">
        <w:rPr>
          <w:rFonts w:ascii="Garamond" w:hAnsi="Garamond"/>
        </w:rPr>
        <w:t xml:space="preserve"> but </w:t>
      </w:r>
      <w:r w:rsidRPr="004C5B23">
        <w:rPr>
          <w:rFonts w:ascii="Garamond" w:hAnsi="Garamond"/>
        </w:rPr>
        <w:t>the way to achieve this autonomy was very different depending on countries' integration into the rest of the international system.</w:t>
      </w:r>
      <w:r w:rsidRPr="004C5B23">
        <w:rPr>
          <w:rStyle w:val="FootnoteReference"/>
          <w:rFonts w:ascii="Garamond" w:hAnsi="Garamond"/>
        </w:rPr>
        <w:footnoteReference w:id="2"/>
      </w:r>
      <w:r w:rsidR="00171CDE" w:rsidRPr="004C5B23">
        <w:rPr>
          <w:rFonts w:ascii="Garamond" w:hAnsi="Garamond"/>
        </w:rPr>
        <w:t xml:space="preserve"> </w:t>
      </w:r>
    </w:p>
    <w:p w14:paraId="7A8C5D23" w14:textId="03AFC2E8" w:rsidR="00D04183" w:rsidRPr="004C5B23" w:rsidRDefault="00D04183" w:rsidP="00CA2C7F">
      <w:pPr>
        <w:spacing w:line="360" w:lineRule="auto"/>
        <w:ind w:firstLine="720"/>
        <w:jc w:val="both"/>
        <w:rPr>
          <w:rFonts w:ascii="Garamond" w:hAnsi="Garamond"/>
        </w:rPr>
      </w:pPr>
      <w:r w:rsidRPr="004C5B23">
        <w:rPr>
          <w:rFonts w:ascii="Garamond" w:hAnsi="Garamond"/>
        </w:rPr>
        <w:t>With a new database of detai</w:t>
      </w:r>
      <w:r w:rsidR="0035431E">
        <w:rPr>
          <w:rFonts w:ascii="Garamond" w:hAnsi="Garamond"/>
        </w:rPr>
        <w:t>led monthly balance sheets of 21</w:t>
      </w:r>
      <w:r w:rsidRPr="004C5B23">
        <w:rPr>
          <w:rFonts w:ascii="Garamond" w:hAnsi="Garamond"/>
        </w:rPr>
        <w:t xml:space="preserve"> central banks from 1891 to 1913, we systematically study how central banks reacted to an increase in the Bank of England's discount rate, the leading financial institution of the day.</w:t>
      </w:r>
      <w:r w:rsidR="00EC47A7">
        <w:rPr>
          <w:rStyle w:val="FootnoteReference"/>
          <w:rFonts w:ascii="Garamond" w:hAnsi="Garamond"/>
        </w:rPr>
        <w:footnoteReference w:id="3"/>
      </w:r>
      <w:r w:rsidRPr="004C5B23">
        <w:rPr>
          <w:rFonts w:ascii="Garamond" w:hAnsi="Garamond"/>
        </w:rPr>
        <w:t xml:space="preserve"> Our unique dataset and our research strategy allow us to study at the same time the degree of monetary autonomy (the response of the domestic rate to the English rate) and the means employed by central banks to achieve such potential autonomy (sterilization, foreign exchange interventions or imperfect convertibility). Due to data limitations on central bank balance sheets, such an approach has not been undertaken in the extant literature.</w:t>
      </w:r>
      <w:r w:rsidRPr="004C5B23">
        <w:rPr>
          <w:rStyle w:val="FootnoteReference"/>
          <w:rFonts w:ascii="Garamond" w:hAnsi="Garamond"/>
        </w:rPr>
        <w:footnoteReference w:id="4"/>
      </w:r>
      <w:r w:rsidRPr="004C5B23">
        <w:rPr>
          <w:rFonts w:ascii="Garamond" w:hAnsi="Garamond"/>
        </w:rPr>
        <w:t xml:space="preserve"> Obstfeld, Schambaugh and Taylor (2005) assess the autonomy of central bank during this period (and subsequent ones) looking at the difference between the change</w:t>
      </w:r>
      <w:r w:rsidR="00171CDE" w:rsidRPr="004C5B23">
        <w:rPr>
          <w:rFonts w:ascii="Garamond" w:hAnsi="Garamond"/>
        </w:rPr>
        <w:t>s</w:t>
      </w:r>
      <w:r w:rsidRPr="004C5B23">
        <w:rPr>
          <w:rFonts w:ascii="Garamond" w:hAnsi="Garamond"/>
        </w:rPr>
        <w:t xml:space="preserve"> in the domestic rate and the leading international rate (England in this case). Likewise, Morys (2013) studies the determinants of changes in interest rates of gold standard countries but leaves aside sterilization and foreign exchange interventions.</w:t>
      </w:r>
      <w:r w:rsidR="00616F25">
        <w:rPr>
          <w:rFonts w:ascii="Garamond" w:hAnsi="Garamond"/>
        </w:rPr>
        <w:t xml:space="preserve"> Jorda et al. 2015, 2019 use</w:t>
      </w:r>
      <w:r w:rsidRPr="004C5B23">
        <w:rPr>
          <w:rFonts w:ascii="Garamond" w:hAnsi="Garamond"/>
        </w:rPr>
        <w:t xml:space="preserve"> </w:t>
      </w:r>
      <w:r w:rsidR="00616F25">
        <w:rPr>
          <w:rFonts w:ascii="Garamond" w:hAnsi="Garamond"/>
        </w:rPr>
        <w:t xml:space="preserve">the change in the Bank of England discount rate to instrument the change in monetary policy rates in other countries under the gold standard. </w:t>
      </w:r>
      <w:r w:rsidRPr="004C5B23">
        <w:rPr>
          <w:rFonts w:ascii="Garamond" w:hAnsi="Garamond"/>
        </w:rPr>
        <w:t xml:space="preserve">On recent data, Kim (2001), Bruno and Shin (2015) and Rey (2016), Miranda-Agrippino and Rey (2018) use VARs to investigate the impact of the US monetary policy rate on exchange rates, financial and real cycles of other countries, but they do not study the response of monetary authorities.  </w:t>
      </w:r>
    </w:p>
    <w:p w14:paraId="75DE066A" w14:textId="33D6F3D0" w:rsidR="00D04183" w:rsidRPr="004C5B23" w:rsidRDefault="00D04183" w:rsidP="00CA2C7F">
      <w:pPr>
        <w:spacing w:line="360" w:lineRule="auto"/>
        <w:jc w:val="both"/>
        <w:rPr>
          <w:rFonts w:ascii="Garamond" w:hAnsi="Garamond"/>
        </w:rPr>
      </w:pPr>
      <w:r w:rsidRPr="004C5B23">
        <w:rPr>
          <w:rFonts w:ascii="Garamond" w:hAnsi="Garamond"/>
        </w:rPr>
        <w:tab/>
        <w:t xml:space="preserve">Our identification strategy </w:t>
      </w:r>
      <w:r w:rsidR="0047794A" w:rsidRPr="004C5B23">
        <w:rPr>
          <w:rFonts w:ascii="Garamond" w:hAnsi="Garamond"/>
        </w:rPr>
        <w:t xml:space="preserve">extends Bazot, Bordo &amp; Monnet (2016) and </w:t>
      </w:r>
      <w:r w:rsidRPr="004C5B23">
        <w:rPr>
          <w:rFonts w:ascii="Garamond" w:hAnsi="Garamond"/>
        </w:rPr>
        <w:t xml:space="preserve">consists in looking jointly – for each central bank in our sample </w:t>
      </w:r>
      <w:r w:rsidR="0047794A" w:rsidRPr="004C5B23">
        <w:rPr>
          <w:rFonts w:ascii="Garamond" w:hAnsi="Garamond"/>
        </w:rPr>
        <w:t>–</w:t>
      </w:r>
      <w:r w:rsidRPr="004C5B23">
        <w:rPr>
          <w:rFonts w:ascii="Garamond" w:hAnsi="Garamond"/>
        </w:rPr>
        <w:t xml:space="preserve"> at the response of the domestic discount rate, the exchange rate, the domestic assets and the international assets of the central banks, to a change in the Bank of Englan</w:t>
      </w:r>
      <w:r w:rsidR="0035431E">
        <w:rPr>
          <w:rFonts w:ascii="Garamond" w:hAnsi="Garamond"/>
        </w:rPr>
        <w:t>d discount rate.</w:t>
      </w:r>
      <w:r w:rsidRPr="004C5B23">
        <w:rPr>
          <w:rFonts w:ascii="Garamond" w:hAnsi="Garamond"/>
        </w:rPr>
        <w:t xml:space="preserve"> This is done by estimating </w:t>
      </w:r>
      <w:r w:rsidR="00711AA3">
        <w:rPr>
          <w:rFonts w:ascii="Garamond" w:hAnsi="Garamond"/>
        </w:rPr>
        <w:t xml:space="preserve">Local Projections </w:t>
      </w:r>
      <w:r w:rsidRPr="004C5B23">
        <w:rPr>
          <w:rFonts w:ascii="Garamond" w:hAnsi="Garamond"/>
        </w:rPr>
        <w:t xml:space="preserve">with the variables mentioned above and simulating a shock to the </w:t>
      </w:r>
      <w:r w:rsidR="00EC47A7">
        <w:rPr>
          <w:rFonts w:ascii="Garamond" w:hAnsi="Garamond"/>
        </w:rPr>
        <w:t>Bank of England (</w:t>
      </w:r>
      <w:r w:rsidRPr="004C5B23">
        <w:rPr>
          <w:rFonts w:ascii="Garamond" w:hAnsi="Garamond"/>
        </w:rPr>
        <w:t>BoE</w:t>
      </w:r>
      <w:r w:rsidR="00EC47A7">
        <w:rPr>
          <w:rFonts w:ascii="Garamond" w:hAnsi="Garamond"/>
        </w:rPr>
        <w:t>)</w:t>
      </w:r>
      <w:r w:rsidRPr="004C5B23">
        <w:rPr>
          <w:rFonts w:ascii="Garamond" w:hAnsi="Garamond"/>
        </w:rPr>
        <w:t xml:space="preserve"> rate. In a country which played the “rules of the games” and whose central bank sacrificed its autonomy, an increase in the B</w:t>
      </w:r>
      <w:r w:rsidR="0035431E">
        <w:rPr>
          <w:rFonts w:ascii="Garamond" w:hAnsi="Garamond"/>
        </w:rPr>
        <w:t xml:space="preserve">oE rate should be followed by </w:t>
      </w:r>
      <w:r w:rsidRPr="004C5B23">
        <w:rPr>
          <w:rFonts w:ascii="Garamond" w:hAnsi="Garamond"/>
        </w:rPr>
        <w:t xml:space="preserve">an increase in the domestic central bank’s discount rate (which would then stabilize the exchange rate). If the </w:t>
      </w:r>
      <w:r w:rsidR="00754D62">
        <w:rPr>
          <w:rFonts w:ascii="Garamond" w:hAnsi="Garamond"/>
        </w:rPr>
        <w:t xml:space="preserve">interest rate does not react fully, the </w:t>
      </w:r>
      <w:r w:rsidRPr="004C5B23">
        <w:rPr>
          <w:rFonts w:ascii="Garamond" w:hAnsi="Garamond"/>
        </w:rPr>
        <w:t>shock of the BoE rate move</w:t>
      </w:r>
      <w:r w:rsidR="00754D62">
        <w:rPr>
          <w:rFonts w:ascii="Garamond" w:hAnsi="Garamond"/>
        </w:rPr>
        <w:t>s</w:t>
      </w:r>
      <w:r w:rsidRPr="004C5B23">
        <w:rPr>
          <w:rFonts w:ascii="Garamond" w:hAnsi="Garamond"/>
        </w:rPr>
        <w:t xml:space="preserve"> down the gold reserves</w:t>
      </w:r>
      <w:r w:rsidR="00754D62">
        <w:rPr>
          <w:rFonts w:ascii="Garamond" w:hAnsi="Garamond"/>
        </w:rPr>
        <w:t xml:space="preserve"> and depreciates the domestic exchange rate</w:t>
      </w:r>
      <w:r w:rsidR="00AD5ACD">
        <w:rPr>
          <w:rFonts w:ascii="Garamond" w:hAnsi="Garamond"/>
        </w:rPr>
        <w:t xml:space="preserve">. The rules of the game then imply </w:t>
      </w:r>
      <w:r w:rsidRPr="004C5B23">
        <w:rPr>
          <w:rFonts w:ascii="Garamond" w:hAnsi="Garamond"/>
        </w:rPr>
        <w:t xml:space="preserve">an equivalent decrease of the domestic assets of the central bank. The positive </w:t>
      </w:r>
      <w:r w:rsidRPr="004C5B23">
        <w:rPr>
          <w:rFonts w:ascii="Garamond" w:hAnsi="Garamond"/>
        </w:rPr>
        <w:lastRenderedPageBreak/>
        <w:t xml:space="preserve">correlation between domestic and international assets of central banks is what Bloomfield (1959)---following Nurkse (1944)---identified as a key </w:t>
      </w:r>
      <w:r w:rsidR="00171CDE" w:rsidRPr="004C5B23">
        <w:rPr>
          <w:rFonts w:ascii="Garamond" w:hAnsi="Garamond"/>
        </w:rPr>
        <w:t xml:space="preserve">component </w:t>
      </w:r>
      <w:r w:rsidRPr="004C5B23">
        <w:rPr>
          <w:rFonts w:ascii="Garamond" w:hAnsi="Garamond"/>
        </w:rPr>
        <w:t>of the “rules of the game” of the gold standard. On the contrary, a decrease in international assets (gold and/or foreign exchange) coupled with an increase in domestic assets (discount of commercial paper and advances on securities) is interpreted as an evidence of sterilization</w:t>
      </w:r>
      <w:r w:rsidR="00171CDE" w:rsidRPr="004C5B23">
        <w:rPr>
          <w:rFonts w:ascii="Garamond" w:hAnsi="Garamond"/>
        </w:rPr>
        <w:t>: t</w:t>
      </w:r>
      <w:r w:rsidRPr="004C5B23">
        <w:rPr>
          <w:rFonts w:ascii="Garamond" w:hAnsi="Garamond"/>
        </w:rPr>
        <w:t xml:space="preserve">he central bank compensates </w:t>
      </w:r>
      <w:r w:rsidR="00887F65" w:rsidRPr="004C5B23">
        <w:rPr>
          <w:rFonts w:ascii="Garamond" w:hAnsi="Garamond"/>
        </w:rPr>
        <w:t xml:space="preserve">international assets </w:t>
      </w:r>
      <w:r w:rsidRPr="004C5B23">
        <w:rPr>
          <w:rFonts w:ascii="Garamond" w:hAnsi="Garamond"/>
        </w:rPr>
        <w:t>outflows by credit creation. In a country which sterilizes, we should observe a negligible reaction of the domestic discount rate to an increase in the BoE rate but</w:t>
      </w:r>
      <w:r w:rsidR="00171CDE" w:rsidRPr="004C5B23">
        <w:rPr>
          <w:rFonts w:ascii="Garamond" w:hAnsi="Garamond"/>
        </w:rPr>
        <w:t xml:space="preserve"> still</w:t>
      </w:r>
      <w:r w:rsidRPr="004C5B23">
        <w:rPr>
          <w:rFonts w:ascii="Garamond" w:hAnsi="Garamond"/>
        </w:rPr>
        <w:t xml:space="preserve"> a temporary reaction of the exchange rate. </w:t>
      </w:r>
    </w:p>
    <w:p w14:paraId="61A916B4" w14:textId="741337FA" w:rsidR="00D04183" w:rsidRPr="004C5B23" w:rsidRDefault="00D04183" w:rsidP="00CA2C7F">
      <w:pPr>
        <w:spacing w:line="360" w:lineRule="auto"/>
        <w:ind w:firstLine="720"/>
        <w:jc w:val="both"/>
        <w:rPr>
          <w:rFonts w:ascii="Garamond" w:hAnsi="Garamond"/>
        </w:rPr>
      </w:pPr>
      <w:r w:rsidRPr="004C5B23">
        <w:rPr>
          <w:rFonts w:ascii="Garamond" w:hAnsi="Garamond"/>
        </w:rPr>
        <w:t xml:space="preserve">Our estimation strategy also identifies a third case where </w:t>
      </w:r>
      <w:r w:rsidR="0022218B">
        <w:rPr>
          <w:rFonts w:ascii="Garamond" w:hAnsi="Garamond"/>
        </w:rPr>
        <w:t xml:space="preserve">a modest </w:t>
      </w:r>
      <w:r w:rsidRPr="004C5B23">
        <w:rPr>
          <w:rFonts w:ascii="Garamond" w:hAnsi="Garamond"/>
        </w:rPr>
        <w:t xml:space="preserve">response of the domestic discount rate to the BoE rate is </w:t>
      </w:r>
      <w:r w:rsidR="0022218B">
        <w:rPr>
          <w:rFonts w:ascii="Garamond" w:hAnsi="Garamond"/>
        </w:rPr>
        <w:t>associated</w:t>
      </w:r>
      <w:r w:rsidRPr="004C5B23">
        <w:rPr>
          <w:rFonts w:ascii="Garamond" w:hAnsi="Garamond"/>
        </w:rPr>
        <w:t xml:space="preserve"> with an absence of decrease </w:t>
      </w:r>
      <w:r w:rsidR="00CA434F" w:rsidRPr="004C5B23">
        <w:rPr>
          <w:rFonts w:ascii="Garamond" w:hAnsi="Garamond"/>
        </w:rPr>
        <w:t xml:space="preserve">in </w:t>
      </w:r>
      <w:r w:rsidRPr="004C5B23">
        <w:rPr>
          <w:rFonts w:ascii="Garamond" w:hAnsi="Garamond"/>
        </w:rPr>
        <w:t xml:space="preserve">the gold stock. We interpret such results as evidence of imperfect convertibility which prevented </w:t>
      </w:r>
      <w:r w:rsidR="00CA434F" w:rsidRPr="004C5B23">
        <w:rPr>
          <w:rFonts w:ascii="Garamond" w:hAnsi="Garamond"/>
        </w:rPr>
        <w:t>gold to leave the central bank</w:t>
      </w:r>
      <w:r w:rsidRPr="004C5B23">
        <w:rPr>
          <w:rFonts w:ascii="Garamond" w:hAnsi="Garamond"/>
        </w:rPr>
        <w:t xml:space="preserve"> in reaction to an international shock.</w:t>
      </w:r>
      <w:r w:rsidRPr="004C5B23">
        <w:rPr>
          <w:rStyle w:val="FootnoteReference"/>
          <w:rFonts w:ascii="Garamond" w:hAnsi="Garamond"/>
        </w:rPr>
        <w:footnoteReference w:id="5"/>
      </w:r>
      <w:r w:rsidR="0047794A" w:rsidRPr="004C5B23">
        <w:rPr>
          <w:rFonts w:ascii="Garamond" w:hAnsi="Garamond"/>
        </w:rPr>
        <w:t xml:space="preserve"> </w:t>
      </w:r>
      <w:r w:rsidRPr="004C5B23">
        <w:rPr>
          <w:rFonts w:ascii="Garamond" w:hAnsi="Garamond"/>
        </w:rPr>
        <w:t>Imperfect convertibility could mean that central banks preferred to (or were forced to) rely on some forms of capital controls</w:t>
      </w:r>
      <w:r w:rsidR="0047794A" w:rsidRPr="004C5B23">
        <w:rPr>
          <w:rFonts w:ascii="Garamond" w:hAnsi="Garamond"/>
        </w:rPr>
        <w:t xml:space="preserve"> (convertibility restrictions)</w:t>
      </w:r>
      <w:r w:rsidRPr="004C5B23">
        <w:rPr>
          <w:rFonts w:ascii="Garamond" w:hAnsi="Garamond"/>
        </w:rPr>
        <w:t xml:space="preserve">, rather than using their balance sheet to work as a </w:t>
      </w:r>
      <w:r w:rsidRPr="004C5B23">
        <w:rPr>
          <w:rStyle w:val="il"/>
          <w:rFonts w:ascii="Garamond" w:hAnsi="Garamond"/>
        </w:rPr>
        <w:t>buffer</w:t>
      </w:r>
      <w:r w:rsidRPr="004C5B23">
        <w:rPr>
          <w:rFonts w:ascii="Garamond" w:hAnsi="Garamond"/>
        </w:rPr>
        <w:t xml:space="preserve"> between the internal and the external economy. We observe a clear distinction between countries – in the core of the gold standard – which could rely on sterilization and foreign exchange intervention to achieve autonomy, and other countries – at the periphery of international capital markets </w:t>
      </w:r>
      <w:r w:rsidR="00CA434F" w:rsidRPr="004C5B23">
        <w:rPr>
          <w:rFonts w:ascii="Garamond" w:hAnsi="Garamond"/>
        </w:rPr>
        <w:t>–</w:t>
      </w:r>
      <w:r w:rsidRPr="004C5B23">
        <w:rPr>
          <w:rFonts w:ascii="Garamond" w:hAnsi="Garamond"/>
        </w:rPr>
        <w:t xml:space="preserve"> which joined the gold standard but were protected from international shocks by imperfect convertibility.</w:t>
      </w:r>
      <w:r w:rsidR="00CA434F" w:rsidRPr="004C5B23">
        <w:rPr>
          <w:rFonts w:ascii="Garamond" w:hAnsi="Garamond"/>
        </w:rPr>
        <w:t xml:space="preserve"> In countries with imperfect convertibility, loans of the central bank to the domestic economy </w:t>
      </w:r>
      <w:r w:rsidR="0022218B">
        <w:rPr>
          <w:rFonts w:ascii="Garamond" w:hAnsi="Garamond"/>
        </w:rPr>
        <w:t xml:space="preserve">also </w:t>
      </w:r>
      <w:r w:rsidR="00CA434F" w:rsidRPr="004C5B23">
        <w:rPr>
          <w:rFonts w:ascii="Garamond" w:hAnsi="Garamond"/>
        </w:rPr>
        <w:t xml:space="preserve">increased after a rise in the BoE rate and also offset capital outflows (although central bank’s gold did not decrease). </w:t>
      </w:r>
      <w:r w:rsidR="0022218B">
        <w:rPr>
          <w:rFonts w:ascii="Garamond" w:hAnsi="Garamond"/>
        </w:rPr>
        <w:t xml:space="preserve">This increase in the domestic portfolio was necessary to stabilize domestic interest rates around the central bank rate, even in the absence of gold outflows. </w:t>
      </w:r>
    </w:p>
    <w:p w14:paraId="2ED8DD85" w14:textId="669910C8" w:rsidR="00D04183" w:rsidRDefault="00D04183" w:rsidP="00CA2C7F">
      <w:pPr>
        <w:spacing w:line="360" w:lineRule="auto"/>
        <w:ind w:firstLine="720"/>
        <w:jc w:val="both"/>
        <w:rPr>
          <w:rFonts w:ascii="Garamond" w:hAnsi="Garamond"/>
        </w:rPr>
      </w:pPr>
      <w:r w:rsidRPr="004C5B23">
        <w:rPr>
          <w:rFonts w:ascii="Garamond" w:hAnsi="Garamond"/>
        </w:rPr>
        <w:t xml:space="preserve">Last, we can compare gold standard countries to countries which had a floating exchange rate during the </w:t>
      </w:r>
      <w:r w:rsidR="0047794A" w:rsidRPr="004C5B23">
        <w:rPr>
          <w:rFonts w:ascii="Garamond" w:hAnsi="Garamond"/>
        </w:rPr>
        <w:t>same period</w:t>
      </w:r>
      <w:r w:rsidRPr="004C5B23">
        <w:rPr>
          <w:rFonts w:ascii="Garamond" w:hAnsi="Garamond"/>
        </w:rPr>
        <w:t xml:space="preserve">. </w:t>
      </w:r>
      <w:r w:rsidR="00AD5ACD">
        <w:rPr>
          <w:rFonts w:ascii="Garamond" w:hAnsi="Garamond"/>
        </w:rPr>
        <w:t>In line with the predictions of the trilemma, w</w:t>
      </w:r>
      <w:r w:rsidRPr="004C5B23">
        <w:rPr>
          <w:rFonts w:ascii="Garamond" w:hAnsi="Garamond"/>
        </w:rPr>
        <w:t xml:space="preserve">e find </w:t>
      </w:r>
      <w:r w:rsidR="0047794A" w:rsidRPr="004C5B23">
        <w:rPr>
          <w:rFonts w:ascii="Garamond" w:hAnsi="Garamond"/>
        </w:rPr>
        <w:t xml:space="preserve">that </w:t>
      </w:r>
      <w:r w:rsidR="0035431E">
        <w:rPr>
          <w:rFonts w:ascii="Garamond" w:hAnsi="Garamond"/>
        </w:rPr>
        <w:t>exchange rates absorbed</w:t>
      </w:r>
      <w:r w:rsidRPr="004C5B23">
        <w:rPr>
          <w:rFonts w:ascii="Garamond" w:hAnsi="Garamond"/>
        </w:rPr>
        <w:t xml:space="preserve"> international shocks </w:t>
      </w:r>
      <w:r w:rsidR="0047794A" w:rsidRPr="004C5B23">
        <w:rPr>
          <w:rFonts w:ascii="Garamond" w:hAnsi="Garamond"/>
        </w:rPr>
        <w:t xml:space="preserve">in </w:t>
      </w:r>
      <w:r w:rsidRPr="004C5B23">
        <w:rPr>
          <w:rFonts w:ascii="Garamond" w:hAnsi="Garamond"/>
        </w:rPr>
        <w:t>these countries</w:t>
      </w:r>
      <w:r w:rsidR="00AD5ACD">
        <w:rPr>
          <w:rFonts w:ascii="Garamond" w:hAnsi="Garamond"/>
        </w:rPr>
        <w:t xml:space="preserve"> and that the interest rate of the central bank remained stable</w:t>
      </w:r>
      <w:r w:rsidRPr="004C5B23">
        <w:rPr>
          <w:rFonts w:ascii="Garamond" w:hAnsi="Garamond"/>
        </w:rPr>
        <w:t xml:space="preserve">. </w:t>
      </w:r>
    </w:p>
    <w:p w14:paraId="34C324E3" w14:textId="51AC52A4" w:rsidR="00AD5ACD" w:rsidRDefault="00AD5ACD" w:rsidP="00CA2C7F">
      <w:pPr>
        <w:spacing w:line="360" w:lineRule="auto"/>
        <w:ind w:firstLine="720"/>
        <w:jc w:val="both"/>
        <w:rPr>
          <w:rFonts w:ascii="Garamond" w:hAnsi="Garamond"/>
        </w:rPr>
      </w:pPr>
      <w:r>
        <w:rPr>
          <w:rFonts w:ascii="Garamond" w:hAnsi="Garamond"/>
        </w:rPr>
        <w:t>The United States of America were a prominent example of a country ad</w:t>
      </w:r>
      <w:r w:rsidR="00D6341A">
        <w:rPr>
          <w:rFonts w:ascii="Garamond" w:hAnsi="Garamond"/>
        </w:rPr>
        <w:t xml:space="preserve">hering to the gold standard </w:t>
      </w:r>
      <w:r>
        <w:rPr>
          <w:rFonts w:ascii="Garamond" w:hAnsi="Garamond"/>
        </w:rPr>
        <w:t xml:space="preserve">without a central bank. </w:t>
      </w:r>
      <w:r w:rsidR="00734D90">
        <w:rPr>
          <w:rFonts w:ascii="Garamond" w:hAnsi="Garamond"/>
        </w:rPr>
        <w:t>It is the</w:t>
      </w:r>
      <w:r w:rsidR="0035431E">
        <w:rPr>
          <w:rFonts w:ascii="Garamond" w:hAnsi="Garamond"/>
        </w:rPr>
        <w:t xml:space="preserve"> perfect counterfactual to enlighten the stabilizing role of central banks sterilization policy. </w:t>
      </w:r>
      <w:r>
        <w:rPr>
          <w:rFonts w:ascii="Garamond" w:hAnsi="Garamond"/>
        </w:rPr>
        <w:t xml:space="preserve">In countries with a central bank, the money market rate was stabilized around the central bank discount rate because banks could borrow freely at this rate at the discount window. By contrast, the US money market rate (call rate in New York) was much </w:t>
      </w:r>
      <w:r>
        <w:rPr>
          <w:rFonts w:ascii="Garamond" w:hAnsi="Garamond"/>
        </w:rPr>
        <w:lastRenderedPageBreak/>
        <w:t xml:space="preserve">more volatile </w:t>
      </w:r>
      <w:r w:rsidR="00654FA4">
        <w:rPr>
          <w:rFonts w:ascii="Garamond" w:hAnsi="Garamond"/>
        </w:rPr>
        <w:t xml:space="preserve">because it </w:t>
      </w:r>
      <w:r>
        <w:rPr>
          <w:rFonts w:ascii="Garamond" w:hAnsi="Garamond"/>
        </w:rPr>
        <w:t>was not stabilized</w:t>
      </w:r>
      <w:r w:rsidR="00654FA4">
        <w:rPr>
          <w:rFonts w:ascii="Garamond" w:hAnsi="Garamond"/>
        </w:rPr>
        <w:t xml:space="preserve"> by such lending operations. We show that the reaction of the New York money market rate to an increase in the BoE rate was 10 times higher than the typical response of the discount rates of central banks.</w:t>
      </w:r>
      <w:r w:rsidR="0035431E">
        <w:rPr>
          <w:rFonts w:ascii="Garamond" w:hAnsi="Garamond"/>
        </w:rPr>
        <w:t xml:space="preserve"> In other words, in the absence of a central bank making use of their international and domestic portfolios, a (international) shock must be absorbed by interest rate change, thereby generating macroeconomic fluctuations. T</w:t>
      </w:r>
      <w:r w:rsidR="00D6341A">
        <w:rPr>
          <w:rFonts w:ascii="Garamond" w:hAnsi="Garamond"/>
        </w:rPr>
        <w:t>his explains</w:t>
      </w:r>
      <w:r w:rsidR="0035431E">
        <w:rPr>
          <w:rFonts w:ascii="Garamond" w:hAnsi="Garamond"/>
        </w:rPr>
        <w:t xml:space="preserve"> </w:t>
      </w:r>
      <w:r w:rsidR="00D6341A">
        <w:rPr>
          <w:rFonts w:ascii="Garamond" w:hAnsi="Garamond"/>
        </w:rPr>
        <w:t>the</w:t>
      </w:r>
      <w:r w:rsidR="0035431E">
        <w:rPr>
          <w:rFonts w:ascii="Garamond" w:hAnsi="Garamond"/>
        </w:rPr>
        <w:t xml:space="preserve"> large</w:t>
      </w:r>
      <w:r w:rsidR="00D6341A">
        <w:rPr>
          <w:rFonts w:ascii="Garamond" w:hAnsi="Garamond"/>
        </w:rPr>
        <w:t xml:space="preserve"> volatility of the US</w:t>
      </w:r>
      <w:r w:rsidR="0035431E">
        <w:rPr>
          <w:rFonts w:ascii="Garamond" w:hAnsi="Garamond"/>
        </w:rPr>
        <w:t xml:space="preserve"> market rate</w:t>
      </w:r>
      <w:r w:rsidR="00D6341A">
        <w:rPr>
          <w:rFonts w:ascii="Garamond" w:hAnsi="Garamond"/>
        </w:rPr>
        <w:t>s</w:t>
      </w:r>
      <w:r w:rsidR="0035431E">
        <w:rPr>
          <w:rFonts w:ascii="Garamond" w:hAnsi="Garamond"/>
        </w:rPr>
        <w:t xml:space="preserve"> compared to </w:t>
      </w:r>
      <w:r w:rsidR="00D6341A">
        <w:rPr>
          <w:rFonts w:ascii="Garamond" w:hAnsi="Garamond"/>
        </w:rPr>
        <w:t>those of core</w:t>
      </w:r>
      <w:r w:rsidR="0035431E">
        <w:rPr>
          <w:rFonts w:ascii="Garamond" w:hAnsi="Garamond"/>
        </w:rPr>
        <w:t xml:space="preserve"> Europe</w:t>
      </w:r>
      <w:r w:rsidR="00D6341A">
        <w:rPr>
          <w:rFonts w:ascii="Garamond" w:hAnsi="Garamond"/>
        </w:rPr>
        <w:t>an countries</w:t>
      </w:r>
      <w:r w:rsidR="0035431E">
        <w:rPr>
          <w:rFonts w:ascii="Garamond" w:hAnsi="Garamond"/>
        </w:rPr>
        <w:t>.</w:t>
      </w:r>
    </w:p>
    <w:p w14:paraId="5AEB359E" w14:textId="63969249" w:rsidR="00AC096D" w:rsidRDefault="00AC096D" w:rsidP="00CA2C7F">
      <w:pPr>
        <w:spacing w:line="360" w:lineRule="auto"/>
        <w:ind w:firstLine="720"/>
        <w:jc w:val="both"/>
        <w:rPr>
          <w:rFonts w:ascii="Garamond" w:hAnsi="Garamond"/>
        </w:rPr>
      </w:pPr>
      <w:r>
        <w:rPr>
          <w:rFonts w:ascii="Garamond" w:hAnsi="Garamond"/>
        </w:rPr>
        <w:t>Our paper not only bears some important historical lessons for the role of central banks in a globalized world. On a methodological perspective, it also provides a new and simple identification method to estimate the extent of sterilization by central banks. This new identification is meant to avoid the usual endogeneity bias that studies on central bank sterilization have faced (Obstfeld 1982). It can be extended to other periods as long as detailed statistics of central bank balance sheets are available.</w:t>
      </w:r>
    </w:p>
    <w:p w14:paraId="0E47E894" w14:textId="67AAD132" w:rsidR="00B73ED0" w:rsidRPr="004C5B23" w:rsidRDefault="00B73ED0" w:rsidP="00CA2C7F">
      <w:pPr>
        <w:spacing w:line="360" w:lineRule="auto"/>
        <w:ind w:firstLine="720"/>
        <w:jc w:val="both"/>
        <w:rPr>
          <w:rFonts w:ascii="Garamond" w:hAnsi="Garamond"/>
        </w:rPr>
      </w:pPr>
      <w:r>
        <w:rPr>
          <w:rFonts w:ascii="Garamond" w:hAnsi="Garamond"/>
        </w:rPr>
        <w:t xml:space="preserve">Section I describes our original historical database. Sections II defines sterilization and focuses on its potential role under the gold standard. It also explains why previous </w:t>
      </w:r>
      <w:r w:rsidR="00AC096D">
        <w:rPr>
          <w:rFonts w:ascii="Garamond" w:hAnsi="Garamond"/>
        </w:rPr>
        <w:t xml:space="preserve">empirical </w:t>
      </w:r>
      <w:r>
        <w:rPr>
          <w:rFonts w:ascii="Garamond" w:hAnsi="Garamond"/>
        </w:rPr>
        <w:t xml:space="preserve">studies failed to identify </w:t>
      </w:r>
      <w:r w:rsidR="00AC096D">
        <w:rPr>
          <w:rFonts w:ascii="Garamond" w:hAnsi="Garamond"/>
        </w:rPr>
        <w:t xml:space="preserve">sterilization and the method we propose to achieve such robust identification. Section III presents our method of estimation. Section IV deals with the main results of the paper. Section V discusses alternative specifications, endogeneity issues and robustness checks. </w:t>
      </w:r>
    </w:p>
    <w:p w14:paraId="2D66643D" w14:textId="77777777" w:rsidR="00D75AF0" w:rsidRPr="00AA7E72" w:rsidRDefault="00D75AF0" w:rsidP="00AA7E72">
      <w:pPr>
        <w:spacing w:line="360" w:lineRule="auto"/>
        <w:ind w:firstLine="720"/>
        <w:jc w:val="both"/>
        <w:rPr>
          <w:rFonts w:ascii="Garamond" w:hAnsi="Garamond"/>
        </w:rPr>
      </w:pPr>
    </w:p>
    <w:p w14:paraId="44332C34" w14:textId="67B0FA33" w:rsidR="008313AD" w:rsidRDefault="008313AD" w:rsidP="00AA7E72">
      <w:pPr>
        <w:pStyle w:val="Heading1"/>
      </w:pPr>
      <w:bookmarkStart w:id="2" w:name="_Toc2521972"/>
      <w:r>
        <w:t>A unique data</w:t>
      </w:r>
      <w:r w:rsidRPr="004C5B23">
        <w:t>base on central bank balance sheets</w:t>
      </w:r>
      <w:bookmarkEnd w:id="2"/>
    </w:p>
    <w:p w14:paraId="0B7B5DDC" w14:textId="77777777" w:rsidR="00AA7E72" w:rsidRPr="00AA7E72" w:rsidRDefault="00AA7E72" w:rsidP="00AA7E72">
      <w:pPr>
        <w:rPr>
          <w:lang w:val="en-US" w:eastAsia="en-US"/>
        </w:rPr>
      </w:pPr>
    </w:p>
    <w:p w14:paraId="6F254404" w14:textId="2BB7C966" w:rsidR="00D2290F" w:rsidRPr="008313AD" w:rsidRDefault="00D2290F" w:rsidP="009E62CA">
      <w:pPr>
        <w:pStyle w:val="Heading2"/>
        <w:rPr>
          <w:sz w:val="28"/>
          <w:szCs w:val="28"/>
        </w:rPr>
      </w:pPr>
      <w:bookmarkStart w:id="3" w:name="_Toc2521973"/>
      <w:r w:rsidRPr="008313AD">
        <w:rPr>
          <w:sz w:val="28"/>
          <w:szCs w:val="28"/>
        </w:rPr>
        <w:t>Sources</w:t>
      </w:r>
      <w:bookmarkEnd w:id="3"/>
    </w:p>
    <w:p w14:paraId="1CB8B782" w14:textId="77777777" w:rsidR="00D2290F" w:rsidRPr="00D2290F" w:rsidRDefault="00D2290F" w:rsidP="00D2290F">
      <w:pPr>
        <w:rPr>
          <w:lang w:val="en-US" w:eastAsia="en-US"/>
        </w:rPr>
      </w:pPr>
    </w:p>
    <w:p w14:paraId="0FDB02F3" w14:textId="206C573A" w:rsidR="001A6413" w:rsidRDefault="00D04183" w:rsidP="00CA2C7F">
      <w:pPr>
        <w:spacing w:line="360" w:lineRule="auto"/>
        <w:jc w:val="both"/>
        <w:rPr>
          <w:rFonts w:ascii="Garamond" w:hAnsi="Garamond"/>
        </w:rPr>
      </w:pPr>
      <w:r w:rsidRPr="004C5B23">
        <w:rPr>
          <w:rFonts w:ascii="Garamond" w:hAnsi="Garamond"/>
        </w:rPr>
        <w:t>Our dataset is based on an exceptional source that has never been exploited before. The French Central Bank</w:t>
      </w:r>
      <w:r w:rsidR="004201C6" w:rsidRPr="004C5B23">
        <w:rPr>
          <w:rFonts w:ascii="Garamond" w:hAnsi="Garamond"/>
        </w:rPr>
        <w:t xml:space="preserve"> (</w:t>
      </w:r>
      <w:r w:rsidR="004201C6" w:rsidRPr="004C5B23">
        <w:rPr>
          <w:rFonts w:ascii="Garamond" w:hAnsi="Garamond"/>
          <w:i/>
        </w:rPr>
        <w:t>Banque de France</w:t>
      </w:r>
      <w:r w:rsidR="004201C6" w:rsidRPr="004C5B23">
        <w:rPr>
          <w:rFonts w:ascii="Garamond" w:hAnsi="Garamond"/>
        </w:rPr>
        <w:t>)</w:t>
      </w:r>
      <w:r w:rsidRPr="004C5B23">
        <w:rPr>
          <w:rFonts w:ascii="Garamond" w:hAnsi="Garamond"/>
        </w:rPr>
        <w:t xml:space="preserve"> began systematically collecting the weekly or monthly balance sheets of all the world's central banks in 1891. Central banks had a legal obligation to publish these balance sheets at a high frequency, in addition to their annual reports to shareholders, which generally contain additional information and sometimes reproduce the high frequency balance sheets. The legal (or in some cases customary) obligation to publish these balance sheets was justified by the legal requirements (in terms of the relationship between the currency in circulation and the reserves</w:t>
      </w:r>
      <w:r w:rsidR="00CA434F" w:rsidRPr="004C5B23">
        <w:rPr>
          <w:rFonts w:ascii="Garamond" w:hAnsi="Garamond"/>
        </w:rPr>
        <w:t>, or the ceilings on circulation</w:t>
      </w:r>
      <w:r w:rsidRPr="004C5B23">
        <w:rPr>
          <w:rFonts w:ascii="Garamond" w:hAnsi="Garamond"/>
        </w:rPr>
        <w:t xml:space="preserve">) to which central banks were subject. These ratios were carefully looked at by policymakers and investors; they were published in major financial newspapers, as well as data on exchange rates and discount rates (e.g. </w:t>
      </w:r>
      <w:r w:rsidRPr="004C5B23">
        <w:rPr>
          <w:rFonts w:ascii="Garamond" w:hAnsi="Garamond"/>
          <w:i/>
        </w:rPr>
        <w:t>L'Economiste Européen</w:t>
      </w:r>
      <w:r w:rsidRPr="004C5B23">
        <w:rPr>
          <w:rFonts w:ascii="Garamond" w:hAnsi="Garamond"/>
        </w:rPr>
        <w:t xml:space="preserve"> in France, </w:t>
      </w:r>
      <w:r w:rsidRPr="004C5B23">
        <w:rPr>
          <w:rFonts w:ascii="Garamond" w:hAnsi="Garamond"/>
          <w:i/>
        </w:rPr>
        <w:t>The Banker</w:t>
      </w:r>
      <w:r w:rsidRPr="004C5B23">
        <w:rPr>
          <w:rFonts w:ascii="Garamond" w:hAnsi="Garamond"/>
        </w:rPr>
        <w:t xml:space="preserve"> in the United Kingdom, </w:t>
      </w:r>
      <w:r w:rsidRPr="004C5B23">
        <w:rPr>
          <w:rFonts w:ascii="Garamond" w:hAnsi="Garamond"/>
          <w:i/>
        </w:rPr>
        <w:t>Le Moniteur</w:t>
      </w:r>
      <w:r w:rsidRPr="004C5B23">
        <w:rPr>
          <w:rFonts w:ascii="Garamond" w:hAnsi="Garamond"/>
        </w:rPr>
        <w:t xml:space="preserve"> in Belgium, see Baubeau 2018). However, newspapers did not publish data on central bank assets, which were much more difficult to harmonize and compare, given the different financial and accounting practices of countries.</w:t>
      </w:r>
      <w:r w:rsidRPr="004C5B23">
        <w:rPr>
          <w:rFonts w:ascii="Garamond" w:hAnsi="Garamond"/>
          <w:vertAlign w:val="superscript"/>
        </w:rPr>
        <w:footnoteReference w:id="6"/>
      </w:r>
      <w:r w:rsidRPr="004C5B23">
        <w:rPr>
          <w:rFonts w:ascii="Garamond" w:hAnsi="Garamond"/>
        </w:rPr>
        <w:t xml:space="preserve"> On the contrary, the Banque de France took on this difficult and tedious task. Sufficient skills were needed to translate and understand the various reports. A unit was created in 1884 for this purpose</w:t>
      </w:r>
      <w:r w:rsidR="00CA434F" w:rsidRPr="004C5B23">
        <w:rPr>
          <w:rFonts w:ascii="Garamond" w:hAnsi="Garamond"/>
        </w:rPr>
        <w:t xml:space="preserve"> within the Banque</w:t>
      </w:r>
      <w:r w:rsidRPr="004C5B23">
        <w:rPr>
          <w:rFonts w:ascii="Garamond" w:hAnsi="Garamond"/>
        </w:rPr>
        <w:t>.</w:t>
      </w:r>
      <w:r w:rsidRPr="004C5B23">
        <w:rPr>
          <w:rFonts w:ascii="Garamond" w:hAnsi="Garamond"/>
          <w:vertAlign w:val="superscript"/>
        </w:rPr>
        <w:footnoteReference w:id="7"/>
      </w:r>
      <w:r w:rsidRPr="004C5B23">
        <w:rPr>
          <w:rFonts w:ascii="Garamond" w:hAnsi="Garamond"/>
        </w:rPr>
        <w:t xml:space="preserve"> Its sole objective was to produce harmonised balance sheets of foreign central banks (it was called the </w:t>
      </w:r>
      <w:r w:rsidRPr="004C5B23">
        <w:rPr>
          <w:rFonts w:ascii="Garamond" w:hAnsi="Garamond"/>
          <w:i/>
        </w:rPr>
        <w:t>Foreign Banking Statistics Service</w:t>
      </w:r>
      <w:r w:rsidRPr="004C5B23">
        <w:rPr>
          <w:rFonts w:ascii="Garamond" w:hAnsi="Garamond"/>
        </w:rPr>
        <w:t>), and economists were hired because of their skills in understanding foreign languages (Plessis 2005). It was not until 1891 that this unit began to systematically produce ledgers with weekly or monthly statistics for a significant number of foreign central banks.</w:t>
      </w:r>
      <w:r w:rsidRPr="004C5B23">
        <w:rPr>
          <w:rFonts w:ascii="Garamond" w:hAnsi="Garamond"/>
          <w:vertAlign w:val="superscript"/>
        </w:rPr>
        <w:footnoteReference w:id="8"/>
      </w:r>
      <w:r w:rsidRPr="004C5B23">
        <w:rPr>
          <w:rFonts w:ascii="Garamond" w:hAnsi="Garamond"/>
        </w:rPr>
        <w:t xml:space="preserve"> Later, in the mid-1890s, it became a real research department, broadening the scope of its studies.</w:t>
      </w:r>
      <w:r w:rsidRPr="004C5B23">
        <w:rPr>
          <w:rFonts w:ascii="Garamond" w:hAnsi="Garamond"/>
          <w:vertAlign w:val="superscript"/>
        </w:rPr>
        <w:footnoteReference w:id="9"/>
      </w:r>
      <w:r w:rsidRPr="004C5B23">
        <w:rPr>
          <w:rFonts w:ascii="Garamond" w:hAnsi="Garamond"/>
        </w:rPr>
        <w:t xml:space="preserve"> During this period, only the Bank of England, the Banque de France and the Reichsbank had a research department (Martin-Acena &amp; Tortella 2013) but we found no evidence of similar work in the other two central banks. From 1891 onwards, some of the statistics on the balance sheet of foreign central banks produced by the Banque de France were reproduced in the </w:t>
      </w:r>
      <w:r w:rsidRPr="004C5B23">
        <w:rPr>
          <w:rFonts w:ascii="Garamond" w:hAnsi="Garamond"/>
          <w:i/>
        </w:rPr>
        <w:t>Bulletin de législation et statistique comparées</w:t>
      </w:r>
      <w:r w:rsidRPr="004C5B23">
        <w:rPr>
          <w:rFonts w:ascii="Garamond" w:hAnsi="Garamond"/>
        </w:rPr>
        <w:t>, an important outlet for the dissemination of international economic statistics, published by the French Ministry of Finance.</w:t>
      </w:r>
      <w:r w:rsidRPr="004C5B23">
        <w:rPr>
          <w:rFonts w:ascii="Garamond" w:hAnsi="Garamond"/>
          <w:vertAlign w:val="superscript"/>
        </w:rPr>
        <w:footnoteReference w:id="10"/>
      </w:r>
      <w:r w:rsidRPr="004C5B23">
        <w:rPr>
          <w:rFonts w:ascii="Garamond" w:hAnsi="Garamond"/>
        </w:rPr>
        <w:t xml:space="preserve"> But they were published on a quarterly basis, without notes or sources, and were sometimes incomplete. For this reason, we use the original sources available in the archives of the Banque de France. We use monthly data to obtain comparable frequencies between central banks.</w:t>
      </w:r>
      <w:r w:rsidRPr="004C5B23">
        <w:rPr>
          <w:rFonts w:ascii="Garamond" w:hAnsi="Garamond"/>
          <w:vertAlign w:val="superscript"/>
        </w:rPr>
        <w:footnoteReference w:id="11"/>
      </w:r>
      <w:r w:rsidRPr="004C5B23">
        <w:rPr>
          <w:rFonts w:ascii="Garamond" w:hAnsi="Garamond"/>
        </w:rPr>
        <w:t xml:space="preserve"> In addition, we looked at the annual balance sheets, also prepared by the Banque de France, and based on the annual reports of central banks.</w:t>
      </w:r>
      <w:r w:rsidRPr="004C5B23">
        <w:rPr>
          <w:rFonts w:ascii="Garamond" w:hAnsi="Garamond"/>
          <w:vertAlign w:val="superscript"/>
        </w:rPr>
        <w:footnoteReference w:id="12"/>
      </w:r>
      <w:r w:rsidRPr="004C5B23">
        <w:rPr>
          <w:rFonts w:ascii="Garamond" w:hAnsi="Garamond"/>
        </w:rPr>
        <w:t xml:space="preserve"> The annual balance sheets allow us to see if some balance sheet items have been hidden in the weekly and monthly publications. On several occasions, for example, foreign exchange reserves have only been published in annual reports (</w:t>
      </w:r>
      <w:r w:rsidR="00CA434F" w:rsidRPr="004C5B23">
        <w:rPr>
          <w:rFonts w:ascii="Garamond" w:hAnsi="Garamond"/>
        </w:rPr>
        <w:t>it was the case only when they represented a very small share of the total portfolio</w:t>
      </w:r>
      <w:r w:rsidRPr="004C5B23">
        <w:rPr>
          <w:rFonts w:ascii="Garamond" w:hAnsi="Garamond"/>
        </w:rPr>
        <w:t>). In addition, the annual ledgers contain much more information on how Banque de France economists translated foreign terms into French, as well as institutional details on foreign central banks.</w:t>
      </w:r>
    </w:p>
    <w:p w14:paraId="775B0BD5" w14:textId="77777777" w:rsidR="00B46124" w:rsidRPr="004C5B23" w:rsidRDefault="00B46124" w:rsidP="00CA2C7F">
      <w:pPr>
        <w:spacing w:line="360" w:lineRule="auto"/>
        <w:jc w:val="both"/>
        <w:rPr>
          <w:rFonts w:ascii="Garamond" w:hAnsi="Garamond"/>
        </w:rPr>
      </w:pPr>
    </w:p>
    <w:p w14:paraId="62F230B2" w14:textId="77777777" w:rsidR="00AA7E72" w:rsidRPr="00AA7E72" w:rsidRDefault="006248C2" w:rsidP="00AA7E72">
      <w:pPr>
        <w:pStyle w:val="Heading2"/>
        <w:rPr>
          <w:rFonts w:ascii="Garamond" w:hAnsi="Garamond"/>
          <w:sz w:val="28"/>
          <w:szCs w:val="28"/>
        </w:rPr>
      </w:pPr>
      <w:bookmarkStart w:id="4" w:name="_Toc2521974"/>
      <w:r w:rsidRPr="00AA7E72">
        <w:rPr>
          <w:sz w:val="28"/>
          <w:szCs w:val="28"/>
        </w:rPr>
        <w:t>Pre</w:t>
      </w:r>
      <w:r w:rsidR="001A6413" w:rsidRPr="00AA7E72">
        <w:rPr>
          <w:sz w:val="28"/>
          <w:szCs w:val="28"/>
        </w:rPr>
        <w:t>s</w:t>
      </w:r>
      <w:r w:rsidRPr="00AA7E72">
        <w:rPr>
          <w:sz w:val="28"/>
          <w:szCs w:val="28"/>
        </w:rPr>
        <w:t>e</w:t>
      </w:r>
      <w:r w:rsidR="001A6413" w:rsidRPr="00AA7E72">
        <w:rPr>
          <w:sz w:val="28"/>
          <w:szCs w:val="28"/>
        </w:rPr>
        <w:t>ntation of the data</w:t>
      </w:r>
      <w:bookmarkEnd w:id="4"/>
      <w:r w:rsidR="008434B6" w:rsidRPr="00AA7E72">
        <w:rPr>
          <w:rFonts w:ascii="Garamond" w:hAnsi="Garamond"/>
          <w:sz w:val="28"/>
          <w:szCs w:val="28"/>
        </w:rPr>
        <w:t xml:space="preserve"> </w:t>
      </w:r>
    </w:p>
    <w:p w14:paraId="46D41C94" w14:textId="55A39020" w:rsidR="00D04183" w:rsidRPr="00AA7E72" w:rsidRDefault="008434B6" w:rsidP="00B46124">
      <w:pPr>
        <w:jc w:val="both"/>
        <w:rPr>
          <w:rFonts w:ascii="Garamond" w:hAnsi="Garamond"/>
        </w:rPr>
      </w:pPr>
      <w:r w:rsidRPr="00AA7E72">
        <w:rPr>
          <w:rFonts w:ascii="Garamond" w:hAnsi="Garamond"/>
        </w:rPr>
        <w:t>(see appendix for a more detailed presentation</w:t>
      </w:r>
      <w:r w:rsidR="00711AA3">
        <w:rPr>
          <w:rFonts w:ascii="Garamond" w:hAnsi="Garamond"/>
        </w:rPr>
        <w:t xml:space="preserve"> and summary statistics</w:t>
      </w:r>
      <w:r w:rsidRPr="00AA7E72">
        <w:rPr>
          <w:rFonts w:ascii="Garamond" w:hAnsi="Garamond"/>
        </w:rPr>
        <w:t>)</w:t>
      </w:r>
    </w:p>
    <w:p w14:paraId="2D864D5E" w14:textId="77777777" w:rsidR="008434B6" w:rsidRPr="008434B6" w:rsidRDefault="008434B6" w:rsidP="008434B6">
      <w:pPr>
        <w:pStyle w:val="ListParagraph"/>
        <w:spacing w:line="360" w:lineRule="auto"/>
        <w:ind w:left="1440"/>
        <w:jc w:val="both"/>
        <w:rPr>
          <w:rFonts w:ascii="Garamond" w:hAnsi="Garamond"/>
          <w:b/>
        </w:rPr>
      </w:pPr>
    </w:p>
    <w:p w14:paraId="5259267E" w14:textId="7C9FF53A" w:rsidR="001A6413" w:rsidRPr="004C5B23" w:rsidRDefault="001A6413" w:rsidP="00CA2C7F">
      <w:pPr>
        <w:spacing w:line="360" w:lineRule="auto"/>
        <w:jc w:val="both"/>
        <w:rPr>
          <w:rFonts w:ascii="Garamond" w:hAnsi="Garamond"/>
        </w:rPr>
      </w:pPr>
      <w:r w:rsidRPr="004C5B23">
        <w:rPr>
          <w:rFonts w:ascii="Garamond" w:hAnsi="Garamond"/>
        </w:rPr>
        <w:t>Following Bloomfield (1959</w:t>
      </w:r>
      <w:r w:rsidR="00CA434F" w:rsidRPr="004C5B23">
        <w:rPr>
          <w:rFonts w:ascii="Garamond" w:hAnsi="Garamond"/>
        </w:rPr>
        <w:t>)</w:t>
      </w:r>
      <w:r w:rsidRPr="004C5B23">
        <w:rPr>
          <w:rFonts w:ascii="Garamond" w:hAnsi="Garamond"/>
        </w:rPr>
        <w:t xml:space="preserve"> the analysis of central banks’ sterilization and exchange rate intervention is based on the evolution of domestic and international portfolios. Fortunately, the harmonized balance sheet provided by the source helped us to build those series. We assembled five major series in this respect: (1) metallic reserves (gold plus silver); (2) foreign papers; (3) foreign funds available into banks’ correspondents; (4) discount portfolio of domestic papers; (5) short term advances on securities and other collaterals. (1), (2), and (3) constitutes the international portfolio while (4) and (5) captures the domestic portfolio.</w:t>
      </w:r>
    </w:p>
    <w:p w14:paraId="4126899D" w14:textId="4C1AF3D6" w:rsidR="006248C2" w:rsidRPr="004C5B23" w:rsidRDefault="006248C2" w:rsidP="00CA2C7F">
      <w:pPr>
        <w:spacing w:line="360" w:lineRule="auto"/>
        <w:ind w:firstLine="720"/>
        <w:jc w:val="both"/>
        <w:rPr>
          <w:rFonts w:ascii="Garamond" w:hAnsi="Garamond"/>
        </w:rPr>
      </w:pPr>
      <w:r w:rsidRPr="004C5B23">
        <w:rPr>
          <w:rFonts w:ascii="Garamond" w:hAnsi="Garamond"/>
        </w:rPr>
        <w:t>Time series #1 consists for the most part of gold coin and gold bullion. It occasionally also contains silver and other specie (e.g., copper and bronze in the case of Sweden). Time series #2 consists of bills of exchange drawn on foreign places. Such a series is recorded for all 21 banks in our sample, even if values are very small (Russia, Serbia), a monthly series is reported but begins relatively late (France in 1906) or the reported series only constitutes a lower-bound estimate (Romania).</w:t>
      </w:r>
      <w:r w:rsidRPr="004C5B23">
        <w:rPr>
          <w:rStyle w:val="FootnoteReference"/>
          <w:rFonts w:ascii="Garamond" w:hAnsi="Garamond"/>
        </w:rPr>
        <w:footnoteReference w:id="13"/>
      </w:r>
      <w:r w:rsidRPr="004C5B23">
        <w:rPr>
          <w:rFonts w:ascii="Garamond" w:hAnsi="Garamond"/>
        </w:rPr>
        <w:t xml:space="preserve"> In the cases of Germany and Portugal, such data are only available on a yearly basis and are of very small value. The very low numbers for France and Germany suggest that central banks in mature money markets bought such bills infrequently and left this business to specialised banks and brokerage firms. By contrast, central banks in peripheral countries acquired an important share of the market for the lack of strong competitors; in some situations, they have well have constituted the only domestic buyer of bills of exchange drawn on foreign places. Time series #3 consists of funds held abroad. Such funds were usually held by so-called foreign correspondents, i.e., typically a foreign commercial bank with whom the bank of note issue was in regular contact. In many cases, fund held abroad reflect bills of exchange drawn on foreign places after reaching maturity. Such bills are classified as time series #2 before the settlement date and as time series #3 thereafter. Time series #1 is typically much larger than time series #2 and #3 combined</w:t>
      </w:r>
      <w:r w:rsidR="00A27763" w:rsidRPr="004C5B23">
        <w:rPr>
          <w:rFonts w:ascii="Garamond" w:hAnsi="Garamond"/>
        </w:rPr>
        <w:t xml:space="preserve"> (</w:t>
      </w:r>
      <w:r w:rsidR="00885CE6" w:rsidRPr="000704C4">
        <w:rPr>
          <w:rFonts w:ascii="Garamond" w:hAnsi="Garamond"/>
        </w:rPr>
        <w:t xml:space="preserve">see </w:t>
      </w:r>
      <w:r w:rsidR="00A27763" w:rsidRPr="000704C4">
        <w:rPr>
          <w:rFonts w:ascii="Garamond" w:hAnsi="Garamond"/>
        </w:rPr>
        <w:t xml:space="preserve">Table </w:t>
      </w:r>
      <w:r w:rsidR="00AC0A94">
        <w:rPr>
          <w:rFonts w:ascii="Garamond" w:hAnsi="Garamond"/>
        </w:rPr>
        <w:t>A</w:t>
      </w:r>
      <w:r w:rsidR="00A27763" w:rsidRPr="000704C4">
        <w:rPr>
          <w:rFonts w:ascii="Garamond" w:hAnsi="Garamond"/>
        </w:rPr>
        <w:t>1</w:t>
      </w:r>
      <w:r w:rsidR="00AC0A94">
        <w:rPr>
          <w:rFonts w:ascii="Garamond" w:hAnsi="Garamond"/>
        </w:rPr>
        <w:t xml:space="preserve"> in the appendix</w:t>
      </w:r>
      <w:r w:rsidR="00A27763" w:rsidRPr="000704C4">
        <w:rPr>
          <w:rFonts w:ascii="Garamond" w:hAnsi="Garamond"/>
        </w:rPr>
        <w:t>)</w:t>
      </w:r>
      <w:r w:rsidRPr="000704C4">
        <w:rPr>
          <w:rFonts w:ascii="Garamond" w:hAnsi="Garamond"/>
        </w:rPr>
        <w:t xml:space="preserve">. The </w:t>
      </w:r>
      <w:r w:rsidRPr="004C5B23">
        <w:rPr>
          <w:rFonts w:ascii="Garamond" w:hAnsi="Garamond"/>
        </w:rPr>
        <w:t>Classical Gold Standard (1870s-1914) was a specie standard at its heart and a larger role for foreign exchange was left to the interwar period. There are typically more bills of exchange drawn on foreign places than foreign funds. Banks of note issue are typically last buyers (and in peripheral countries often first buyers) of such bills in the domestic market.</w:t>
      </w:r>
      <w:r w:rsidR="00312AAC" w:rsidRPr="004C5B23">
        <w:rPr>
          <w:rStyle w:val="FootnoteReference"/>
          <w:rFonts w:ascii="Garamond" w:hAnsi="Garamond"/>
        </w:rPr>
        <w:footnoteReference w:id="14"/>
      </w:r>
    </w:p>
    <w:p w14:paraId="7E7A1DB4" w14:textId="38DEE542" w:rsidR="006248C2" w:rsidRPr="004C5B23" w:rsidRDefault="006248C2" w:rsidP="00CA2C7F">
      <w:pPr>
        <w:spacing w:line="360" w:lineRule="auto"/>
        <w:ind w:firstLine="720"/>
        <w:jc w:val="both"/>
        <w:rPr>
          <w:rFonts w:ascii="Garamond" w:hAnsi="Garamond"/>
        </w:rPr>
      </w:pPr>
      <w:r w:rsidRPr="004C5B23">
        <w:rPr>
          <w:rFonts w:ascii="Garamond" w:hAnsi="Garamond"/>
        </w:rPr>
        <w:t>Time series #4 consists of bills of exchange drawn on domestic places and typically accounts for the majority of the domestic portfolio. (Re-)discounting bills of exchange was at the heart of central bank lending at the time (Bloomfield 1959 is particularly clear on this issue). In a limited number of cases, time series #4 potentially includes a certain amount of foreign bills of exchange (Germany, Portugal). End-of-year comparisons for Portugal and Germany suggest that foreign bills accounted for less than 1% and 10%, respectively. Time series #5 consists of advances. Such advances were typically made available against safe and liquid assets such as government bonds. Yet practice varied with local conditions and we witness a confusing variety of what exactly classifies as an advance. For most countries, a careful comparison of the monthly, quarterly and annual data of the Bank of France delivered the same result. Advances were only made available against safe and liquid assets and their size was small compared to discounted bills of exchange (typically a quarter).</w:t>
      </w:r>
      <w:r w:rsidR="00A27763" w:rsidRPr="004C5B23">
        <w:rPr>
          <w:rStyle w:val="FootnoteReference"/>
          <w:rFonts w:ascii="Garamond" w:hAnsi="Garamond"/>
        </w:rPr>
        <w:footnoteReference w:id="15"/>
      </w:r>
      <w:r w:rsidRPr="004C5B23">
        <w:rPr>
          <w:rFonts w:ascii="Garamond" w:hAnsi="Garamond"/>
        </w:rPr>
        <w:t xml:space="preserve"> Typically, there were many more bills of exchange than advances</w:t>
      </w:r>
      <w:r w:rsidR="00A27763" w:rsidRPr="004C5B23">
        <w:rPr>
          <w:rFonts w:ascii="Garamond" w:hAnsi="Garamond"/>
        </w:rPr>
        <w:t xml:space="preserve"> (</w:t>
      </w:r>
      <w:r w:rsidR="00885CE6" w:rsidRPr="004C5B23">
        <w:rPr>
          <w:rFonts w:ascii="Garamond" w:hAnsi="Garamond"/>
        </w:rPr>
        <w:t xml:space="preserve">see </w:t>
      </w:r>
      <w:r w:rsidR="00A27763" w:rsidRPr="004C5B23">
        <w:rPr>
          <w:rFonts w:ascii="Garamond" w:hAnsi="Garamond"/>
        </w:rPr>
        <w:t xml:space="preserve">Table </w:t>
      </w:r>
      <w:r w:rsidR="00AC0A94">
        <w:rPr>
          <w:rFonts w:ascii="Garamond" w:hAnsi="Garamond"/>
        </w:rPr>
        <w:t>A</w:t>
      </w:r>
      <w:r w:rsidR="00A27763" w:rsidRPr="004C5B23">
        <w:rPr>
          <w:rFonts w:ascii="Garamond" w:hAnsi="Garamond"/>
        </w:rPr>
        <w:t>1</w:t>
      </w:r>
      <w:r w:rsidR="00AC0A94">
        <w:rPr>
          <w:rFonts w:ascii="Garamond" w:hAnsi="Garamond"/>
        </w:rPr>
        <w:t xml:space="preserve"> in the appendix</w:t>
      </w:r>
      <w:r w:rsidR="00A27763" w:rsidRPr="004C5B23">
        <w:rPr>
          <w:rFonts w:ascii="Garamond" w:hAnsi="Garamond"/>
        </w:rPr>
        <w:t>)</w:t>
      </w:r>
      <w:r w:rsidRPr="004C5B23">
        <w:rPr>
          <w:rFonts w:ascii="Garamond" w:hAnsi="Garamond"/>
        </w:rPr>
        <w:t>; a predominance captured in some languages even today when a central bank’s main lending rate is referred to as “discount rate” (e.g., “Diskontsatz” in German).</w:t>
      </w:r>
    </w:p>
    <w:p w14:paraId="2DD28225" w14:textId="77777777" w:rsidR="006248C2" w:rsidRDefault="006248C2" w:rsidP="00CA2C7F">
      <w:pPr>
        <w:spacing w:line="360" w:lineRule="auto"/>
        <w:ind w:firstLine="720"/>
        <w:jc w:val="both"/>
        <w:rPr>
          <w:rFonts w:ascii="Garamond" w:hAnsi="Garamond"/>
        </w:rPr>
      </w:pPr>
      <w:r w:rsidRPr="004C5B23">
        <w:rPr>
          <w:rFonts w:ascii="Garamond" w:hAnsi="Garamond"/>
        </w:rPr>
        <w:t xml:space="preserve">It is worth noting that some additional hypotheses may have been used to build the series depending on each central bank specificities. The data appendix provides all details, justifications, and comparisons in this regard. </w:t>
      </w:r>
    </w:p>
    <w:p w14:paraId="366ABE75" w14:textId="6429C6E0" w:rsidR="00711AA3" w:rsidRPr="00D75AF0" w:rsidRDefault="00711AA3" w:rsidP="00711AA3">
      <w:pPr>
        <w:spacing w:line="360" w:lineRule="auto"/>
        <w:jc w:val="both"/>
        <w:rPr>
          <w:rFonts w:ascii="Garamond" w:hAnsi="Garamond"/>
          <w:sz w:val="18"/>
          <w:szCs w:val="18"/>
        </w:rPr>
      </w:pPr>
    </w:p>
    <w:p w14:paraId="3028AA0A" w14:textId="77777777" w:rsidR="000704C4" w:rsidRDefault="000704C4" w:rsidP="00CA2C7F">
      <w:pPr>
        <w:pStyle w:val="ListParagraph"/>
        <w:spacing w:line="360" w:lineRule="auto"/>
        <w:ind w:left="1080"/>
        <w:jc w:val="both"/>
        <w:rPr>
          <w:rFonts w:ascii="Garamond" w:hAnsi="Garamond"/>
          <w:b/>
        </w:rPr>
      </w:pPr>
    </w:p>
    <w:p w14:paraId="4F15113E" w14:textId="45D75FE5" w:rsidR="006248C2" w:rsidRDefault="006248C2" w:rsidP="008313AD">
      <w:pPr>
        <w:pStyle w:val="Heading1"/>
      </w:pPr>
      <w:bookmarkStart w:id="5" w:name="_Toc2521975"/>
      <w:r w:rsidRPr="004C5B23">
        <w:t xml:space="preserve">Sterilization </w:t>
      </w:r>
      <w:r w:rsidR="008D51C9" w:rsidRPr="004C5B23">
        <w:t xml:space="preserve">and the “rules of the game” </w:t>
      </w:r>
      <w:r w:rsidRPr="004C5B23">
        <w:t>under the gold standard</w:t>
      </w:r>
      <w:bookmarkEnd w:id="5"/>
    </w:p>
    <w:p w14:paraId="72869FA4" w14:textId="0583C242" w:rsidR="00AA7E72" w:rsidRDefault="00AA7E72" w:rsidP="00AA7E72">
      <w:pPr>
        <w:rPr>
          <w:lang w:val="en-US" w:eastAsia="en-US"/>
        </w:rPr>
      </w:pPr>
    </w:p>
    <w:p w14:paraId="2AC017D3" w14:textId="2E7797EC" w:rsidR="00AA7E72" w:rsidRPr="00AA7E72" w:rsidRDefault="00AA7E72" w:rsidP="00AA7E72">
      <w:pPr>
        <w:pStyle w:val="Heading2"/>
        <w:rPr>
          <w:sz w:val="28"/>
          <w:szCs w:val="28"/>
        </w:rPr>
      </w:pPr>
      <w:bookmarkStart w:id="6" w:name="_Toc2521976"/>
      <w:r w:rsidRPr="00AA7E72">
        <w:rPr>
          <w:sz w:val="28"/>
          <w:szCs w:val="28"/>
        </w:rPr>
        <w:t>Definition of sterilization</w:t>
      </w:r>
      <w:bookmarkEnd w:id="6"/>
    </w:p>
    <w:p w14:paraId="764358C7" w14:textId="77777777" w:rsidR="006248C2" w:rsidRPr="004C5B23" w:rsidRDefault="006248C2" w:rsidP="00CA2C7F">
      <w:pPr>
        <w:spacing w:line="360" w:lineRule="auto"/>
        <w:jc w:val="both"/>
        <w:rPr>
          <w:rFonts w:ascii="Garamond" w:hAnsi="Garamond"/>
        </w:rPr>
      </w:pPr>
    </w:p>
    <w:p w14:paraId="10B1C1A8" w14:textId="0392551A" w:rsidR="006248C2" w:rsidRPr="004C5B23" w:rsidRDefault="006248C2" w:rsidP="00CA2C7F">
      <w:pPr>
        <w:spacing w:line="360" w:lineRule="auto"/>
        <w:jc w:val="both"/>
        <w:rPr>
          <w:rFonts w:ascii="Garamond" w:hAnsi="Garamond"/>
        </w:rPr>
      </w:pPr>
      <w:r w:rsidRPr="004C5B23">
        <w:rPr>
          <w:rFonts w:ascii="Garamond" w:hAnsi="Garamond"/>
        </w:rPr>
        <w:t xml:space="preserve">Following Nurkse (1944), Bloomfield (1959) and Triffin (1964), the gold standard literature </w:t>
      </w:r>
      <w:r w:rsidR="008D51C9" w:rsidRPr="004C5B23">
        <w:rPr>
          <w:rFonts w:ascii="Garamond" w:hAnsi="Garamond"/>
        </w:rPr>
        <w:t>uses a</w:t>
      </w:r>
      <w:r w:rsidRPr="004C5B23">
        <w:rPr>
          <w:rFonts w:ascii="Garamond" w:hAnsi="Garamond"/>
        </w:rPr>
        <w:t xml:space="preserve"> </w:t>
      </w:r>
      <w:r w:rsidR="008D51C9" w:rsidRPr="004C5B23">
        <w:rPr>
          <w:rFonts w:ascii="Garamond" w:hAnsi="Garamond"/>
        </w:rPr>
        <w:t xml:space="preserve">broad </w:t>
      </w:r>
      <w:r w:rsidR="00B46124">
        <w:rPr>
          <w:rFonts w:ascii="Garamond" w:hAnsi="Garamond"/>
        </w:rPr>
        <w:t>definition of sterilization</w:t>
      </w:r>
      <w:r w:rsidRPr="004C5B23">
        <w:rPr>
          <w:rFonts w:ascii="Garamond" w:hAnsi="Garamond"/>
        </w:rPr>
        <w:t>. Note that these three authors, writing before Mundell, used the word "neutralization" rather than "sterilization".</w:t>
      </w:r>
      <w:r w:rsidR="008D51C9" w:rsidRPr="004C5B23">
        <w:rPr>
          <w:rFonts w:ascii="Garamond" w:hAnsi="Garamond"/>
        </w:rPr>
        <w:t xml:space="preserve"> The recent literature in international macroeconomics (Reinhart &amp; Reinhart 2008, Aizenman &amp; Glick 2009, Blanchard &amp; Adler 2015) uses sterilization in both a narrow sense (i.e sterilization of foreign exchange interventions) and in a broader sense (i.e sterilization of the effect of capital flows on the domestic money supply). The study of</w:t>
      </w:r>
      <w:r w:rsidRPr="004C5B23">
        <w:rPr>
          <w:rFonts w:ascii="Garamond" w:hAnsi="Garamond"/>
        </w:rPr>
        <w:t xml:space="preserve"> "neutralisation" </w:t>
      </w:r>
      <w:r w:rsidR="008D51C9" w:rsidRPr="004C5B23">
        <w:rPr>
          <w:rFonts w:ascii="Garamond" w:hAnsi="Garamond"/>
        </w:rPr>
        <w:t>by</w:t>
      </w:r>
      <w:r w:rsidRPr="004C5B23">
        <w:rPr>
          <w:rFonts w:ascii="Garamond" w:hAnsi="Garamond"/>
        </w:rPr>
        <w:t xml:space="preserve"> Nurkse and Bloomfield </w:t>
      </w:r>
      <w:r w:rsidR="008D51C9" w:rsidRPr="004C5B23">
        <w:rPr>
          <w:rFonts w:ascii="Garamond" w:hAnsi="Garamond"/>
        </w:rPr>
        <w:t xml:space="preserve">dealt with the money supply (although they looked only at central bank assets). It </w:t>
      </w:r>
      <w:r w:rsidRPr="004C5B23">
        <w:rPr>
          <w:rFonts w:ascii="Garamond" w:hAnsi="Garamond"/>
        </w:rPr>
        <w:t xml:space="preserve">did not require the existence of foreign exchange interventions. This </w:t>
      </w:r>
      <w:r w:rsidR="008434B6">
        <w:rPr>
          <w:rFonts w:ascii="Garamond" w:hAnsi="Garamond"/>
        </w:rPr>
        <w:t>meaning</w:t>
      </w:r>
      <w:r w:rsidRPr="004C5B23">
        <w:rPr>
          <w:rFonts w:ascii="Garamond" w:hAnsi="Garamond"/>
        </w:rPr>
        <w:t xml:space="preserve"> of sterilization must be understood in the context of the price-specie flow mechanism that was supposed to be at the heart of the gold standard's operation. In this context, a deficit country loses gold, which is deflationary. This deflation would then stabilize the balance of payments because domestic goods become cheaper.   In such a framework, the central bank is supposed to play the "rules of the game", i.e. to strengthen the system's natural adjustment process, which involves a price adjustment driven by capital (specie) flows. The central bank should therefore increase its interest rate when the country loses gold in order to accelerate the adjustment.  On the contrary, the central bank could refuse to play the "rules of the game", and "neutralize" capital outflows by expanding domestic credit and maintaining stable interest rates when the country loses gold. The conclusion reached by Nurkse (and subsequently applied by Bloomfield to the classical gold standard) was that the absence of movement of interest rates as a function of capital flows, and the negative correlation between domestic assets and the central bank's international assets, were evidence of a "neutralization" of these flows.  </w:t>
      </w:r>
    </w:p>
    <w:p w14:paraId="0E5F0B26" w14:textId="77777777" w:rsidR="006248C2" w:rsidRPr="004C5B23" w:rsidRDefault="006248C2" w:rsidP="00CA2C7F">
      <w:pPr>
        <w:spacing w:line="360" w:lineRule="auto"/>
        <w:ind w:firstLine="720"/>
        <w:jc w:val="both"/>
        <w:rPr>
          <w:rFonts w:ascii="Garamond" w:hAnsi="Garamond"/>
        </w:rPr>
      </w:pPr>
      <w:r w:rsidRPr="004C5B23">
        <w:rPr>
          <w:rFonts w:ascii="Garamond" w:hAnsi="Garamond"/>
        </w:rPr>
        <w:t xml:space="preserve">The significance of sterilization (or neutralization) in the context of the gold standard is the offsetting of the effect of capital flows on the money supply. It is easy to reformulate this meaning in the context of Mundell's trilemma as a policy that gives autonomy to the central bank despite the constraints of international finance. In a context of free movement of capital and fixed exchange rates, the central bank's interest rate should be concerned with defending the peg. Therefore, when capital flows out of countries, the central bank must also increase its interest rate. Breaking the "rules of the game" is therefore equivalent to escaping the trilemma. </w:t>
      </w:r>
    </w:p>
    <w:p w14:paraId="6F3B5E5C" w14:textId="295BB4BC" w:rsidR="006248C2" w:rsidRPr="004C5B23" w:rsidRDefault="006248C2" w:rsidP="00CA2C7F">
      <w:pPr>
        <w:spacing w:line="360" w:lineRule="auto"/>
        <w:jc w:val="both"/>
        <w:rPr>
          <w:rFonts w:ascii="Garamond" w:hAnsi="Garamond"/>
        </w:rPr>
      </w:pPr>
      <w:r w:rsidRPr="004C5B23">
        <w:rPr>
          <w:rFonts w:ascii="Garamond" w:hAnsi="Garamond"/>
        </w:rPr>
        <w:tab/>
      </w:r>
      <w:r w:rsidR="008D51C9" w:rsidRPr="004C5B23">
        <w:rPr>
          <w:rFonts w:ascii="Garamond" w:hAnsi="Garamond"/>
        </w:rPr>
        <w:t>It</w:t>
      </w:r>
      <w:r w:rsidRPr="004C5B23">
        <w:rPr>
          <w:rFonts w:ascii="Garamond" w:hAnsi="Garamond"/>
        </w:rPr>
        <w:t xml:space="preserve"> was unlikely that "sterilization" would be fully deliberate in the gold standard. This point was already made by Bloomfield (1959, p. 47). First, it was not deliberate because central banks did not use minimum reserve requirements, for example, to act on money supply with the clear aim of avoiding the effects of foreign capital on the domestic price level.  Second, although foreign exchange interventions were sometimes deliberate (Jobst 2009), gold sales were generally not. The loss of gold reserves is due to the fact that the agents requested to redeem their notes in gold, and not to deliberate interventions in the foreign exchange market. But, as Bloomfield pointed out, this does not mean that violating the rules of the game was not an active policy. Indeed, central banks were aware that they were not raising interest rates while they were facing a decline in their international reserves and other central banks were </w:t>
      </w:r>
      <w:r w:rsidR="008D51C9" w:rsidRPr="004C5B23">
        <w:rPr>
          <w:rFonts w:ascii="Garamond" w:hAnsi="Garamond"/>
        </w:rPr>
        <w:t xml:space="preserve">increasing </w:t>
      </w:r>
      <w:r w:rsidRPr="004C5B23">
        <w:rPr>
          <w:rFonts w:ascii="Garamond" w:hAnsi="Garamond"/>
        </w:rPr>
        <w:t>their rates. Yet, how can we observe a negative correlation between the national and international portfolios if it was not a deliberate policy? This point was explained in Bazot, Bordo and Monnet (2016).  In a world where capital mobility is perfect, an increase in the international rate pushes the domestic money market rate up due to arbitrage, while at the same time agents require foreign assets (gold or foreign exchange) from the central bank to obtain a higher return.  The central bank's international assets are declining and the money market rate approaches the level of the central bank discount rate. When it becomes cheaper to borrow from the central bank rather than from the market (at least for a fraction of the banking system), the demand for borrowing increases at the central bank</w:t>
      </w:r>
      <w:r w:rsidR="00580006" w:rsidRPr="004C5B23">
        <w:rPr>
          <w:rFonts w:ascii="Garamond" w:hAnsi="Garamond"/>
        </w:rPr>
        <w:t>. In response,</w:t>
      </w:r>
      <w:r w:rsidRPr="004C5B23">
        <w:rPr>
          <w:rFonts w:ascii="Garamond" w:hAnsi="Garamond"/>
        </w:rPr>
        <w:t xml:space="preserve"> the central bank's domestic assets increase. However, if the central bank plays the "rules of the game", it increases its discount rate; its domestic assets will then decrease. Thus, the negative correlation between the central bank's international and domestic assets is explained by the increasing demand for borrowing at the central bank's discount window when the central bank refuses to increase its rate in line with the international rate (and in accordance with the rules of the game). </w:t>
      </w:r>
    </w:p>
    <w:p w14:paraId="35F46991" w14:textId="45D95BAD" w:rsidR="005C6B4F" w:rsidRDefault="006248C2" w:rsidP="00AA7E72">
      <w:pPr>
        <w:spacing w:line="360" w:lineRule="auto"/>
        <w:ind w:firstLine="720"/>
        <w:jc w:val="both"/>
        <w:rPr>
          <w:rFonts w:ascii="Garamond" w:hAnsi="Garamond"/>
        </w:rPr>
      </w:pPr>
      <w:r w:rsidRPr="004C5B23">
        <w:rPr>
          <w:rFonts w:ascii="Garamond" w:hAnsi="Garamond"/>
        </w:rPr>
        <w:t>One may wonder why central banks wanted to enjoy policy autonomy under the gold standard, since macroeconomic policies, inflation targets or unemployment targets were not yet a concern of monetary authorities. Although they did not have macroeconomic objectives, central banks sought to keep interest rates as stable as possible. This objective was considered essential for the financial development of countries, and in line with the profit objective of those private institutions (</w:t>
      </w:r>
      <w:r w:rsidR="00580006" w:rsidRPr="004C5B23">
        <w:rPr>
          <w:rFonts w:ascii="Garamond" w:hAnsi="Garamond"/>
        </w:rPr>
        <w:t xml:space="preserve">Conant 1915, Bloomfield 1959, Jobst 2009, </w:t>
      </w:r>
      <w:r w:rsidRPr="004C5B23">
        <w:rPr>
          <w:rFonts w:ascii="Garamond" w:hAnsi="Garamond"/>
        </w:rPr>
        <w:t>Martin-Acena et al. 2012, Bazot et al. 2016). Thus, their goal was to maintain stable domestic interest rates and stable exchange rates.</w:t>
      </w:r>
    </w:p>
    <w:p w14:paraId="3E9ECFFE" w14:textId="77777777" w:rsidR="00AA7E72" w:rsidRPr="00AA7E72" w:rsidRDefault="00AA7E72" w:rsidP="00AA7E72">
      <w:pPr>
        <w:spacing w:line="360" w:lineRule="auto"/>
        <w:ind w:firstLine="720"/>
        <w:jc w:val="both"/>
        <w:rPr>
          <w:rFonts w:ascii="Garamond" w:hAnsi="Garamond"/>
        </w:rPr>
      </w:pPr>
    </w:p>
    <w:p w14:paraId="08A9A5A5" w14:textId="5A834169" w:rsidR="005C6B4F" w:rsidRPr="00AA7E72" w:rsidRDefault="005C6B4F" w:rsidP="00CA2C7F">
      <w:pPr>
        <w:pStyle w:val="Heading2"/>
        <w:spacing w:before="0" w:line="360" w:lineRule="auto"/>
        <w:jc w:val="both"/>
        <w:rPr>
          <w:rStyle w:val="Heading1Char"/>
          <w:sz w:val="28"/>
          <w:szCs w:val="28"/>
        </w:rPr>
      </w:pPr>
      <w:bookmarkStart w:id="7" w:name="_Toc2521977"/>
      <w:r w:rsidRPr="00AA7E72">
        <w:rPr>
          <w:rStyle w:val="Heading1Char"/>
          <w:sz w:val="28"/>
          <w:szCs w:val="28"/>
        </w:rPr>
        <w:t>Identification of sterilization</w:t>
      </w:r>
      <w:bookmarkEnd w:id="7"/>
    </w:p>
    <w:p w14:paraId="082947FF" w14:textId="77777777" w:rsidR="008313AD" w:rsidRPr="008313AD" w:rsidRDefault="008313AD" w:rsidP="008313AD">
      <w:pPr>
        <w:rPr>
          <w:lang w:val="en-US" w:eastAsia="en-US"/>
        </w:rPr>
      </w:pPr>
    </w:p>
    <w:p w14:paraId="2D5808D4" w14:textId="77777777" w:rsidR="00D2290F" w:rsidRDefault="00D2290F" w:rsidP="00B46124">
      <w:pPr>
        <w:spacing w:line="360" w:lineRule="auto"/>
        <w:jc w:val="both"/>
        <w:rPr>
          <w:rFonts w:ascii="Garamond" w:hAnsi="Garamond"/>
        </w:rPr>
      </w:pPr>
      <w:r>
        <w:rPr>
          <w:rFonts w:ascii="Garamond" w:hAnsi="Garamond"/>
        </w:rPr>
        <w:t>In order to assess whether central banks offset capital flows, Bloomfield (1959) looked at the correlation between the domestic and the international portfolio. His results were enlightening but his method suffered from a key identification problem which has not been addressed in the subsequent literature on the classical gold standard</w:t>
      </w:r>
      <w:r w:rsidR="00574BDE" w:rsidRPr="004C5B23">
        <w:rPr>
          <w:rFonts w:ascii="Garamond" w:hAnsi="Garamond"/>
        </w:rPr>
        <w:t>.</w:t>
      </w:r>
      <w:r w:rsidR="00365864" w:rsidRPr="004C5B23">
        <w:rPr>
          <w:rStyle w:val="FootnoteReference"/>
          <w:rFonts w:ascii="Garamond" w:hAnsi="Garamond"/>
        </w:rPr>
        <w:footnoteReference w:id="16"/>
      </w:r>
      <w:r w:rsidR="00574BDE" w:rsidRPr="004C5B23">
        <w:rPr>
          <w:rFonts w:ascii="Garamond" w:hAnsi="Garamond"/>
        </w:rPr>
        <w:t xml:space="preserve"> </w:t>
      </w:r>
    </w:p>
    <w:p w14:paraId="079627E2" w14:textId="65B75220" w:rsidR="00574BDE" w:rsidRPr="004C5B23" w:rsidRDefault="00D2290F" w:rsidP="00D2290F">
      <w:pPr>
        <w:spacing w:line="360" w:lineRule="auto"/>
        <w:ind w:firstLine="720"/>
        <w:jc w:val="both"/>
        <w:rPr>
          <w:rFonts w:ascii="Garamond" w:hAnsi="Garamond"/>
        </w:rPr>
      </w:pPr>
      <w:r>
        <w:rPr>
          <w:rFonts w:ascii="Garamond" w:hAnsi="Garamond"/>
        </w:rPr>
        <w:t>M</w:t>
      </w:r>
      <w:r w:rsidR="00574BDE" w:rsidRPr="004C5B23">
        <w:rPr>
          <w:rFonts w:ascii="Garamond" w:hAnsi="Garamond"/>
        </w:rPr>
        <w:t>easuring sterilization by looking at the simple correlation between international and domestic assets suffers from strong reverse causality and omitted variable bias</w:t>
      </w:r>
      <w:r>
        <w:rPr>
          <w:rFonts w:ascii="Garamond" w:hAnsi="Garamond"/>
        </w:rPr>
        <w:t xml:space="preserve"> (see for example Obstfeld 1982)</w:t>
      </w:r>
      <w:r w:rsidR="00574BDE" w:rsidRPr="004C5B23">
        <w:rPr>
          <w:rFonts w:ascii="Garamond" w:hAnsi="Garamond"/>
        </w:rPr>
        <w:t>. For example, the evolution of the domestic portfolio can influence the change in the international assets if central banks decide to equalize their financial return. More importantly, many factors can influence the path of domestic assets, and might be linked to the balance of payments, such as seasonal economic shocks or banking crises. The historical literature on the gold standard (Dutton 1984, Pippenger 1984, Reis 2007, etc. ) has not taken into consideration these discussions about identification, with the exception of Bazot et al. (2016)</w:t>
      </w:r>
      <w:r w:rsidR="00347112">
        <w:rPr>
          <w:rFonts w:ascii="Garamond" w:hAnsi="Garamond"/>
        </w:rPr>
        <w:t>.</w:t>
      </w:r>
    </w:p>
    <w:p w14:paraId="0DF331FE" w14:textId="3EC6EE07" w:rsidR="00574BDE" w:rsidRPr="004C5B23" w:rsidRDefault="00347112" w:rsidP="00CA2C7F">
      <w:pPr>
        <w:spacing w:line="360" w:lineRule="auto"/>
        <w:ind w:firstLine="720"/>
        <w:jc w:val="both"/>
        <w:rPr>
          <w:rFonts w:ascii="Garamond" w:hAnsi="Garamond"/>
        </w:rPr>
      </w:pPr>
      <w:r>
        <w:rPr>
          <w:rFonts w:ascii="Garamond" w:hAnsi="Garamond"/>
        </w:rPr>
        <w:t xml:space="preserve">Omitted variable bias is </w:t>
      </w:r>
      <w:r w:rsidR="00574BDE" w:rsidRPr="004C5B23">
        <w:rPr>
          <w:rFonts w:ascii="Garamond" w:hAnsi="Garamond"/>
        </w:rPr>
        <w:t xml:space="preserve">likely to be even more significant in gold standard studies because researchers take into account a much more limited set of variables, given the lack of macroeconomic data for most countries. Consider, for example, a negative domestic shock on agricultural activity that, at the same time, increases borrowing from the discount window and increases imports (to compensate for crop failure) and capital outflows (Hanes &amp; Rhode 2013). The high seasonality of domestic credit during this period has made this case quite frequent. However, it is not enough to take seasonality into account, as such domestic shocks could also occur without being seasonal. It could be the case of a banking crisis, for example, which causes at the same time an outflow of capital and an increase in the domestic portfolio of the central bank if the latter is playing the role of lender of last resort. </w:t>
      </w:r>
    </w:p>
    <w:p w14:paraId="6A1A820B" w14:textId="587F38B2" w:rsidR="00724901" w:rsidRDefault="00574BDE" w:rsidP="000A7B27">
      <w:pPr>
        <w:spacing w:line="360" w:lineRule="auto"/>
        <w:ind w:firstLine="720"/>
        <w:jc w:val="both"/>
        <w:rPr>
          <w:rFonts w:ascii="Garamond" w:hAnsi="Garamond"/>
        </w:rPr>
      </w:pPr>
      <w:r w:rsidRPr="004C5B23">
        <w:rPr>
          <w:rFonts w:ascii="Garamond" w:hAnsi="Garamond"/>
        </w:rPr>
        <w:t>It is impossible to control for (or identify) these domestic shocks in our sample of countries because we have reliable monthly data on real activity for only three countries (and they do not include agricultural activity).</w:t>
      </w:r>
      <w:r w:rsidR="00D23C33" w:rsidRPr="004C5B23">
        <w:rPr>
          <w:rFonts w:ascii="Garamond" w:hAnsi="Garamond"/>
        </w:rPr>
        <w:t xml:space="preserve"> It is obviously interesting in itself to </w:t>
      </w:r>
      <w:r w:rsidR="00D23C33" w:rsidRPr="000704C4">
        <w:rPr>
          <w:rFonts w:ascii="Garamond" w:hAnsi="Garamond"/>
        </w:rPr>
        <w:t>study how central banks smooth seasonal fluctuations in domestic credit or responded to domestic banking crises. But it is left for further research. What matters for this article is to propose an identification of sterilization which is fully consistent with the original idea of Nurkse and Bloomfield</w:t>
      </w:r>
      <w:r w:rsidR="00365864" w:rsidRPr="000704C4">
        <w:rPr>
          <w:rFonts w:ascii="Garamond" w:hAnsi="Garamond"/>
        </w:rPr>
        <w:t xml:space="preserve"> and the subsequent literature on dilemma/trilemma</w:t>
      </w:r>
      <w:r w:rsidR="00D2290F">
        <w:rPr>
          <w:rFonts w:ascii="Garamond" w:hAnsi="Garamond"/>
        </w:rPr>
        <w:t xml:space="preserve">, </w:t>
      </w:r>
      <w:r w:rsidR="00347112">
        <w:rPr>
          <w:rFonts w:ascii="Garamond" w:hAnsi="Garamond"/>
        </w:rPr>
        <w:t>t</w:t>
      </w:r>
      <w:r w:rsidR="00D23C33" w:rsidRPr="000704C4">
        <w:rPr>
          <w:rFonts w:ascii="Garamond" w:hAnsi="Garamond"/>
        </w:rPr>
        <w:t>hat is how central banks are able to offset the effect of “exogenous” international capital flows on the domestic money supply.   For this reason, we follow Bazot, Bordo &amp; Monnet (2016) who focus on a specific international shock---e.g. a rise in the BoE discount rate---which proves to be easier to identify than a domestic shock.</w:t>
      </w:r>
      <w:r w:rsidR="00C63589">
        <w:rPr>
          <w:rFonts w:ascii="Garamond" w:hAnsi="Garamond"/>
        </w:rPr>
        <w:t xml:space="preserve"> </w:t>
      </w:r>
      <w:r w:rsidR="00C63589" w:rsidRPr="004C5B23">
        <w:rPr>
          <w:rFonts w:ascii="Garamond" w:hAnsi="Garamond"/>
        </w:rPr>
        <w:t xml:space="preserve">In this set-up, a change to the discount rate of the Bank of England – the conductor of the orchestra in Keynes’ famous words, an assessment supported by subsequent research </w:t>
      </w:r>
      <w:r w:rsidR="00C63589" w:rsidRPr="000704C4">
        <w:rPr>
          <w:rFonts w:ascii="Garamond" w:hAnsi="Garamond"/>
        </w:rPr>
        <w:t>(Eichengreen 1987) – is the quintessential shock to the monetary system of another country. Balance-of-payments adjus</w:t>
      </w:r>
      <w:r w:rsidR="00C63589" w:rsidRPr="004C5B23">
        <w:rPr>
          <w:rFonts w:ascii="Garamond" w:hAnsi="Garamond"/>
        </w:rPr>
        <w:t xml:space="preserve">tment can come by means of (here illustrated by an </w:t>
      </w:r>
      <w:r w:rsidR="00C63589" w:rsidRPr="004C5B23">
        <w:rPr>
          <w:rFonts w:ascii="Garamond" w:hAnsi="Garamond"/>
          <w:i/>
        </w:rPr>
        <w:t>increase</w:t>
      </w:r>
      <w:r w:rsidR="00C63589" w:rsidRPr="004C5B23">
        <w:rPr>
          <w:rFonts w:ascii="Garamond" w:hAnsi="Garamond"/>
        </w:rPr>
        <w:t xml:space="preserve"> of the</w:t>
      </w:r>
      <w:r w:rsidR="00C63589">
        <w:rPr>
          <w:rFonts w:ascii="Garamond" w:hAnsi="Garamond"/>
        </w:rPr>
        <w:t xml:space="preserve"> Bank of England discount rate).</w:t>
      </w:r>
      <w:r w:rsidR="00D23C33" w:rsidRPr="000704C4">
        <w:rPr>
          <w:rFonts w:ascii="Garamond" w:hAnsi="Garamond"/>
        </w:rPr>
        <w:t xml:space="preserve"> The advantage of such identification is twofold. First, movements in the Bank of England (BoE) discount rate can be deemed exogenous to the behaviour of other central banks during this period</w:t>
      </w:r>
      <w:r w:rsidR="00D75AF0">
        <w:rPr>
          <w:rFonts w:ascii="Garamond" w:hAnsi="Garamond"/>
        </w:rPr>
        <w:t xml:space="preserve"> (Jordà et al., 2019)</w:t>
      </w:r>
      <w:r w:rsidR="00D23C33" w:rsidRPr="000704C4">
        <w:rPr>
          <w:rFonts w:ascii="Garamond" w:hAnsi="Garamond"/>
        </w:rPr>
        <w:t>.</w:t>
      </w:r>
      <w:r w:rsidR="006E228A">
        <w:rPr>
          <w:rStyle w:val="FootnoteReference"/>
          <w:rFonts w:ascii="Garamond" w:hAnsi="Garamond"/>
        </w:rPr>
        <w:footnoteReference w:id="17"/>
      </w:r>
      <w:r w:rsidR="00D23C33" w:rsidRPr="000704C4">
        <w:rPr>
          <w:rFonts w:ascii="Garamond" w:hAnsi="Garamond"/>
        </w:rPr>
        <w:t xml:space="preserve"> Second, we can verify – for each country – whether this shock is indeed a shock that is likely to drive capital flows</w:t>
      </w:r>
      <w:r w:rsidR="00365864" w:rsidRPr="000704C4">
        <w:rPr>
          <w:rFonts w:ascii="Garamond" w:hAnsi="Garamond"/>
        </w:rPr>
        <w:t>,</w:t>
      </w:r>
      <w:r w:rsidR="00D23C33" w:rsidRPr="000704C4">
        <w:rPr>
          <w:rFonts w:ascii="Garamond" w:hAnsi="Garamond"/>
        </w:rPr>
        <w:t xml:space="preserve"> by looking at the reaction of the exchange rate. If the exchange rate </w:t>
      </w:r>
      <w:r w:rsidR="00365864" w:rsidRPr="000704C4">
        <w:rPr>
          <w:rFonts w:ascii="Garamond" w:hAnsi="Garamond"/>
        </w:rPr>
        <w:t>does not react</w:t>
      </w:r>
      <w:r w:rsidR="00D23C33" w:rsidRPr="000704C4">
        <w:rPr>
          <w:rFonts w:ascii="Garamond" w:hAnsi="Garamond"/>
        </w:rPr>
        <w:t xml:space="preserve"> to an increase in the BoE rate, </w:t>
      </w:r>
      <w:r w:rsidR="00365864" w:rsidRPr="000704C4">
        <w:rPr>
          <w:rFonts w:ascii="Garamond" w:hAnsi="Garamond"/>
        </w:rPr>
        <w:t>it means that the country was not financially integrated enough to require its central bank to offset the effects of capital flows.</w:t>
      </w:r>
    </w:p>
    <w:p w14:paraId="23AEED7E" w14:textId="7068B85C" w:rsidR="001F355B" w:rsidRDefault="001F355B" w:rsidP="000A7B27">
      <w:pPr>
        <w:spacing w:line="360" w:lineRule="auto"/>
        <w:ind w:firstLine="720"/>
        <w:jc w:val="both"/>
        <w:rPr>
          <w:rFonts w:ascii="Garamond" w:hAnsi="Garamond"/>
        </w:rPr>
      </w:pPr>
    </w:p>
    <w:p w14:paraId="7C75A0CC" w14:textId="77777777" w:rsidR="001F355B" w:rsidRPr="004C5B23" w:rsidRDefault="001F355B" w:rsidP="000A7B27">
      <w:pPr>
        <w:spacing w:line="360" w:lineRule="auto"/>
        <w:ind w:firstLine="720"/>
        <w:jc w:val="both"/>
        <w:rPr>
          <w:rFonts w:ascii="Garamond" w:hAnsi="Garamond"/>
        </w:rPr>
      </w:pPr>
    </w:p>
    <w:p w14:paraId="2F66AD32" w14:textId="3F55F312" w:rsidR="00724901" w:rsidRPr="004C5B23" w:rsidRDefault="008C0331" w:rsidP="00AA7E72">
      <w:pPr>
        <w:pStyle w:val="Heading1"/>
        <w:rPr>
          <w:rFonts w:ascii="Garamond" w:hAnsi="Garamond"/>
          <w:b/>
        </w:rPr>
      </w:pPr>
      <w:bookmarkStart w:id="8" w:name="_Toc2521978"/>
      <w:r>
        <w:t>Theory and methods of estimations</w:t>
      </w:r>
      <w:bookmarkEnd w:id="8"/>
    </w:p>
    <w:p w14:paraId="110F1E6D" w14:textId="77777777" w:rsidR="00724901" w:rsidRPr="004C5B23" w:rsidRDefault="00724901" w:rsidP="00CA2C7F">
      <w:pPr>
        <w:spacing w:line="360" w:lineRule="auto"/>
        <w:jc w:val="both"/>
        <w:rPr>
          <w:rFonts w:ascii="Garamond" w:hAnsi="Garamond"/>
          <w:b/>
        </w:rPr>
      </w:pPr>
    </w:p>
    <w:p w14:paraId="0C0EE51D" w14:textId="7ED4064A" w:rsidR="00724901" w:rsidRDefault="00C63589" w:rsidP="00C63589">
      <w:pPr>
        <w:pStyle w:val="Heading2"/>
        <w:rPr>
          <w:sz w:val="28"/>
          <w:szCs w:val="28"/>
        </w:rPr>
      </w:pPr>
      <w:bookmarkStart w:id="9" w:name="_Toc2521979"/>
      <w:r>
        <w:rPr>
          <w:sz w:val="28"/>
          <w:szCs w:val="28"/>
        </w:rPr>
        <w:t>Theoretical predictions</w:t>
      </w:r>
      <w:bookmarkEnd w:id="9"/>
    </w:p>
    <w:p w14:paraId="270232F4" w14:textId="77777777" w:rsidR="00C63589" w:rsidRPr="00C63589" w:rsidRDefault="00C63589" w:rsidP="00C63589">
      <w:pPr>
        <w:rPr>
          <w:lang w:val="en-US" w:eastAsia="en-US"/>
        </w:rPr>
      </w:pPr>
    </w:p>
    <w:p w14:paraId="25105A2F" w14:textId="1380FB13" w:rsidR="00B46124" w:rsidRPr="004C5B23" w:rsidRDefault="0039313B" w:rsidP="006C0C1E">
      <w:pPr>
        <w:spacing w:line="360" w:lineRule="auto"/>
        <w:jc w:val="both"/>
        <w:rPr>
          <w:rFonts w:ascii="Garamond" w:hAnsi="Garamond"/>
        </w:rPr>
      </w:pPr>
      <w:r>
        <w:rPr>
          <w:rFonts w:ascii="Garamond" w:hAnsi="Garamond"/>
          <w:lang w:val="en-US"/>
        </w:rPr>
        <w:t>Consistent with the previous definition of sterilization, the work of Nurkse (1944), Bloomfield (1959)</w:t>
      </w:r>
      <w:r w:rsidR="008F5F94">
        <w:rPr>
          <w:rFonts w:ascii="Garamond" w:hAnsi="Garamond"/>
          <w:lang w:val="en-US"/>
        </w:rPr>
        <w:t>, Mundell (1963)</w:t>
      </w:r>
      <w:r>
        <w:rPr>
          <w:rFonts w:ascii="Garamond" w:hAnsi="Garamond"/>
          <w:lang w:val="en-US"/>
        </w:rPr>
        <w:t xml:space="preserve"> and recent reformulations of the trilemma in international macroeconomics (Obstfeld &amp; Taylor 2004) imply the following theoretical</w:t>
      </w:r>
      <w:r w:rsidR="008F5F94">
        <w:rPr>
          <w:rFonts w:ascii="Garamond" w:hAnsi="Garamond"/>
          <w:lang w:val="en-US"/>
        </w:rPr>
        <w:t xml:space="preserve"> predictions and potential scenarios after an increase in the discount rate of the Bank of England. </w:t>
      </w:r>
      <w:r w:rsidR="008F5F94">
        <w:rPr>
          <w:rFonts w:ascii="Garamond" w:hAnsi="Garamond"/>
        </w:rPr>
        <w:t xml:space="preserve"> The first scenario (“rules of the game”) is equivalent to the plain </w:t>
      </w:r>
      <w:r w:rsidR="008F5F94" w:rsidRPr="008F5F94">
        <w:rPr>
          <w:rFonts w:ascii="Garamond" w:hAnsi="Garamond"/>
          <w:i/>
        </w:rPr>
        <w:t>trilemma</w:t>
      </w:r>
      <w:r w:rsidR="008F5F94">
        <w:rPr>
          <w:rFonts w:ascii="Garamond" w:hAnsi="Garamond"/>
        </w:rPr>
        <w:t xml:space="preserve"> case with fixed exchange rate and full capital mobility. Scenario 2 is the same case where we consider the role of effective central bank sterilization rounding the corners of the </w:t>
      </w:r>
      <w:r w:rsidR="008F5F94" w:rsidRPr="008F5F94">
        <w:rPr>
          <w:rFonts w:ascii="Garamond" w:hAnsi="Garamond"/>
          <w:i/>
        </w:rPr>
        <w:t>trilemma</w:t>
      </w:r>
      <w:r w:rsidR="008F5F94">
        <w:rPr>
          <w:rFonts w:ascii="Garamond" w:hAnsi="Garamond"/>
        </w:rPr>
        <w:t xml:space="preserve">, as explained in the previous section. Although discussed in theory (Mundell 1963, Obstfeld 1982), this scenario is usually not investigated in empirical studies of the trilemma. Scenario 3 is the </w:t>
      </w:r>
      <w:r w:rsidR="008F5F94" w:rsidRPr="008F5F94">
        <w:rPr>
          <w:rFonts w:ascii="Garamond" w:hAnsi="Garamond"/>
          <w:i/>
        </w:rPr>
        <w:t>trilemma</w:t>
      </w:r>
      <w:r w:rsidR="008F5F94">
        <w:rPr>
          <w:rFonts w:ascii="Garamond" w:hAnsi="Garamond"/>
        </w:rPr>
        <w:t xml:space="preserve"> case with fixed exchange rates and capital controls. Scenario 4 is the </w:t>
      </w:r>
      <w:r w:rsidR="008F5F94" w:rsidRPr="008F5F94">
        <w:rPr>
          <w:rFonts w:ascii="Garamond" w:hAnsi="Garamond"/>
          <w:i/>
        </w:rPr>
        <w:t xml:space="preserve">trilemma </w:t>
      </w:r>
      <w:r w:rsidR="008F5F94" w:rsidRPr="008F5F94">
        <w:rPr>
          <w:rFonts w:ascii="Garamond" w:hAnsi="Garamond"/>
        </w:rPr>
        <w:t>case</w:t>
      </w:r>
      <w:r w:rsidR="008F5F94">
        <w:rPr>
          <w:rFonts w:ascii="Garamond" w:hAnsi="Garamond"/>
        </w:rPr>
        <w:t xml:space="preserve"> with floating exchange rates. </w:t>
      </w:r>
    </w:p>
    <w:p w14:paraId="78A63E89" w14:textId="77777777" w:rsidR="006C0C1E" w:rsidRPr="004C5B23" w:rsidRDefault="006C0C1E" w:rsidP="006C0C1E">
      <w:pPr>
        <w:spacing w:line="360" w:lineRule="auto"/>
        <w:jc w:val="both"/>
        <w:rPr>
          <w:rFonts w:ascii="Garamond" w:hAnsi="Garamond"/>
        </w:rPr>
      </w:pPr>
    </w:p>
    <w:p w14:paraId="1CB9F83F" w14:textId="77777777" w:rsidR="006C0C1E" w:rsidRPr="004C5B23" w:rsidRDefault="006C0C1E" w:rsidP="006C0C1E">
      <w:pPr>
        <w:spacing w:line="360" w:lineRule="auto"/>
        <w:jc w:val="both"/>
        <w:rPr>
          <w:rFonts w:ascii="Garamond" w:hAnsi="Garamond"/>
          <w:b/>
        </w:rPr>
      </w:pPr>
      <w:r w:rsidRPr="004C5B23">
        <w:rPr>
          <w:rFonts w:ascii="Garamond" w:hAnsi="Garamond"/>
          <w:b/>
        </w:rPr>
        <w:t>Scenario 1: Playing by the rules of the game</w:t>
      </w:r>
    </w:p>
    <w:p w14:paraId="1E4045F5" w14:textId="32BCD1C4" w:rsidR="006C0C1E" w:rsidRDefault="006C0C1E" w:rsidP="006C0C1E">
      <w:pPr>
        <w:spacing w:line="360" w:lineRule="auto"/>
        <w:jc w:val="both"/>
        <w:rPr>
          <w:rFonts w:ascii="Garamond" w:hAnsi="Garamond"/>
        </w:rPr>
      </w:pPr>
      <w:r w:rsidRPr="004C5B23">
        <w:rPr>
          <w:rFonts w:ascii="Garamond" w:hAnsi="Garamond"/>
        </w:rPr>
        <w:t xml:space="preserve">In a country which played the “rules of the games” and whose central bank sacrificed its autonomy, an increase in the BoE rate should be followed by an increase in the domestic central bank’s discount rate (which would then stabilize the exchange rate). </w:t>
      </w:r>
      <w:r w:rsidR="008D6649">
        <w:rPr>
          <w:rFonts w:ascii="Garamond" w:hAnsi="Garamond"/>
        </w:rPr>
        <w:t xml:space="preserve">If the foreign central bank increases its rate by the same magnitude as the BoE, the reaction of the exchange rate may not be visible at a monthly frequency since the exchange rate adjusts quickly through the uncovered interest rate parity. </w:t>
      </w:r>
      <w:r w:rsidRPr="004C5B23">
        <w:rPr>
          <w:rFonts w:ascii="Garamond" w:hAnsi="Garamond"/>
        </w:rPr>
        <w:t>If</w:t>
      </w:r>
      <w:r w:rsidR="008D6649">
        <w:rPr>
          <w:rFonts w:ascii="Garamond" w:hAnsi="Garamond"/>
        </w:rPr>
        <w:t xml:space="preserve"> the exchange rate does not adjust immediately and</w:t>
      </w:r>
      <w:r w:rsidRPr="004C5B23">
        <w:rPr>
          <w:rFonts w:ascii="Garamond" w:hAnsi="Garamond"/>
        </w:rPr>
        <w:t xml:space="preserve"> the shock of the BoE rate is large enough to move down the gold reserves, we should observe an equivalent decrease of the domestic assets of the central bank. The positive correlation between domestic and international assets of central banks is what Bloomfield (1959)---following</w:t>
      </w:r>
      <w:r w:rsidR="008D6649">
        <w:rPr>
          <w:rFonts w:ascii="Garamond" w:hAnsi="Garamond"/>
        </w:rPr>
        <w:t xml:space="preserve"> Nurkse (1944)---identified as the second</w:t>
      </w:r>
      <w:r w:rsidRPr="004C5B23">
        <w:rPr>
          <w:rFonts w:ascii="Garamond" w:hAnsi="Garamond"/>
        </w:rPr>
        <w:t xml:space="preserve"> key consequence of the “rules of the game” of the gold standard: a central bank was meant to exacerbate the external shock in order to accelerate the adjustment process.</w:t>
      </w:r>
      <w:r w:rsidR="008D6649">
        <w:rPr>
          <w:rFonts w:ascii="Garamond" w:hAnsi="Garamond"/>
        </w:rPr>
        <w:t xml:space="preserve"> </w:t>
      </w:r>
    </w:p>
    <w:p w14:paraId="0F01DDCC" w14:textId="77777777" w:rsidR="00B46124" w:rsidRPr="004C5B23" w:rsidRDefault="00B46124" w:rsidP="006C0C1E">
      <w:pPr>
        <w:spacing w:line="360" w:lineRule="auto"/>
        <w:jc w:val="both"/>
        <w:rPr>
          <w:rFonts w:ascii="Garamond" w:hAnsi="Garamond"/>
        </w:rPr>
      </w:pPr>
    </w:p>
    <w:p w14:paraId="22C8988E" w14:textId="50E24D7F" w:rsidR="006C0C1E" w:rsidRPr="004C5B23" w:rsidRDefault="008D6649" w:rsidP="006C0C1E">
      <w:pPr>
        <w:spacing w:line="360" w:lineRule="auto"/>
        <w:jc w:val="both"/>
        <w:rPr>
          <w:rFonts w:ascii="Garamond" w:hAnsi="Garamond"/>
          <w:b/>
        </w:rPr>
      </w:pPr>
      <w:r>
        <w:rPr>
          <w:rFonts w:ascii="Garamond" w:hAnsi="Garamond"/>
          <w:b/>
        </w:rPr>
        <w:t>Scenario 2: Steriliz</w:t>
      </w:r>
      <w:r w:rsidR="006C0C1E" w:rsidRPr="004C5B23">
        <w:rPr>
          <w:rFonts w:ascii="Garamond" w:hAnsi="Garamond"/>
          <w:b/>
        </w:rPr>
        <w:t>ation</w:t>
      </w:r>
    </w:p>
    <w:p w14:paraId="6A544978" w14:textId="46E73685" w:rsidR="0039313B" w:rsidRDefault="006C0C1E" w:rsidP="006C0C1E">
      <w:pPr>
        <w:spacing w:line="360" w:lineRule="auto"/>
        <w:jc w:val="both"/>
        <w:rPr>
          <w:rFonts w:ascii="Garamond" w:hAnsi="Garamond"/>
        </w:rPr>
      </w:pPr>
      <w:r w:rsidRPr="004C5B23">
        <w:rPr>
          <w:rFonts w:ascii="Garamond" w:hAnsi="Garamond"/>
        </w:rPr>
        <w:t xml:space="preserve">On the contrary, a decrease in international assets coupled with an increase in domestic assets is evidence of sterilization. The central bank compensates capital outflows by credit creation. </w:t>
      </w:r>
      <w:r w:rsidR="008D6649">
        <w:rPr>
          <w:rFonts w:ascii="Garamond" w:hAnsi="Garamond"/>
        </w:rPr>
        <w:t xml:space="preserve">It offsets the effect of international capital flows on the money supply. </w:t>
      </w:r>
      <w:r w:rsidRPr="004C5B23">
        <w:rPr>
          <w:rFonts w:ascii="Garamond" w:hAnsi="Garamond"/>
        </w:rPr>
        <w:t xml:space="preserve">Expanded credit means that the discount rate needs to be raised by less than under scenario 1; consequently, we should observe a smaller reaction of the domestic discount rate to an increase in the Bank of England rate. </w:t>
      </w:r>
      <w:r w:rsidR="0039313B">
        <w:rPr>
          <w:rFonts w:ascii="Garamond" w:hAnsi="Garamond"/>
        </w:rPr>
        <w:t xml:space="preserve">As explained above, the central bank increases its lending to domestic banks because the increase in the BoE rate increases the domestic money market rate, and thus, the demand of banks at the central bank discount window. The alternative choice for the central bank would be to follow the increase in the domestic money market rate, thus acting as in scenario 1. </w:t>
      </w:r>
    </w:p>
    <w:p w14:paraId="1A7D9E3E" w14:textId="4756DC75" w:rsidR="000901A1" w:rsidRDefault="008D6649" w:rsidP="0039313B">
      <w:pPr>
        <w:spacing w:line="360" w:lineRule="auto"/>
        <w:ind w:firstLine="720"/>
        <w:jc w:val="both"/>
        <w:rPr>
          <w:rFonts w:ascii="Garamond" w:hAnsi="Garamond"/>
        </w:rPr>
      </w:pPr>
      <w:r>
        <w:rPr>
          <w:rFonts w:ascii="Garamond" w:hAnsi="Garamond"/>
        </w:rPr>
        <w:t>A</w:t>
      </w:r>
      <w:r w:rsidR="006C0C1E" w:rsidRPr="004C5B23">
        <w:rPr>
          <w:rFonts w:ascii="Garamond" w:hAnsi="Garamond"/>
        </w:rPr>
        <w:t>s long as the central bank is committed to convertibility (unconditional and immediate conv</w:t>
      </w:r>
      <w:r>
        <w:rPr>
          <w:rFonts w:ascii="Garamond" w:hAnsi="Garamond"/>
        </w:rPr>
        <w:t>ersion of bank notes into gold), the exchange rate should be quick to come back to mint parity because of gold outflows or foreign exchange intervention.</w:t>
      </w:r>
    </w:p>
    <w:p w14:paraId="04913D2E" w14:textId="3AEA5D8C" w:rsidR="006C0C1E" w:rsidRPr="004C5B23" w:rsidRDefault="0039313B" w:rsidP="000901A1">
      <w:pPr>
        <w:spacing w:line="360" w:lineRule="auto"/>
        <w:ind w:firstLine="720"/>
        <w:jc w:val="both"/>
        <w:rPr>
          <w:rFonts w:ascii="Garamond" w:hAnsi="Garamond"/>
        </w:rPr>
      </w:pPr>
      <w:r>
        <w:rPr>
          <w:rFonts w:ascii="Garamond" w:hAnsi="Garamond"/>
        </w:rPr>
        <w:t>Sterilization does</w:t>
      </w:r>
      <w:r w:rsidR="000901A1">
        <w:rPr>
          <w:rFonts w:ascii="Garamond" w:hAnsi="Garamond"/>
        </w:rPr>
        <w:t xml:space="preserve"> not prevent the global functioning of</w:t>
      </w:r>
      <w:r w:rsidR="00673C4A">
        <w:rPr>
          <w:rFonts w:ascii="Garamond" w:hAnsi="Garamond"/>
        </w:rPr>
        <w:t xml:space="preserve"> the Gold Standard </w:t>
      </w:r>
      <w:r>
        <w:rPr>
          <w:rFonts w:ascii="Garamond" w:hAnsi="Garamond"/>
        </w:rPr>
        <w:t xml:space="preserve">either, i.e </w:t>
      </w:r>
      <w:r w:rsidR="00673C4A">
        <w:rPr>
          <w:rFonts w:ascii="Garamond" w:hAnsi="Garamond"/>
        </w:rPr>
        <w:t>gold</w:t>
      </w:r>
      <w:r w:rsidR="00E94F81">
        <w:rPr>
          <w:rFonts w:ascii="Garamond" w:hAnsi="Garamond"/>
        </w:rPr>
        <w:t xml:space="preserve"> flows</w:t>
      </w:r>
      <w:r w:rsidR="00B46124">
        <w:rPr>
          <w:rFonts w:ascii="Garamond" w:hAnsi="Garamond"/>
        </w:rPr>
        <w:t xml:space="preserve"> </w:t>
      </w:r>
      <w:r w:rsidR="00EA37F0">
        <w:rPr>
          <w:rFonts w:ascii="Garamond" w:hAnsi="Garamond"/>
        </w:rPr>
        <w:t xml:space="preserve">playing a </w:t>
      </w:r>
      <w:r w:rsidR="00E94F81">
        <w:rPr>
          <w:rFonts w:ascii="Garamond" w:hAnsi="Garamond"/>
        </w:rPr>
        <w:t xml:space="preserve">strong </w:t>
      </w:r>
      <w:r w:rsidR="00EA37F0">
        <w:rPr>
          <w:rFonts w:ascii="Garamond" w:hAnsi="Garamond"/>
        </w:rPr>
        <w:t>stabilizing role</w:t>
      </w:r>
      <w:r w:rsidR="000901A1">
        <w:rPr>
          <w:rFonts w:ascii="Garamond" w:hAnsi="Garamond"/>
        </w:rPr>
        <w:t>. To understand this point l</w:t>
      </w:r>
      <w:r w:rsidR="000901A1" w:rsidRPr="000901A1">
        <w:rPr>
          <w:rFonts w:ascii="Garamond" w:hAnsi="Garamond"/>
        </w:rPr>
        <w:t>et's assume that an investor wants to invests</w:t>
      </w:r>
      <w:r w:rsidR="000901A1">
        <w:rPr>
          <w:rFonts w:ascii="Garamond" w:hAnsi="Garamond"/>
        </w:rPr>
        <w:t xml:space="preserve"> its</w:t>
      </w:r>
      <w:r w:rsidR="00EA37F0">
        <w:rPr>
          <w:rFonts w:ascii="Garamond" w:hAnsi="Garamond"/>
        </w:rPr>
        <w:t xml:space="preserve"> Ff. on</w:t>
      </w:r>
      <w:r w:rsidR="000901A1" w:rsidRPr="000901A1">
        <w:rPr>
          <w:rFonts w:ascii="Garamond" w:hAnsi="Garamond"/>
        </w:rPr>
        <w:t xml:space="preserve"> bills. If the inter</w:t>
      </w:r>
      <w:r w:rsidR="009E5DA9">
        <w:rPr>
          <w:rFonts w:ascii="Garamond" w:hAnsi="Garamond"/>
        </w:rPr>
        <w:t>est spread with London is negative</w:t>
      </w:r>
      <w:r w:rsidR="000901A1">
        <w:rPr>
          <w:rFonts w:ascii="Garamond" w:hAnsi="Garamond"/>
        </w:rPr>
        <w:t xml:space="preserve"> she </w:t>
      </w:r>
      <w:r w:rsidR="000901A1" w:rsidRPr="000901A1">
        <w:rPr>
          <w:rFonts w:ascii="Garamond" w:hAnsi="Garamond"/>
        </w:rPr>
        <w:t>prefer</w:t>
      </w:r>
      <w:r w:rsidR="000901A1">
        <w:rPr>
          <w:rFonts w:ascii="Garamond" w:hAnsi="Garamond"/>
        </w:rPr>
        <w:t>s</w:t>
      </w:r>
      <w:r w:rsidR="000901A1" w:rsidRPr="000901A1">
        <w:rPr>
          <w:rFonts w:ascii="Garamond" w:hAnsi="Garamond"/>
        </w:rPr>
        <w:t xml:space="preserve"> to invest in U</w:t>
      </w:r>
      <w:r w:rsidR="009E5DA9">
        <w:rPr>
          <w:rFonts w:ascii="Garamond" w:hAnsi="Garamond"/>
        </w:rPr>
        <w:t>K bills. However, the success of such operation declines as</w:t>
      </w:r>
      <w:r w:rsidR="000901A1" w:rsidRPr="000901A1">
        <w:rPr>
          <w:rFonts w:ascii="Garamond" w:hAnsi="Garamond"/>
        </w:rPr>
        <w:t xml:space="preserve"> the Ff. depreciate</w:t>
      </w:r>
      <w:r w:rsidR="000901A1">
        <w:rPr>
          <w:rFonts w:ascii="Garamond" w:hAnsi="Garamond"/>
        </w:rPr>
        <w:t>s along with arbitrage</w:t>
      </w:r>
      <w:r w:rsidR="000901A1" w:rsidRPr="000901A1">
        <w:rPr>
          <w:rFonts w:ascii="Garamond" w:hAnsi="Garamond"/>
        </w:rPr>
        <w:t xml:space="preserve"> activiti</w:t>
      </w:r>
      <w:r w:rsidR="00EA37F0">
        <w:rPr>
          <w:rFonts w:ascii="Garamond" w:hAnsi="Garamond"/>
        </w:rPr>
        <w:t xml:space="preserve">es </w:t>
      </w:r>
      <w:r w:rsidR="009E5DA9">
        <w:rPr>
          <w:rFonts w:ascii="Garamond" w:hAnsi="Garamond"/>
        </w:rPr>
        <w:t xml:space="preserve">(the </w:t>
      </w:r>
      <w:r w:rsidR="00EA37F0">
        <w:rPr>
          <w:rFonts w:ascii="Garamond" w:hAnsi="Garamond"/>
        </w:rPr>
        <w:t xml:space="preserve">uncovered interest </w:t>
      </w:r>
      <w:r w:rsidR="009E5DA9">
        <w:rPr>
          <w:rFonts w:ascii="Garamond" w:hAnsi="Garamond"/>
        </w:rPr>
        <w:t xml:space="preserve">rate </w:t>
      </w:r>
      <w:r w:rsidR="00EA37F0">
        <w:rPr>
          <w:rFonts w:ascii="Garamond" w:hAnsi="Garamond"/>
        </w:rPr>
        <w:t>parity</w:t>
      </w:r>
      <w:r w:rsidR="009E5DA9">
        <w:rPr>
          <w:rFonts w:ascii="Garamond" w:hAnsi="Garamond"/>
        </w:rPr>
        <w:t xml:space="preserve"> holds). Because the mint parity is fixed, investors may find profitable to change their Ff. into gold and change gold into £ to invest in England. Therefore, </w:t>
      </w:r>
      <w:r w:rsidR="000901A1" w:rsidRPr="000901A1">
        <w:rPr>
          <w:rFonts w:ascii="Garamond" w:hAnsi="Garamond"/>
        </w:rPr>
        <w:t>as the exchange</w:t>
      </w:r>
      <w:r w:rsidR="00E94F81">
        <w:rPr>
          <w:rFonts w:ascii="Garamond" w:hAnsi="Garamond"/>
        </w:rPr>
        <w:t xml:space="preserve"> rate</w:t>
      </w:r>
      <w:r w:rsidR="000901A1" w:rsidRPr="000901A1">
        <w:rPr>
          <w:rFonts w:ascii="Garamond" w:hAnsi="Garamond"/>
        </w:rPr>
        <w:t xml:space="preserve"> approach the gold point, it becomes more </w:t>
      </w:r>
      <w:r w:rsidR="009E5DA9" w:rsidRPr="000901A1">
        <w:rPr>
          <w:rFonts w:ascii="Garamond" w:hAnsi="Garamond"/>
        </w:rPr>
        <w:t>lucrative</w:t>
      </w:r>
      <w:r w:rsidR="000901A1" w:rsidRPr="000901A1">
        <w:rPr>
          <w:rFonts w:ascii="Garamond" w:hAnsi="Garamond"/>
        </w:rPr>
        <w:t xml:space="preserve"> to send gold in</w:t>
      </w:r>
      <w:r w:rsidR="000901A1">
        <w:rPr>
          <w:rFonts w:ascii="Garamond" w:hAnsi="Garamond"/>
        </w:rPr>
        <w:t>to</w:t>
      </w:r>
      <w:r w:rsidR="000901A1" w:rsidRPr="000901A1">
        <w:rPr>
          <w:rFonts w:ascii="Garamond" w:hAnsi="Garamond"/>
        </w:rPr>
        <w:t xml:space="preserve"> London despite gold transportation </w:t>
      </w:r>
      <w:r w:rsidR="00F3305A">
        <w:rPr>
          <w:rFonts w:ascii="Garamond" w:hAnsi="Garamond"/>
        </w:rPr>
        <w:t>cost.</w:t>
      </w:r>
      <w:r w:rsidR="00BA3B1B">
        <w:rPr>
          <w:rStyle w:val="FootnoteReference"/>
          <w:rFonts w:ascii="Garamond" w:hAnsi="Garamond"/>
        </w:rPr>
        <w:footnoteReference w:id="18"/>
      </w:r>
      <w:r w:rsidR="00F3305A">
        <w:rPr>
          <w:rFonts w:ascii="Garamond" w:hAnsi="Garamond"/>
        </w:rPr>
        <w:t xml:space="preserve"> In other words, as</w:t>
      </w:r>
      <w:r w:rsidR="000901A1" w:rsidRPr="000901A1">
        <w:rPr>
          <w:rFonts w:ascii="Garamond" w:hAnsi="Garamond"/>
        </w:rPr>
        <w:t xml:space="preserve"> the gold point </w:t>
      </w:r>
      <w:r w:rsidR="00F3305A">
        <w:rPr>
          <w:rFonts w:ascii="Garamond" w:hAnsi="Garamond"/>
        </w:rPr>
        <w:t xml:space="preserve">threshold </w:t>
      </w:r>
      <w:r w:rsidR="000901A1" w:rsidRPr="000901A1">
        <w:rPr>
          <w:rFonts w:ascii="Garamond" w:hAnsi="Garamond"/>
        </w:rPr>
        <w:t>is reache</w:t>
      </w:r>
      <w:r w:rsidR="00F3305A">
        <w:rPr>
          <w:rFonts w:ascii="Garamond" w:hAnsi="Garamond"/>
        </w:rPr>
        <w:t>d,</w:t>
      </w:r>
      <w:r w:rsidR="000901A1" w:rsidRPr="000901A1">
        <w:rPr>
          <w:rFonts w:ascii="Garamond" w:hAnsi="Garamond"/>
        </w:rPr>
        <w:t xml:space="preserve"> investors convert</w:t>
      </w:r>
      <w:r w:rsidR="000901A1">
        <w:rPr>
          <w:rFonts w:ascii="Garamond" w:hAnsi="Garamond"/>
        </w:rPr>
        <w:t xml:space="preserve"> their</w:t>
      </w:r>
      <w:r w:rsidR="000901A1" w:rsidRPr="000901A1">
        <w:rPr>
          <w:rFonts w:ascii="Garamond" w:hAnsi="Garamond"/>
        </w:rPr>
        <w:t xml:space="preserve"> Ff. into gold, transport gold to London, </w:t>
      </w:r>
      <w:r w:rsidR="000901A1">
        <w:rPr>
          <w:rFonts w:ascii="Garamond" w:hAnsi="Garamond"/>
        </w:rPr>
        <w:t xml:space="preserve">and </w:t>
      </w:r>
      <w:r w:rsidR="000901A1" w:rsidRPr="000901A1">
        <w:rPr>
          <w:rFonts w:ascii="Garamond" w:hAnsi="Garamond"/>
        </w:rPr>
        <w:t>convert gol</w:t>
      </w:r>
      <w:r w:rsidR="009E5DA9">
        <w:rPr>
          <w:rFonts w:ascii="Garamond" w:hAnsi="Garamond"/>
        </w:rPr>
        <w:t>d into £ to buy</w:t>
      </w:r>
      <w:r w:rsidR="000901A1">
        <w:rPr>
          <w:rFonts w:ascii="Garamond" w:hAnsi="Garamond"/>
        </w:rPr>
        <w:t xml:space="preserve"> </w:t>
      </w:r>
      <w:r w:rsidR="009E5DA9">
        <w:rPr>
          <w:rFonts w:ascii="Garamond" w:hAnsi="Garamond"/>
        </w:rPr>
        <w:t xml:space="preserve">English </w:t>
      </w:r>
      <w:r w:rsidR="000901A1">
        <w:rPr>
          <w:rFonts w:ascii="Garamond" w:hAnsi="Garamond"/>
        </w:rPr>
        <w:t>bills</w:t>
      </w:r>
      <w:r w:rsidR="000901A1" w:rsidRPr="000901A1">
        <w:rPr>
          <w:rFonts w:ascii="Garamond" w:hAnsi="Garamond"/>
        </w:rPr>
        <w:t>.</w:t>
      </w:r>
      <w:r w:rsidR="000901A1">
        <w:rPr>
          <w:rFonts w:ascii="Garamond" w:hAnsi="Garamond"/>
        </w:rPr>
        <w:t xml:space="preserve"> </w:t>
      </w:r>
      <w:r w:rsidR="00F3305A">
        <w:rPr>
          <w:rFonts w:ascii="Garamond" w:hAnsi="Garamond"/>
        </w:rPr>
        <w:t xml:space="preserve">As gold inflows into England, </w:t>
      </w:r>
      <w:r w:rsidR="003D41C1">
        <w:rPr>
          <w:rFonts w:ascii="Garamond" w:hAnsi="Garamond"/>
        </w:rPr>
        <w:t>the £</w:t>
      </w:r>
      <w:r w:rsidR="00F3305A">
        <w:rPr>
          <w:rFonts w:ascii="Garamond" w:hAnsi="Garamond"/>
        </w:rPr>
        <w:t xml:space="preserve"> </w:t>
      </w:r>
      <w:r w:rsidR="003D41C1">
        <w:rPr>
          <w:rFonts w:ascii="Garamond" w:hAnsi="Garamond"/>
        </w:rPr>
        <w:t>depreciates</w:t>
      </w:r>
      <w:r w:rsidR="00F3305A">
        <w:rPr>
          <w:rFonts w:ascii="Garamond" w:hAnsi="Garamond"/>
        </w:rPr>
        <w:t xml:space="preserve"> while the supply of money increases and the London open market rate declines. This ultimately leads the BoE to bring the discount rate </w:t>
      </w:r>
      <w:r w:rsidR="00EB6182">
        <w:rPr>
          <w:rFonts w:ascii="Garamond" w:hAnsi="Garamond"/>
        </w:rPr>
        <w:t xml:space="preserve">back </w:t>
      </w:r>
      <w:r w:rsidR="00F3305A">
        <w:rPr>
          <w:rFonts w:ascii="Garamond" w:hAnsi="Garamond"/>
        </w:rPr>
        <w:t>to its previous value (Jeanne, 1995).</w:t>
      </w:r>
    </w:p>
    <w:p w14:paraId="08DBA4A2" w14:textId="39B0FB40" w:rsidR="00B46124" w:rsidRDefault="00B46124" w:rsidP="006C0C1E">
      <w:pPr>
        <w:spacing w:line="360" w:lineRule="auto"/>
        <w:jc w:val="both"/>
        <w:rPr>
          <w:rFonts w:ascii="Garamond" w:hAnsi="Garamond"/>
        </w:rPr>
      </w:pPr>
    </w:p>
    <w:p w14:paraId="76E90ADB" w14:textId="77777777" w:rsidR="00B46124" w:rsidRPr="004C5B23" w:rsidRDefault="00B46124" w:rsidP="006C0C1E">
      <w:pPr>
        <w:spacing w:line="360" w:lineRule="auto"/>
        <w:jc w:val="both"/>
        <w:rPr>
          <w:rFonts w:ascii="Garamond" w:hAnsi="Garamond"/>
        </w:rPr>
      </w:pPr>
    </w:p>
    <w:p w14:paraId="2E9A4BAD" w14:textId="77777777" w:rsidR="006C0C1E" w:rsidRPr="004C5B23" w:rsidRDefault="006C0C1E" w:rsidP="006C0C1E">
      <w:pPr>
        <w:spacing w:line="360" w:lineRule="auto"/>
        <w:jc w:val="both"/>
        <w:rPr>
          <w:rFonts w:ascii="Garamond" w:hAnsi="Garamond"/>
          <w:b/>
        </w:rPr>
      </w:pPr>
      <w:r w:rsidRPr="004C5B23">
        <w:rPr>
          <w:rFonts w:ascii="Garamond" w:hAnsi="Garamond"/>
          <w:b/>
        </w:rPr>
        <w:t>Scenario 3: Imperfect convertibility</w:t>
      </w:r>
    </w:p>
    <w:p w14:paraId="70560649" w14:textId="1C2ED769" w:rsidR="006C0C1E" w:rsidRDefault="006C0C1E" w:rsidP="006C0C1E">
      <w:pPr>
        <w:spacing w:line="360" w:lineRule="auto"/>
        <w:jc w:val="both"/>
        <w:rPr>
          <w:rFonts w:ascii="Garamond" w:hAnsi="Garamond"/>
        </w:rPr>
      </w:pPr>
      <w:r w:rsidRPr="004C5B23">
        <w:rPr>
          <w:rFonts w:ascii="Garamond" w:hAnsi="Garamond"/>
        </w:rPr>
        <w:t>We expect the impact of the exchange-rate to be larger only in cases of imperfect convertibility</w:t>
      </w:r>
      <w:r w:rsidR="00FF0CB7">
        <w:rPr>
          <w:rFonts w:ascii="Garamond" w:hAnsi="Garamond"/>
        </w:rPr>
        <w:t xml:space="preserve"> (restrictions on convertibility between notes and gold at the central bank)</w:t>
      </w:r>
      <w:r w:rsidRPr="004C5B23">
        <w:rPr>
          <w:rFonts w:ascii="Garamond" w:hAnsi="Garamond"/>
        </w:rPr>
        <w:t xml:space="preserve">. Gold devices widen the gold points, allowing the exchange-rate to depreciate further than in scenarios 1 and 2. Such policies aimed at protecting international reserves and reducing the interest rate adjustment; in both variables, we expect a smaller response than in scenarios 1 and 2. In the absence of a large reserve outflow, the central bank might nevertheless increase domestic credit. Imperfect convertibility mitigates the decrease of gold reserves by the central bank but does not necessarily prevent outstanding gold from leaving the country. Thus, central bank credit must expand to avoid any increase in market rates and offset </w:t>
      </w:r>
      <w:r w:rsidR="006E626B">
        <w:rPr>
          <w:rFonts w:ascii="Garamond" w:hAnsi="Garamond"/>
        </w:rPr>
        <w:t xml:space="preserve">the effect of </w:t>
      </w:r>
      <w:r w:rsidRPr="004C5B23">
        <w:rPr>
          <w:rFonts w:ascii="Garamond" w:hAnsi="Garamond"/>
        </w:rPr>
        <w:t xml:space="preserve">gold outflows on the aggregate money supply. </w:t>
      </w:r>
    </w:p>
    <w:p w14:paraId="31292447" w14:textId="7B7470AF" w:rsidR="00E94F81" w:rsidRPr="004C5B23" w:rsidRDefault="00E94F81" w:rsidP="006C0C1E">
      <w:pPr>
        <w:spacing w:line="360" w:lineRule="auto"/>
        <w:jc w:val="both"/>
        <w:rPr>
          <w:rFonts w:ascii="Garamond" w:hAnsi="Garamond"/>
        </w:rPr>
      </w:pPr>
    </w:p>
    <w:p w14:paraId="2C154357" w14:textId="77777777" w:rsidR="006C0C1E" w:rsidRPr="004C5B23" w:rsidRDefault="006C0C1E" w:rsidP="006C0C1E">
      <w:pPr>
        <w:spacing w:line="360" w:lineRule="auto"/>
        <w:jc w:val="both"/>
        <w:rPr>
          <w:rFonts w:ascii="Garamond" w:hAnsi="Garamond"/>
          <w:b/>
        </w:rPr>
      </w:pPr>
      <w:r w:rsidRPr="004C5B23">
        <w:rPr>
          <w:rFonts w:ascii="Garamond" w:hAnsi="Garamond"/>
          <w:b/>
        </w:rPr>
        <w:t>Scenario 4: Countries off gold</w:t>
      </w:r>
    </w:p>
    <w:p w14:paraId="46C51967" w14:textId="22DF572B" w:rsidR="006C0C1E" w:rsidRDefault="006C0C1E" w:rsidP="006C0C1E">
      <w:pPr>
        <w:spacing w:line="360" w:lineRule="auto"/>
        <w:jc w:val="both"/>
        <w:rPr>
          <w:rFonts w:ascii="Garamond" w:hAnsi="Garamond"/>
        </w:rPr>
      </w:pPr>
      <w:r w:rsidRPr="004C5B23">
        <w:rPr>
          <w:rFonts w:ascii="Garamond" w:hAnsi="Garamond"/>
        </w:rPr>
        <w:t xml:space="preserve">A fourth scenario is concerned with countries on a floating exchange-rate. If these countries have an opened capital account, the exchange rate is going to react to the shock to the BoE discount rate. The exchange rate fully absorbs the shock, so that the domestic central bank does not need to respond by expanding domestic credit or increase its discount rate. By contrast, if financial integration is weak, the exchange rate does not react and, in this case, we do not expect any reaction from the central bank either. </w:t>
      </w:r>
    </w:p>
    <w:p w14:paraId="6D1FD8D2" w14:textId="4168DC6E" w:rsidR="00301D36" w:rsidRDefault="00301D36" w:rsidP="006C0C1E">
      <w:pPr>
        <w:spacing w:line="360" w:lineRule="auto"/>
        <w:jc w:val="both"/>
        <w:rPr>
          <w:rFonts w:ascii="Garamond" w:hAnsi="Garamond"/>
        </w:rPr>
      </w:pPr>
    </w:p>
    <w:p w14:paraId="2BDD0E1D" w14:textId="0BA6E7EE" w:rsidR="00220316" w:rsidRPr="00AA7E72" w:rsidRDefault="00220316" w:rsidP="00AA7E72">
      <w:pPr>
        <w:pStyle w:val="Heading2"/>
        <w:rPr>
          <w:sz w:val="28"/>
          <w:szCs w:val="28"/>
        </w:rPr>
      </w:pPr>
      <w:bookmarkStart w:id="10" w:name="_Toc2521980"/>
      <w:r w:rsidRPr="00AA7E72">
        <w:rPr>
          <w:sz w:val="28"/>
          <w:szCs w:val="28"/>
        </w:rPr>
        <w:t>Methods of estimation</w:t>
      </w:r>
      <w:bookmarkEnd w:id="10"/>
    </w:p>
    <w:p w14:paraId="415C09B1" w14:textId="77777777" w:rsidR="00B46124" w:rsidRDefault="00B46124" w:rsidP="00B46124">
      <w:pPr>
        <w:spacing w:line="360" w:lineRule="auto"/>
        <w:jc w:val="both"/>
        <w:rPr>
          <w:rFonts w:ascii="Garamond" w:hAnsi="Garamond"/>
          <w:lang w:val="en-US"/>
        </w:rPr>
      </w:pPr>
    </w:p>
    <w:p w14:paraId="53391429" w14:textId="6E4E2BE9" w:rsidR="00220316" w:rsidRPr="00220316" w:rsidRDefault="00220316" w:rsidP="006E626B">
      <w:pPr>
        <w:spacing w:line="360" w:lineRule="auto"/>
        <w:jc w:val="both"/>
        <w:rPr>
          <w:rFonts w:ascii="Garamond" w:hAnsi="Garamond"/>
        </w:rPr>
      </w:pPr>
      <w:r w:rsidRPr="00220316">
        <w:rPr>
          <w:rFonts w:ascii="Garamond" w:hAnsi="Garamond"/>
        </w:rPr>
        <w:t>We want to study in a panel data set the reaction of central banks’ balance sheets to an exogenous increase in the BoE rate</w:t>
      </w:r>
      <w:r w:rsidR="002677B4">
        <w:rPr>
          <w:rFonts w:ascii="Garamond" w:hAnsi="Garamond"/>
        </w:rPr>
        <w:t>.</w:t>
      </w:r>
      <w:r>
        <w:rPr>
          <w:rFonts w:ascii="Garamond" w:hAnsi="Garamond"/>
        </w:rPr>
        <w:t xml:space="preserve"> Following a now well-establish</w:t>
      </w:r>
      <w:r w:rsidR="006E626B">
        <w:rPr>
          <w:rFonts w:ascii="Garamond" w:hAnsi="Garamond"/>
        </w:rPr>
        <w:t>ed literature (Ramey 2016, Jordà</w:t>
      </w:r>
      <w:r>
        <w:rPr>
          <w:rFonts w:ascii="Garamond" w:hAnsi="Garamond"/>
        </w:rPr>
        <w:t xml:space="preserve">, Schularick &amp; Taylor 2019) we turn to local projections to estimate the effect of a single </w:t>
      </w:r>
      <w:r w:rsidRPr="00220316">
        <w:rPr>
          <w:rFonts w:ascii="Garamond" w:hAnsi="Garamond"/>
        </w:rPr>
        <w:t>monetary shock in a panel of countries.</w:t>
      </w:r>
      <w:r w:rsidR="00B46124">
        <w:rPr>
          <w:rFonts w:ascii="Garamond" w:hAnsi="Garamond"/>
        </w:rPr>
        <w:t xml:space="preserve"> </w:t>
      </w:r>
      <w:r w:rsidR="006E626B">
        <w:rPr>
          <w:rFonts w:ascii="Garamond" w:hAnsi="Garamond"/>
        </w:rPr>
        <w:t xml:space="preserve">In this respect, </w:t>
      </w:r>
      <w:r w:rsidRPr="00220316">
        <w:rPr>
          <w:rFonts w:ascii="Garamond" w:hAnsi="Garamond"/>
        </w:rPr>
        <w:t>Jo</w:t>
      </w:r>
      <w:r w:rsidR="006E626B">
        <w:rPr>
          <w:rFonts w:ascii="Garamond" w:hAnsi="Garamond"/>
        </w:rPr>
        <w:t>rdà (2005) proposes</w:t>
      </w:r>
      <w:r w:rsidRPr="00220316">
        <w:rPr>
          <w:rFonts w:ascii="Garamond" w:hAnsi="Garamond"/>
        </w:rPr>
        <w:t xml:space="preserve"> to estimate impulse-</w:t>
      </w:r>
      <w:r w:rsidR="00543C99">
        <w:rPr>
          <w:rFonts w:ascii="Garamond" w:hAnsi="Garamond"/>
        </w:rPr>
        <w:t>response (IR</w:t>
      </w:r>
      <w:r w:rsidR="00B86F26">
        <w:rPr>
          <w:rFonts w:ascii="Garamond" w:hAnsi="Garamond"/>
        </w:rPr>
        <w:t>) directly without relying on a predetermining model</w:t>
      </w:r>
      <w:r w:rsidR="006E626B">
        <w:rPr>
          <w:rFonts w:ascii="Garamond" w:hAnsi="Garamond"/>
        </w:rPr>
        <w:t xml:space="preserve">. This contrast with </w:t>
      </w:r>
      <w:r w:rsidR="00543C99">
        <w:rPr>
          <w:rFonts w:ascii="Garamond" w:hAnsi="Garamond"/>
        </w:rPr>
        <w:t>IR</w:t>
      </w:r>
      <w:r w:rsidR="006E626B">
        <w:rPr>
          <w:rFonts w:ascii="Garamond" w:hAnsi="Garamond"/>
        </w:rPr>
        <w:t xml:space="preserve"> from VAR estimation which simulate</w:t>
      </w:r>
      <w:r w:rsidR="00B86F26">
        <w:rPr>
          <w:rFonts w:ascii="Garamond" w:hAnsi="Garamond"/>
        </w:rPr>
        <w:t>s</w:t>
      </w:r>
      <w:r w:rsidR="006E626B">
        <w:rPr>
          <w:rFonts w:ascii="Garamond" w:hAnsi="Garamond"/>
        </w:rPr>
        <w:t xml:space="preserve"> the </w:t>
      </w:r>
      <w:r w:rsidR="00B86F26">
        <w:rPr>
          <w:rFonts w:ascii="Garamond" w:hAnsi="Garamond"/>
        </w:rPr>
        <w:t xml:space="preserve">iterative </w:t>
      </w:r>
      <w:r w:rsidR="006E626B">
        <w:rPr>
          <w:rFonts w:ascii="Garamond" w:hAnsi="Garamond"/>
        </w:rPr>
        <w:t>effect of a shock based</w:t>
      </w:r>
      <w:r w:rsidR="00B86F26">
        <w:rPr>
          <w:rFonts w:ascii="Garamond" w:hAnsi="Garamond"/>
        </w:rPr>
        <w:t xml:space="preserve"> on a set of estimated parameters. In other words</w:t>
      </w:r>
      <w:r w:rsidR="00543C99">
        <w:rPr>
          <w:rFonts w:ascii="Garamond" w:hAnsi="Garamond"/>
        </w:rPr>
        <w:t>, unlike IR</w:t>
      </w:r>
      <w:r w:rsidRPr="00220316">
        <w:rPr>
          <w:rFonts w:ascii="Garamond" w:hAnsi="Garamond"/>
        </w:rPr>
        <w:t xml:space="preserve"> from VAR, the data generating process does not assume that the true model has been estimated. For that reason,</w:t>
      </w:r>
      <w:r w:rsidR="00543C99">
        <w:rPr>
          <w:rFonts w:ascii="Garamond" w:hAnsi="Garamond"/>
        </w:rPr>
        <w:t xml:space="preserve"> the local projection is not a </w:t>
      </w:r>
      <w:r w:rsidRPr="00220316">
        <w:rPr>
          <w:rFonts w:ascii="Garamond" w:hAnsi="Garamond"/>
        </w:rPr>
        <w:t>parametric procedure.</w:t>
      </w:r>
    </w:p>
    <w:p w14:paraId="4FC75970" w14:textId="706AA20A" w:rsidR="00220316" w:rsidRDefault="000607F6" w:rsidP="00EA37F0">
      <w:pPr>
        <w:spacing w:line="360" w:lineRule="auto"/>
        <w:ind w:firstLine="720"/>
        <w:jc w:val="both"/>
        <w:rPr>
          <w:rFonts w:ascii="Garamond" w:hAnsi="Garamond"/>
        </w:rPr>
      </w:pPr>
      <w:r>
        <w:rPr>
          <w:rFonts w:ascii="Garamond" w:hAnsi="Garamond"/>
        </w:rPr>
        <w:t>L</w:t>
      </w:r>
      <w:r w:rsidR="00220316" w:rsidRPr="00220316">
        <w:rPr>
          <w:rFonts w:ascii="Garamond" w:hAnsi="Garamond"/>
        </w:rPr>
        <w:t>ocal projection</w:t>
      </w:r>
      <w:r>
        <w:rPr>
          <w:rFonts w:ascii="Garamond" w:hAnsi="Garamond"/>
        </w:rPr>
        <w:t>s are</w:t>
      </w:r>
      <w:r w:rsidR="00220316" w:rsidRPr="00220316">
        <w:rPr>
          <w:rFonts w:ascii="Garamond" w:hAnsi="Garamond"/>
        </w:rPr>
        <w:t xml:space="preserve"> based on regressions explaining each horizon </w:t>
      </w:r>
      <m:oMath>
        <m:r>
          <w:rPr>
            <w:rFonts w:ascii="Cambria Math" w:hAnsi="Cambria Math"/>
          </w:rPr>
          <m:t>h</m:t>
        </m:r>
      </m:oMath>
      <w:r w:rsidR="00220316" w:rsidRPr="00220316">
        <w:rPr>
          <w:rFonts w:ascii="Garamond" w:hAnsi="Garamond"/>
        </w:rPr>
        <w:t xml:space="preserve"> for each variable of interest. Each regression uses a set of control variables---which may be the lag operator conventionally used in a VAR. The response is </w:t>
      </w:r>
      <w:r>
        <w:rPr>
          <w:rFonts w:ascii="Garamond" w:hAnsi="Garamond"/>
        </w:rPr>
        <w:t xml:space="preserve">then </w:t>
      </w:r>
      <w:r w:rsidR="00220316" w:rsidRPr="00220316">
        <w:rPr>
          <w:rFonts w:ascii="Garamond" w:hAnsi="Garamond"/>
        </w:rPr>
        <w:t>based on the following regression:</w:t>
      </w:r>
    </w:p>
    <w:p w14:paraId="27A1A063" w14:textId="77777777" w:rsidR="006E228A" w:rsidRPr="00220316" w:rsidRDefault="006E228A" w:rsidP="00220316">
      <w:pPr>
        <w:spacing w:line="360" w:lineRule="auto"/>
        <w:jc w:val="both"/>
        <w:rPr>
          <w:rFonts w:ascii="Garamond" w:hAnsi="Garamond"/>
        </w:rPr>
      </w:pPr>
    </w:p>
    <w:p w14:paraId="2DBEF0C9" w14:textId="5A3C0B21" w:rsidR="00220316" w:rsidRDefault="003B6976" w:rsidP="006E228A">
      <w:pPr>
        <w:spacing w:line="360" w:lineRule="auto"/>
        <w:jc w:val="center"/>
        <w:rPr>
          <w:rFonts w:ascii="Garamond" w:eastAsiaTheme="minorEastAsia" w:hAnsi="Garamond"/>
        </w:rPr>
      </w:pPr>
      <m:oMath>
        <m:sSub>
          <m:sSubPr>
            <m:ctrlPr>
              <w:rPr>
                <w:rFonts w:ascii="Cambria Math" w:hAnsi="Cambria Math"/>
                <w:i/>
              </w:rPr>
            </m:ctrlPr>
          </m:sSubPr>
          <m:e>
            <m:r>
              <w:rPr>
                <w:rFonts w:ascii="Cambria Math" w:hAnsi="Cambria Math"/>
              </w:rPr>
              <m:t>x</m:t>
            </m:r>
          </m:e>
          <m:sub>
            <m:r>
              <w:rPr>
                <w:rFonts w:ascii="Cambria Math" w:hAnsi="Cambria Math"/>
              </w:rPr>
              <m:t>t+h</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h</m:t>
            </m:r>
          </m:sub>
        </m:sSub>
        <m:d>
          <m:dPr>
            <m:ctrlPr>
              <w:rPr>
                <w:rFonts w:ascii="Cambria Math" w:hAnsi="Cambria Math"/>
                <w:i/>
              </w:rPr>
            </m:ctrlPr>
          </m:dPr>
          <m:e>
            <m:r>
              <w:rPr>
                <w:rFonts w:ascii="Cambria Math" w:hAnsi="Cambria Math"/>
              </w:rPr>
              <m:t>L</m:t>
            </m:r>
          </m:e>
        </m:d>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h</m:t>
            </m:r>
          </m:sub>
        </m:sSub>
        <m:sSub>
          <m:sSubPr>
            <m:ctrlPr>
              <w:rPr>
                <w:rFonts w:ascii="Cambria Math" w:hAnsi="Cambria Math"/>
                <w:i/>
              </w:rPr>
            </m:ctrlPr>
          </m:sSubPr>
          <m:e>
            <m:r>
              <w:rPr>
                <w:rFonts w:ascii="Cambria Math" w:hAnsi="Cambria Math"/>
              </w:rPr>
              <m:t>shock</m:t>
            </m:r>
          </m:e>
          <m:sub>
            <m:r>
              <w:rPr>
                <w:rFonts w:ascii="Cambria Math" w:hAnsi="Cambria Math"/>
              </w:rPr>
              <m:t>t</m:t>
            </m:r>
          </m:sub>
        </m:sSub>
        <m:r>
          <w:rPr>
            <w:rFonts w:ascii="Cambria Math" w:hAnsi="Cambria Math"/>
          </w:rPr>
          <m:t>+trend+</m:t>
        </m:r>
        <m:sSub>
          <m:sSubPr>
            <m:ctrlPr>
              <w:rPr>
                <w:rFonts w:ascii="Cambria Math" w:hAnsi="Cambria Math"/>
                <w:i/>
              </w:rPr>
            </m:ctrlPr>
          </m:sSubPr>
          <m:e>
            <m:r>
              <w:rPr>
                <w:rFonts w:ascii="Cambria Math" w:hAnsi="Cambria Math"/>
              </w:rPr>
              <m:t>ε</m:t>
            </m:r>
          </m:e>
          <m:sub>
            <m:r>
              <w:rPr>
                <w:rFonts w:ascii="Cambria Math" w:hAnsi="Cambria Math"/>
              </w:rPr>
              <m:t>t+h</m:t>
            </m:r>
          </m:sub>
        </m:sSub>
      </m:oMath>
      <w:r w:rsidR="00220316" w:rsidRPr="00220316">
        <w:rPr>
          <w:rFonts w:ascii="Garamond" w:eastAsiaTheme="minorEastAsia" w:hAnsi="Garamond"/>
        </w:rPr>
        <w:t xml:space="preserve">  for </w:t>
      </w:r>
      <m:oMath>
        <m:r>
          <w:rPr>
            <w:rFonts w:ascii="Cambria Math" w:eastAsiaTheme="minorEastAsia" w:hAnsi="Cambria Math"/>
          </w:rPr>
          <m:t>h=1, 2,…, H</m:t>
        </m:r>
      </m:oMath>
    </w:p>
    <w:p w14:paraId="5A5EF11D" w14:textId="77777777" w:rsidR="006E228A" w:rsidRPr="00220316" w:rsidRDefault="006E228A" w:rsidP="006E228A">
      <w:pPr>
        <w:spacing w:line="360" w:lineRule="auto"/>
        <w:jc w:val="center"/>
        <w:rPr>
          <w:rFonts w:ascii="Garamond" w:hAnsi="Garamond"/>
        </w:rPr>
      </w:pPr>
    </w:p>
    <w:p w14:paraId="1128135B" w14:textId="035C0C13" w:rsidR="00220316" w:rsidRPr="00220316" w:rsidRDefault="00220316" w:rsidP="00220316">
      <w:pPr>
        <w:spacing w:line="360" w:lineRule="auto"/>
        <w:jc w:val="both"/>
        <w:rPr>
          <w:rFonts w:ascii="Garamond" w:eastAsiaTheme="minorEastAsia" w:hAnsi="Garamond"/>
        </w:rPr>
      </w:pPr>
      <w:r w:rsidRPr="00220316">
        <w:rPr>
          <w:rFonts w:ascii="Garamond" w:hAnsi="Garamond"/>
        </w:rPr>
        <w:t xml:space="preserve">Where </w:t>
      </w:r>
      <m:oMath>
        <m:r>
          <w:rPr>
            <w:rFonts w:ascii="Cambria Math" w:hAnsi="Cambria Math"/>
          </w:rPr>
          <m:t>x</m:t>
        </m:r>
      </m:oMath>
      <w:r w:rsidRPr="00220316">
        <w:rPr>
          <w:rFonts w:ascii="Garamond" w:hAnsi="Garamond"/>
        </w:rPr>
        <w:t xml:space="preserve"> is the variable of interest, </w:t>
      </w:r>
      <m:oMath>
        <m:r>
          <w:rPr>
            <w:rFonts w:ascii="Cambria Math" w:hAnsi="Cambria Math"/>
          </w:rPr>
          <m:t>y</m:t>
        </m:r>
      </m:oMath>
      <w:r w:rsidRPr="00220316">
        <w:rPr>
          <w:rFonts w:ascii="Garamond" w:hAnsi="Garamond"/>
        </w:rPr>
        <w:t xml:space="preserve"> the vector of control variables, </w:t>
      </w:r>
      <m:oMath>
        <m:sSub>
          <m:sSubPr>
            <m:ctrlPr>
              <w:rPr>
                <w:rFonts w:ascii="Cambria Math" w:hAnsi="Cambria Math"/>
                <w:i/>
              </w:rPr>
            </m:ctrlPr>
          </m:sSubPr>
          <m:e>
            <m:r>
              <w:rPr>
                <w:rFonts w:ascii="Cambria Math" w:hAnsi="Cambria Math"/>
              </w:rPr>
              <m:t>Φ</m:t>
            </m:r>
          </m:e>
          <m:sub>
            <m:r>
              <w:rPr>
                <w:rFonts w:ascii="Cambria Math" w:hAnsi="Cambria Math"/>
              </w:rPr>
              <m:t>h</m:t>
            </m:r>
          </m:sub>
        </m:sSub>
        <m:d>
          <m:dPr>
            <m:ctrlPr>
              <w:rPr>
                <w:rFonts w:ascii="Cambria Math" w:hAnsi="Cambria Math"/>
                <w:i/>
              </w:rPr>
            </m:ctrlPr>
          </m:dPr>
          <m:e>
            <m:r>
              <w:rPr>
                <w:rFonts w:ascii="Cambria Math" w:hAnsi="Cambria Math"/>
              </w:rPr>
              <m:t>L</m:t>
            </m:r>
          </m:e>
        </m:d>
      </m:oMath>
      <w:r w:rsidRPr="00220316">
        <w:rPr>
          <w:rFonts w:ascii="Garamond" w:eastAsiaTheme="minorEastAsia" w:hAnsi="Garamond"/>
        </w:rPr>
        <w:t xml:space="preserve"> the polynomial set of lag operator (which is set at 3 in our analysis), </w:t>
      </w:r>
      <m:oMath>
        <m:r>
          <w:rPr>
            <w:rFonts w:ascii="Cambria Math" w:eastAsiaTheme="minorEastAsia" w:hAnsi="Cambria Math"/>
          </w:rPr>
          <m:t>shock</m:t>
        </m:r>
      </m:oMath>
      <w:r w:rsidRPr="00220316">
        <w:rPr>
          <w:rFonts w:ascii="Garamond" w:eastAsiaTheme="minorEastAsia" w:hAnsi="Garamond"/>
        </w:rPr>
        <w:t xml:space="preserve"> the identified shock, and </w:t>
      </w:r>
      <m:oMath>
        <m:sSub>
          <m:sSubPr>
            <m:ctrlPr>
              <w:rPr>
                <w:rFonts w:ascii="Cambria Math" w:hAnsi="Cambria Math"/>
                <w:i/>
              </w:rPr>
            </m:ctrlPr>
          </m:sSubPr>
          <m:e>
            <m:r>
              <w:rPr>
                <w:rFonts w:ascii="Cambria Math" w:hAnsi="Cambria Math"/>
              </w:rPr>
              <m:t>ε</m:t>
            </m:r>
          </m:e>
          <m:sub>
            <m:r>
              <w:rPr>
                <w:rFonts w:ascii="Cambria Math" w:hAnsi="Cambria Math"/>
              </w:rPr>
              <m:t>t+h</m:t>
            </m:r>
          </m:sub>
        </m:sSub>
      </m:oMath>
      <w:r w:rsidRPr="00220316">
        <w:rPr>
          <w:rFonts w:ascii="Garamond" w:eastAsiaTheme="minorEastAsia" w:hAnsi="Garamond"/>
        </w:rPr>
        <w:t xml:space="preserve"> the residual. The right hand side of the equation may include the lag of the </w:t>
      </w:r>
      <w:r w:rsidR="000607F6">
        <w:rPr>
          <w:rFonts w:ascii="Garamond" w:eastAsiaTheme="minorEastAsia" w:hAnsi="Garamond"/>
        </w:rPr>
        <w:t>explained variable</w:t>
      </w:r>
      <w:r w:rsidRPr="00220316">
        <w:rPr>
          <w:rFonts w:ascii="Garamond" w:eastAsiaTheme="minorEastAsia" w:hAnsi="Garamond"/>
        </w:rPr>
        <w:t xml:space="preserve"> into </w:t>
      </w:r>
      <m:oMath>
        <m:r>
          <w:rPr>
            <w:rFonts w:ascii="Cambria Math" w:eastAsiaTheme="minorEastAsia" w:hAnsi="Cambria Math"/>
          </w:rPr>
          <m:t>y</m:t>
        </m:r>
      </m:oMath>
      <w:r w:rsidRPr="00220316">
        <w:rPr>
          <w:rFonts w:ascii="Garamond" w:eastAsiaTheme="minorEastAsia" w:hAnsi="Garamond"/>
        </w:rPr>
        <w:t xml:space="preserve">. The IRF is then based on the estimation of </w:t>
      </w:r>
      <m:oMath>
        <m:sSub>
          <m:sSubPr>
            <m:ctrlPr>
              <w:rPr>
                <w:rFonts w:ascii="Cambria Math" w:hAnsi="Cambria Math"/>
                <w:i/>
              </w:rPr>
            </m:ctrlPr>
          </m:sSubPr>
          <m:e>
            <m:r>
              <w:rPr>
                <w:rFonts w:ascii="Cambria Math" w:hAnsi="Cambria Math"/>
              </w:rPr>
              <m:t>β</m:t>
            </m:r>
          </m:e>
          <m:sub>
            <m:r>
              <w:rPr>
                <w:rFonts w:ascii="Cambria Math" w:hAnsi="Cambria Math"/>
              </w:rPr>
              <m:t>h</m:t>
            </m:r>
          </m:sub>
        </m:sSub>
      </m:oMath>
      <w:r w:rsidRPr="00220316">
        <w:rPr>
          <w:rFonts w:ascii="Garamond" w:eastAsiaTheme="minorEastAsia" w:hAnsi="Garamond"/>
        </w:rPr>
        <w:t xml:space="preserve"> from </w:t>
      </w:r>
      <m:oMath>
        <m:r>
          <w:rPr>
            <w:rFonts w:ascii="Cambria Math" w:eastAsiaTheme="minorEastAsia" w:hAnsi="Cambria Math"/>
          </w:rPr>
          <m:t>t=0</m:t>
        </m:r>
      </m:oMath>
      <w:r w:rsidRPr="00220316">
        <w:rPr>
          <w:rFonts w:ascii="Garamond" w:eastAsiaTheme="minorEastAsia" w:hAnsi="Garamond"/>
        </w:rPr>
        <w:t xml:space="preserve"> to </w:t>
      </w:r>
      <m:oMath>
        <m:r>
          <w:rPr>
            <w:rFonts w:ascii="Cambria Math" w:eastAsiaTheme="minorEastAsia" w:hAnsi="Cambria Math"/>
          </w:rPr>
          <m:t>t=H</m:t>
        </m:r>
      </m:oMath>
      <w:r w:rsidRPr="00220316">
        <w:rPr>
          <w:rFonts w:ascii="Garamond" w:eastAsiaTheme="minorEastAsia" w:hAnsi="Garamond"/>
        </w:rPr>
        <w:t xml:space="preserve">. A sequence of </w:t>
      </w:r>
      <m:oMath>
        <m:sSub>
          <m:sSubPr>
            <m:ctrlPr>
              <w:rPr>
                <w:rFonts w:ascii="Cambria Math" w:hAnsi="Cambria Math"/>
                <w:i/>
              </w:rPr>
            </m:ctrlPr>
          </m:sSubPr>
          <m:e>
            <m:r>
              <w:rPr>
                <w:rFonts w:ascii="Cambria Math" w:hAnsi="Cambria Math"/>
              </w:rPr>
              <m:t>β</m:t>
            </m:r>
          </m:e>
          <m:sub>
            <m:r>
              <w:rPr>
                <w:rFonts w:ascii="Cambria Math" w:hAnsi="Cambria Math"/>
              </w:rPr>
              <m:t>h</m:t>
            </m:r>
          </m:sub>
        </m:sSub>
      </m:oMath>
      <w:r w:rsidRPr="00220316">
        <w:rPr>
          <w:rFonts w:ascii="Garamond" w:eastAsiaTheme="minorEastAsia" w:hAnsi="Garamond"/>
        </w:rPr>
        <w:t xml:space="preserve"> is produced for each variable of interest independently from the other variables response.  </w:t>
      </w:r>
      <w:r w:rsidR="006E1A32">
        <w:rPr>
          <w:rFonts w:ascii="Garamond" w:eastAsiaTheme="minorEastAsia" w:hAnsi="Garamond"/>
        </w:rPr>
        <w:t xml:space="preserve"> </w:t>
      </w:r>
    </w:p>
    <w:p w14:paraId="497B56B6" w14:textId="13CDB9B2" w:rsidR="00220316" w:rsidRDefault="00220316" w:rsidP="00220316">
      <w:pPr>
        <w:spacing w:line="360" w:lineRule="auto"/>
        <w:ind w:firstLine="720"/>
        <w:jc w:val="both"/>
        <w:rPr>
          <w:rFonts w:ascii="Garamond" w:eastAsiaTheme="minorEastAsia" w:hAnsi="Garamond"/>
        </w:rPr>
      </w:pPr>
      <w:r w:rsidRPr="00220316">
        <w:rPr>
          <w:rFonts w:ascii="Garamond" w:eastAsiaTheme="minorEastAsia" w:hAnsi="Garamond"/>
        </w:rPr>
        <w:t>Local projection offers numerous advantages compared to the usual VAR. First, unlike VAR it does not have to rely on an</w:t>
      </w:r>
      <w:r w:rsidR="00543C99">
        <w:rPr>
          <w:rFonts w:ascii="Garamond" w:eastAsiaTheme="minorEastAsia" w:hAnsi="Garamond"/>
        </w:rPr>
        <w:t xml:space="preserve"> underlying model to provide IR</w:t>
      </w:r>
      <w:r w:rsidRPr="00220316">
        <w:rPr>
          <w:rFonts w:ascii="Garamond" w:eastAsiaTheme="minorEastAsia" w:hAnsi="Garamond"/>
        </w:rPr>
        <w:t>. This issue is particularly salient in panel as PVAR are subject to numerous pitfalls and assumptions. For instance, PVAR needs to rely on costly GMM procedure due to standard errors misspecification as fixed effects are included</w:t>
      </w:r>
      <w:r w:rsidR="000607F6">
        <w:rPr>
          <w:rFonts w:ascii="Garamond" w:eastAsiaTheme="minorEastAsia" w:hAnsi="Garamond"/>
        </w:rPr>
        <w:t xml:space="preserve"> in the model. In addition, since </w:t>
      </w:r>
      <w:r w:rsidRPr="00220316">
        <w:rPr>
          <w:rFonts w:ascii="Garamond" w:eastAsiaTheme="minorEastAsia" w:hAnsi="Garamond"/>
        </w:rPr>
        <w:t xml:space="preserve">the number of endogenous variables that can be included </w:t>
      </w:r>
      <w:r w:rsidR="000607F6">
        <w:rPr>
          <w:rFonts w:ascii="Garamond" w:eastAsiaTheme="minorEastAsia" w:hAnsi="Garamond"/>
        </w:rPr>
        <w:t xml:space="preserve">in the model </w:t>
      </w:r>
      <w:r w:rsidRPr="00220316">
        <w:rPr>
          <w:rFonts w:ascii="Garamond" w:eastAsiaTheme="minorEastAsia" w:hAnsi="Garamond"/>
        </w:rPr>
        <w:t xml:space="preserve">explodes as the number of panel increases, one has to restrict the number of estimated parameters to avoid over-fitting. </w:t>
      </w:r>
      <w:r w:rsidR="00E95EEF">
        <w:rPr>
          <w:rFonts w:ascii="Garamond" w:eastAsiaTheme="minorEastAsia" w:hAnsi="Garamond"/>
        </w:rPr>
        <w:t>This means to assume</w:t>
      </w:r>
      <w:r w:rsidR="000607F6">
        <w:rPr>
          <w:rFonts w:ascii="Garamond" w:eastAsiaTheme="minorEastAsia" w:hAnsi="Garamond"/>
        </w:rPr>
        <w:t xml:space="preserve"> that the estimated coefficients used to s</w:t>
      </w:r>
      <w:r w:rsidR="00E95EEF">
        <w:rPr>
          <w:rFonts w:ascii="Garamond" w:eastAsiaTheme="minorEastAsia" w:hAnsi="Garamond"/>
        </w:rPr>
        <w:t xml:space="preserve">imulate a shock </w:t>
      </w:r>
      <w:r w:rsidR="000607F6">
        <w:rPr>
          <w:rFonts w:ascii="Garamond" w:eastAsiaTheme="minorEastAsia" w:hAnsi="Garamond"/>
        </w:rPr>
        <w:t xml:space="preserve">are the same for all panel. </w:t>
      </w:r>
      <w:r w:rsidR="00E95EEF">
        <w:rPr>
          <w:rFonts w:ascii="Garamond" w:eastAsiaTheme="minorEastAsia" w:hAnsi="Garamond"/>
        </w:rPr>
        <w:t>Because heterogeneity is lost</w:t>
      </w:r>
      <w:r w:rsidRPr="00220316">
        <w:rPr>
          <w:rFonts w:ascii="Garamond" w:eastAsiaTheme="minorEastAsia" w:hAnsi="Garamond"/>
        </w:rPr>
        <w:t>, the chance for the IRF to</w:t>
      </w:r>
      <w:r w:rsidR="00E95EEF">
        <w:rPr>
          <w:rFonts w:ascii="Garamond" w:eastAsiaTheme="minorEastAsia" w:hAnsi="Garamond"/>
        </w:rPr>
        <w:t xml:space="preserve"> rely on the true predetermining</w:t>
      </w:r>
      <w:r w:rsidRPr="00220316">
        <w:rPr>
          <w:rFonts w:ascii="Garamond" w:eastAsiaTheme="minorEastAsia" w:hAnsi="Garamond"/>
        </w:rPr>
        <w:t xml:space="preserve"> model gets smaller. Bayesian procedure may be used to circumvent </w:t>
      </w:r>
      <w:r w:rsidR="000607F6">
        <w:rPr>
          <w:rFonts w:ascii="Garamond" w:eastAsiaTheme="minorEastAsia" w:hAnsi="Garamond"/>
        </w:rPr>
        <w:t xml:space="preserve">this issue but at the cost of </w:t>
      </w:r>
      <w:r w:rsidRPr="00220316">
        <w:rPr>
          <w:rFonts w:ascii="Garamond" w:eastAsiaTheme="minorEastAsia" w:hAnsi="Garamond"/>
        </w:rPr>
        <w:t>determining prior</w:t>
      </w:r>
      <w:r w:rsidR="000607F6">
        <w:rPr>
          <w:rFonts w:ascii="Garamond" w:eastAsiaTheme="minorEastAsia" w:hAnsi="Garamond"/>
        </w:rPr>
        <w:t>s</w:t>
      </w:r>
      <w:r w:rsidR="00543C99">
        <w:rPr>
          <w:rFonts w:ascii="Garamond" w:eastAsiaTheme="minorEastAsia" w:hAnsi="Garamond"/>
        </w:rPr>
        <w:t>. Because LP is not parametric, it is</w:t>
      </w:r>
      <w:r w:rsidRPr="00220316">
        <w:rPr>
          <w:rFonts w:ascii="Garamond" w:eastAsiaTheme="minorEastAsia" w:hAnsi="Garamond"/>
        </w:rPr>
        <w:t xml:space="preserve"> mo</w:t>
      </w:r>
      <w:r w:rsidR="00543C99">
        <w:rPr>
          <w:rFonts w:ascii="Garamond" w:eastAsiaTheme="minorEastAsia" w:hAnsi="Garamond"/>
        </w:rPr>
        <w:t>re parsimonious and more robust to misspecification</w:t>
      </w:r>
      <w:r w:rsidRPr="00220316">
        <w:rPr>
          <w:rFonts w:ascii="Garamond" w:eastAsiaTheme="minorEastAsia" w:hAnsi="Garamond"/>
        </w:rPr>
        <w:t xml:space="preserve">. Second, local projection does not have to assume a set of endogenous variables. In other words, the unanticipated change of the Bank of England discount rate is not assumed to depend on the other variables of the model when </w:t>
      </w:r>
      <m:oMath>
        <m:sSub>
          <m:sSubPr>
            <m:ctrlPr>
              <w:rPr>
                <w:rFonts w:ascii="Cambria Math" w:hAnsi="Cambria Math"/>
                <w:i/>
              </w:rPr>
            </m:ctrlPr>
          </m:sSubPr>
          <m:e>
            <m:r>
              <w:rPr>
                <w:rFonts w:ascii="Cambria Math" w:hAnsi="Cambria Math"/>
              </w:rPr>
              <m:t>β</m:t>
            </m:r>
          </m:e>
          <m:sub>
            <m:r>
              <w:rPr>
                <w:rFonts w:ascii="Cambria Math" w:hAnsi="Cambria Math"/>
              </w:rPr>
              <m:t>h</m:t>
            </m:r>
          </m:sub>
        </m:sSub>
      </m:oMath>
      <w:r w:rsidRPr="00220316">
        <w:rPr>
          <w:rFonts w:ascii="Garamond" w:eastAsiaTheme="minorEastAsia" w:hAnsi="Garamond"/>
        </w:rPr>
        <w:t xml:space="preserve"> is estimated. For example, unlike PVAR IRF, local projection does not pre-determine any effect of country’s average change in central banks’ domestic assets on the BoE discount rate.  Third, local projection is more flexibl</w:t>
      </w:r>
      <w:r w:rsidR="00341684">
        <w:rPr>
          <w:rFonts w:ascii="Garamond" w:eastAsiaTheme="minorEastAsia" w:hAnsi="Garamond"/>
        </w:rPr>
        <w:t>e to state-dependent variables.</w:t>
      </w:r>
      <w:r w:rsidRPr="00220316">
        <w:rPr>
          <w:rFonts w:ascii="Garamond" w:eastAsiaTheme="minorEastAsia" w:hAnsi="Garamond"/>
        </w:rPr>
        <w:t xml:space="preserve"> We can thus include a “Gold Standard” and a “core-periphery” dummy variable to interact with the set </w:t>
      </w:r>
      <w:r w:rsidR="00EA37F0">
        <w:rPr>
          <w:rFonts w:ascii="Garamond" w:eastAsiaTheme="minorEastAsia" w:hAnsi="Garamond"/>
        </w:rPr>
        <w:t xml:space="preserve">of </w:t>
      </w:r>
      <w:r w:rsidRPr="00220316">
        <w:rPr>
          <w:rFonts w:ascii="Garamond" w:eastAsiaTheme="minorEastAsia" w:hAnsi="Garamond"/>
        </w:rPr>
        <w:t>control variables. This allows the response to account for countries’ categorization when the shock occurs. As such</w:t>
      </w:r>
      <w:r w:rsidR="00543C99">
        <w:rPr>
          <w:rFonts w:ascii="Garamond" w:eastAsiaTheme="minorEastAsia" w:hAnsi="Garamond"/>
        </w:rPr>
        <w:t>,</w:t>
      </w:r>
      <w:r w:rsidRPr="00220316">
        <w:rPr>
          <w:rFonts w:ascii="Garamond" w:eastAsiaTheme="minorEastAsia" w:hAnsi="Garamond"/>
        </w:rPr>
        <w:t xml:space="preserve"> the model we test is the following:</w:t>
      </w:r>
    </w:p>
    <w:p w14:paraId="708BD47D" w14:textId="77777777" w:rsidR="00A56D3B" w:rsidRPr="00220316" w:rsidRDefault="00A56D3B" w:rsidP="00220316">
      <w:pPr>
        <w:spacing w:line="360" w:lineRule="auto"/>
        <w:ind w:firstLine="720"/>
        <w:jc w:val="both"/>
        <w:rPr>
          <w:rFonts w:ascii="Garamond" w:eastAsiaTheme="minorEastAsia" w:hAnsi="Garamond"/>
        </w:rPr>
      </w:pPr>
    </w:p>
    <w:p w14:paraId="1BBA56FE" w14:textId="45CFB3A0" w:rsidR="00220316" w:rsidRPr="00220316" w:rsidRDefault="003B6976" w:rsidP="00220316">
      <w:pPr>
        <w:spacing w:line="360" w:lineRule="auto"/>
        <w:jc w:val="both"/>
        <w:rPr>
          <w:rFonts w:ascii="Garamond" w:eastAsiaTheme="minorEastAsia" w:hAnsi="Garamond"/>
        </w:rPr>
      </w:pPr>
      <m:oMathPara>
        <m:oMath>
          <m:sSub>
            <m:sSubPr>
              <m:ctrlPr>
                <w:rPr>
                  <w:rFonts w:ascii="Cambria Math" w:hAnsi="Cambria Math"/>
                  <w:i/>
                </w:rPr>
              </m:ctrlPr>
            </m:sSubPr>
            <m:e>
              <m:r>
                <w:rPr>
                  <w:rFonts w:ascii="Cambria Math" w:hAnsi="Cambria Math"/>
                </w:rPr>
                <m:t>x</m:t>
              </m:r>
            </m:e>
            <m:sub>
              <m:r>
                <w:rPr>
                  <w:rFonts w:ascii="Cambria Math" w:hAnsi="Cambria Math"/>
                </w:rPr>
                <m:t>t+h</m:t>
              </m:r>
            </m:sub>
          </m:sSub>
          <m:r>
            <w:rPr>
              <w:rFonts w:ascii="Cambria Math" w:hAnsi="Cambria Math"/>
            </w:rPr>
            <m:t>=core×</m:t>
          </m:r>
          <m:sSub>
            <m:sSubPr>
              <m:ctrlPr>
                <w:rPr>
                  <w:rFonts w:ascii="Cambria Math" w:hAnsi="Cambria Math"/>
                  <w:i/>
                </w:rPr>
              </m:ctrlPr>
            </m:sSubPr>
            <m:e>
              <m:r>
                <w:rPr>
                  <w:rFonts w:ascii="Cambria Math" w:hAnsi="Cambria Math"/>
                </w:rPr>
                <m:t>GS</m:t>
              </m:r>
            </m:e>
            <m:sub>
              <m:r>
                <w:rPr>
                  <w:rFonts w:ascii="Cambria Math" w:hAnsi="Cambria Math"/>
                </w:rPr>
                <m:t>t-1</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a,h</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a,h</m:t>
                  </m:r>
                </m:sub>
              </m:sSub>
              <m:d>
                <m:dPr>
                  <m:ctrlPr>
                    <w:rPr>
                      <w:rFonts w:ascii="Cambria Math" w:hAnsi="Cambria Math"/>
                      <w:i/>
                    </w:rPr>
                  </m:ctrlPr>
                </m:dPr>
                <m:e>
                  <m:r>
                    <w:rPr>
                      <w:rFonts w:ascii="Cambria Math" w:hAnsi="Cambria Math"/>
                    </w:rPr>
                    <m:t>L</m:t>
                  </m:r>
                </m:e>
              </m:d>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a,h</m:t>
                  </m:r>
                </m:sub>
              </m:sSub>
              <m:sSub>
                <m:sSubPr>
                  <m:ctrlPr>
                    <w:rPr>
                      <w:rFonts w:ascii="Cambria Math" w:hAnsi="Cambria Math"/>
                      <w:i/>
                    </w:rPr>
                  </m:ctrlPr>
                </m:sSubPr>
                <m:e>
                  <m:r>
                    <w:rPr>
                      <w:rFonts w:ascii="Cambria Math" w:hAnsi="Cambria Math"/>
                    </w:rPr>
                    <m:t>shock</m:t>
                  </m:r>
                </m:e>
                <m:sub>
                  <m:r>
                    <w:rPr>
                      <w:rFonts w:ascii="Cambria Math" w:hAnsi="Cambria Math"/>
                    </w:rPr>
                    <m:t>t</m:t>
                  </m:r>
                </m:sub>
              </m:sSub>
            </m:e>
          </m:d>
          <m:r>
            <w:rPr>
              <w:rFonts w:ascii="Cambria Math" w:hAnsi="Cambria Math"/>
            </w:rPr>
            <m:t>+core×</m:t>
          </m:r>
          <m:d>
            <m:dPr>
              <m:begChr m:val="["/>
              <m:endChr m:val="]"/>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GS</m:t>
                  </m:r>
                </m:e>
                <m:sub>
                  <m:r>
                    <w:rPr>
                      <w:rFonts w:ascii="Cambria Math" w:hAnsi="Cambria Math"/>
                    </w:rPr>
                    <m:t>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b,h</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b,h</m:t>
                  </m:r>
                </m:sub>
              </m:sSub>
              <m:d>
                <m:dPr>
                  <m:ctrlPr>
                    <w:rPr>
                      <w:rFonts w:ascii="Cambria Math" w:hAnsi="Cambria Math"/>
                      <w:i/>
                    </w:rPr>
                  </m:ctrlPr>
                </m:dPr>
                <m:e>
                  <m:r>
                    <w:rPr>
                      <w:rFonts w:ascii="Cambria Math" w:hAnsi="Cambria Math"/>
                    </w:rPr>
                    <m:t>L</m:t>
                  </m:r>
                </m:e>
              </m:d>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b,h</m:t>
                  </m:r>
                </m:sub>
              </m:sSub>
              <m:sSub>
                <m:sSubPr>
                  <m:ctrlPr>
                    <w:rPr>
                      <w:rFonts w:ascii="Cambria Math" w:hAnsi="Cambria Math"/>
                      <w:i/>
                    </w:rPr>
                  </m:ctrlPr>
                </m:sSubPr>
                <m:e>
                  <m:r>
                    <w:rPr>
                      <w:rFonts w:ascii="Cambria Math" w:hAnsi="Cambria Math"/>
                    </w:rPr>
                    <m:t>shock</m:t>
                  </m:r>
                </m:e>
                <m:sub>
                  <m:r>
                    <w:rPr>
                      <w:rFonts w:ascii="Cambria Math" w:hAnsi="Cambria Math"/>
                    </w:rPr>
                    <m:t>t</m:t>
                  </m:r>
                </m:sub>
              </m:sSub>
            </m:e>
          </m:d>
          <m:r>
            <w:rPr>
              <w:rFonts w:ascii="Cambria Math" w:hAnsi="Cambria Math"/>
            </w:rPr>
            <m:t>+</m:t>
          </m:r>
          <m:d>
            <m:dPr>
              <m:begChr m:val="["/>
              <m:endChr m:val="]"/>
              <m:ctrlPr>
                <w:rPr>
                  <w:rFonts w:ascii="Cambria Math" w:hAnsi="Cambria Math"/>
                  <w:i/>
                </w:rPr>
              </m:ctrlPr>
            </m:dPr>
            <m:e>
              <m:r>
                <w:rPr>
                  <w:rFonts w:ascii="Cambria Math" w:hAnsi="Cambria Math"/>
                </w:rPr>
                <m:t>1-core</m:t>
              </m:r>
            </m:e>
          </m:d>
          <m:r>
            <w:rPr>
              <w:rFonts w:ascii="Cambria Math" w:hAnsi="Cambria Math"/>
            </w:rPr>
            <m:t>×</m:t>
          </m:r>
          <m:sSub>
            <m:sSubPr>
              <m:ctrlPr>
                <w:rPr>
                  <w:rFonts w:ascii="Cambria Math" w:hAnsi="Cambria Math"/>
                  <w:i/>
                </w:rPr>
              </m:ctrlPr>
            </m:sSubPr>
            <m:e>
              <m:r>
                <w:rPr>
                  <w:rFonts w:ascii="Cambria Math" w:hAnsi="Cambria Math"/>
                </w:rPr>
                <m:t>GS</m:t>
              </m:r>
            </m:e>
            <m:sub>
              <m:r>
                <w:rPr>
                  <w:rFonts w:ascii="Cambria Math" w:hAnsi="Cambria Math"/>
                </w:rPr>
                <m:t>t-1</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c,h</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c,h</m:t>
                  </m:r>
                </m:sub>
              </m:sSub>
              <m:d>
                <m:dPr>
                  <m:ctrlPr>
                    <w:rPr>
                      <w:rFonts w:ascii="Cambria Math" w:hAnsi="Cambria Math"/>
                      <w:i/>
                    </w:rPr>
                  </m:ctrlPr>
                </m:dPr>
                <m:e>
                  <m:r>
                    <w:rPr>
                      <w:rFonts w:ascii="Cambria Math" w:hAnsi="Cambria Math"/>
                    </w:rPr>
                    <m:t>L</m:t>
                  </m:r>
                </m:e>
              </m:d>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c,h</m:t>
                  </m:r>
                </m:sub>
              </m:sSub>
              <m:sSub>
                <m:sSubPr>
                  <m:ctrlPr>
                    <w:rPr>
                      <w:rFonts w:ascii="Cambria Math" w:hAnsi="Cambria Math"/>
                      <w:i/>
                    </w:rPr>
                  </m:ctrlPr>
                </m:sSubPr>
                <m:e>
                  <m:r>
                    <w:rPr>
                      <w:rFonts w:ascii="Cambria Math" w:hAnsi="Cambria Math"/>
                    </w:rPr>
                    <m:t>shock</m:t>
                  </m:r>
                </m:e>
                <m:sub>
                  <m:r>
                    <w:rPr>
                      <w:rFonts w:ascii="Cambria Math" w:hAnsi="Cambria Math"/>
                    </w:rPr>
                    <m:t>t</m:t>
                  </m:r>
                </m:sub>
              </m:sSub>
            </m:e>
          </m:d>
          <m:r>
            <w:rPr>
              <w:rFonts w:ascii="Cambria Math" w:hAnsi="Cambria Math"/>
            </w:rPr>
            <m:t>+</m:t>
          </m:r>
          <m:d>
            <m:dPr>
              <m:begChr m:val="["/>
              <m:endChr m:val="]"/>
              <m:ctrlPr>
                <w:rPr>
                  <w:rFonts w:ascii="Cambria Math" w:hAnsi="Cambria Math"/>
                  <w:i/>
                </w:rPr>
              </m:ctrlPr>
            </m:dPr>
            <m:e>
              <m:r>
                <w:rPr>
                  <w:rFonts w:ascii="Cambria Math" w:hAnsi="Cambria Math"/>
                </w:rPr>
                <m:t>1-core</m:t>
              </m:r>
            </m:e>
          </m:d>
          <m:r>
            <w:rPr>
              <w:rFonts w:ascii="Cambria Math" w:hAnsi="Cambria Math"/>
            </w:rPr>
            <m:t>×</m:t>
          </m:r>
          <m:d>
            <m:dPr>
              <m:begChr m:val="["/>
              <m:endChr m:val="]"/>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GS</m:t>
                  </m:r>
                </m:e>
                <m:sub>
                  <m:r>
                    <w:rPr>
                      <w:rFonts w:ascii="Cambria Math" w:hAnsi="Cambria Math"/>
                    </w:rPr>
                    <m:t>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d,h</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d,h</m:t>
                  </m:r>
                </m:sub>
              </m:sSub>
              <m:d>
                <m:dPr>
                  <m:ctrlPr>
                    <w:rPr>
                      <w:rFonts w:ascii="Cambria Math" w:hAnsi="Cambria Math"/>
                      <w:i/>
                    </w:rPr>
                  </m:ctrlPr>
                </m:dPr>
                <m:e>
                  <m:r>
                    <w:rPr>
                      <w:rFonts w:ascii="Cambria Math" w:hAnsi="Cambria Math"/>
                    </w:rPr>
                    <m:t>L</m:t>
                  </m:r>
                </m:e>
              </m:d>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d,h</m:t>
                  </m:r>
                </m:sub>
              </m:sSub>
              <m:sSub>
                <m:sSubPr>
                  <m:ctrlPr>
                    <w:rPr>
                      <w:rFonts w:ascii="Cambria Math" w:hAnsi="Cambria Math"/>
                      <w:i/>
                    </w:rPr>
                  </m:ctrlPr>
                </m:sSubPr>
                <m:e>
                  <m:r>
                    <w:rPr>
                      <w:rFonts w:ascii="Cambria Math" w:hAnsi="Cambria Math"/>
                    </w:rPr>
                    <m:t>shock</m:t>
                  </m:r>
                </m:e>
                <m:sub>
                  <m:r>
                    <w:rPr>
                      <w:rFonts w:ascii="Cambria Math" w:hAnsi="Cambria Math"/>
                    </w:rPr>
                    <m:t>t</m:t>
                  </m:r>
                </m:sub>
              </m:sSub>
            </m:e>
          </m:d>
          <m:r>
            <w:rPr>
              <w:rFonts w:ascii="Cambria Math" w:hAnsi="Cambria Math"/>
            </w:rPr>
            <m:t>+trend+</m:t>
          </m:r>
          <m:sSub>
            <m:sSubPr>
              <m:ctrlPr>
                <w:rPr>
                  <w:rFonts w:ascii="Cambria Math" w:hAnsi="Cambria Math"/>
                  <w:i/>
                </w:rPr>
              </m:ctrlPr>
            </m:sSubPr>
            <m:e>
              <m:r>
                <w:rPr>
                  <w:rFonts w:ascii="Cambria Math" w:hAnsi="Cambria Math"/>
                </w:rPr>
                <m:t>ε</m:t>
              </m:r>
            </m:e>
            <m:sub>
              <m:r>
                <w:rPr>
                  <w:rFonts w:ascii="Cambria Math" w:hAnsi="Cambria Math"/>
                </w:rPr>
                <m:t>t+h</m:t>
              </m:r>
            </m:sub>
          </m:sSub>
        </m:oMath>
      </m:oMathPara>
    </w:p>
    <w:p w14:paraId="04CE4272" w14:textId="77777777" w:rsidR="00A56D3B" w:rsidRDefault="00A56D3B" w:rsidP="00220316">
      <w:pPr>
        <w:spacing w:line="360" w:lineRule="auto"/>
        <w:jc w:val="both"/>
        <w:rPr>
          <w:rFonts w:ascii="Garamond" w:eastAsiaTheme="minorEastAsia" w:hAnsi="Garamond"/>
        </w:rPr>
      </w:pPr>
    </w:p>
    <w:p w14:paraId="56A7FDB4" w14:textId="677EC166" w:rsidR="00220316" w:rsidRPr="00220316" w:rsidRDefault="003B6976" w:rsidP="00220316">
      <w:pPr>
        <w:spacing w:line="360" w:lineRule="auto"/>
        <w:jc w:val="both"/>
        <w:rPr>
          <w:rFonts w:ascii="Garamond" w:eastAsiaTheme="minorEastAsia" w:hAnsi="Garamond"/>
        </w:rPr>
      </w:pPr>
      <m:oMath>
        <m:sSub>
          <m:sSubPr>
            <m:ctrlPr>
              <w:rPr>
                <w:rFonts w:ascii="Cambria Math" w:eastAsiaTheme="minorEastAsia" w:hAnsi="Cambria Math"/>
                <w:i/>
              </w:rPr>
            </m:ctrlPr>
          </m:sSubPr>
          <m:e>
            <m:r>
              <w:rPr>
                <w:rFonts w:ascii="Cambria Math" w:eastAsiaTheme="minorEastAsia" w:hAnsi="Cambria Math"/>
              </w:rPr>
              <m:t>GS</m:t>
            </m:r>
          </m:e>
          <m:sub>
            <m:r>
              <w:rPr>
                <w:rFonts w:ascii="Cambria Math" w:eastAsiaTheme="minorEastAsia" w:hAnsi="Cambria Math"/>
              </w:rPr>
              <m:t>t</m:t>
            </m:r>
          </m:sub>
        </m:sSub>
      </m:oMath>
      <w:r w:rsidR="00220316" w:rsidRPr="00220316">
        <w:rPr>
          <w:rFonts w:ascii="Garamond" w:eastAsiaTheme="minorEastAsia" w:hAnsi="Garamond"/>
        </w:rPr>
        <w:t xml:space="preserve"> is a Gold Standard dummy variables equal to 1 if the country adheres to the Gold Standard at time </w:t>
      </w:r>
      <m:oMath>
        <m:r>
          <w:rPr>
            <w:rFonts w:ascii="Cambria Math" w:eastAsiaTheme="minorEastAsia" w:hAnsi="Cambria Math"/>
          </w:rPr>
          <m:t>t</m:t>
        </m:r>
      </m:oMath>
      <w:r w:rsidR="00220316" w:rsidRPr="00220316">
        <w:rPr>
          <w:rFonts w:ascii="Garamond" w:eastAsiaTheme="minorEastAsia" w:hAnsi="Garamond"/>
        </w:rPr>
        <w:t xml:space="preserve">, </w:t>
      </w:r>
      <m:oMath>
        <m:r>
          <w:rPr>
            <w:rFonts w:ascii="Cambria Math" w:eastAsiaTheme="minorEastAsia" w:hAnsi="Cambria Math"/>
          </w:rPr>
          <m:t>core</m:t>
        </m:r>
      </m:oMath>
      <w:r w:rsidR="00220316" w:rsidRPr="00220316">
        <w:rPr>
          <w:rFonts w:ascii="Garamond" w:eastAsiaTheme="minorEastAsia" w:hAnsi="Garamond"/>
        </w:rPr>
        <w:t xml:space="preserve"> is a dummy variable equals to 1 if the country has been classified as a core country in Martin-Acena et al. (2012).  </w:t>
      </w:r>
      <m:oMath>
        <m:sSub>
          <m:sSubPr>
            <m:ctrlPr>
              <w:rPr>
                <w:rFonts w:ascii="Cambria Math" w:hAnsi="Cambria Math"/>
                <w:i/>
              </w:rPr>
            </m:ctrlPr>
          </m:sSubPr>
          <m:e>
            <m:r>
              <w:rPr>
                <w:rFonts w:ascii="Cambria Math" w:hAnsi="Cambria Math"/>
              </w:rPr>
              <m:t>β</m:t>
            </m:r>
          </m:e>
          <m:sub>
            <m:r>
              <w:rPr>
                <w:rFonts w:ascii="Cambria Math" w:hAnsi="Cambria Math"/>
              </w:rPr>
              <m:t>a,h</m:t>
            </m:r>
          </m:sub>
        </m:sSub>
      </m:oMath>
      <w:r w:rsidR="00220316" w:rsidRPr="00220316">
        <w:rPr>
          <w:rFonts w:ascii="Garamond" w:eastAsiaTheme="minorEastAsia" w:hAnsi="Garamond"/>
        </w:rPr>
        <w:t xml:space="preserve">, </w:t>
      </w:r>
      <m:oMath>
        <m:sSub>
          <m:sSubPr>
            <m:ctrlPr>
              <w:rPr>
                <w:rFonts w:ascii="Cambria Math" w:hAnsi="Cambria Math"/>
                <w:i/>
              </w:rPr>
            </m:ctrlPr>
          </m:sSubPr>
          <m:e>
            <m:r>
              <w:rPr>
                <w:rFonts w:ascii="Cambria Math" w:hAnsi="Cambria Math"/>
              </w:rPr>
              <m:t>β</m:t>
            </m:r>
          </m:e>
          <m:sub>
            <m:r>
              <w:rPr>
                <w:rFonts w:ascii="Cambria Math" w:hAnsi="Cambria Math"/>
              </w:rPr>
              <m:t>b,h</m:t>
            </m:r>
          </m:sub>
        </m:sSub>
      </m:oMath>
      <w:r w:rsidR="00220316" w:rsidRPr="00220316">
        <w:rPr>
          <w:rFonts w:ascii="Garamond" w:eastAsiaTheme="minorEastAsia" w:hAnsi="Garamond"/>
        </w:rPr>
        <w:t xml:space="preserve">, </w:t>
      </w:r>
      <m:oMath>
        <m:sSub>
          <m:sSubPr>
            <m:ctrlPr>
              <w:rPr>
                <w:rFonts w:ascii="Cambria Math" w:hAnsi="Cambria Math"/>
                <w:i/>
              </w:rPr>
            </m:ctrlPr>
          </m:sSubPr>
          <m:e>
            <m:r>
              <w:rPr>
                <w:rFonts w:ascii="Cambria Math" w:hAnsi="Cambria Math"/>
              </w:rPr>
              <m:t>β</m:t>
            </m:r>
          </m:e>
          <m:sub>
            <m:r>
              <w:rPr>
                <w:rFonts w:ascii="Cambria Math" w:hAnsi="Cambria Math"/>
              </w:rPr>
              <m:t>c,h</m:t>
            </m:r>
          </m:sub>
        </m:sSub>
      </m:oMath>
      <w:r w:rsidR="00220316" w:rsidRPr="00220316">
        <w:rPr>
          <w:rFonts w:ascii="Garamond" w:eastAsiaTheme="minorEastAsia" w:hAnsi="Garamond"/>
        </w:rPr>
        <w:t xml:space="preserve">, and </w:t>
      </w:r>
      <m:oMath>
        <m:sSub>
          <m:sSubPr>
            <m:ctrlPr>
              <w:rPr>
                <w:rFonts w:ascii="Cambria Math" w:hAnsi="Cambria Math"/>
                <w:i/>
              </w:rPr>
            </m:ctrlPr>
          </m:sSubPr>
          <m:e>
            <m:r>
              <w:rPr>
                <w:rFonts w:ascii="Cambria Math" w:hAnsi="Cambria Math"/>
              </w:rPr>
              <m:t>β</m:t>
            </m:r>
          </m:e>
          <m:sub>
            <m:r>
              <w:rPr>
                <w:rFonts w:ascii="Cambria Math" w:hAnsi="Cambria Math"/>
              </w:rPr>
              <m:t>d,h</m:t>
            </m:r>
          </m:sub>
        </m:sSub>
      </m:oMath>
      <w:r w:rsidR="00220316" w:rsidRPr="00220316">
        <w:rPr>
          <w:rFonts w:ascii="Garamond" w:eastAsiaTheme="minorEastAsia" w:hAnsi="Garamond"/>
        </w:rPr>
        <w:t xml:space="preserve">, are picked up from </w:t>
      </w:r>
      <m:oMath>
        <m:r>
          <w:rPr>
            <w:rFonts w:ascii="Cambria Math" w:eastAsiaTheme="minorEastAsia" w:hAnsi="Cambria Math"/>
          </w:rPr>
          <m:t>h=1</m:t>
        </m:r>
      </m:oMath>
      <w:r w:rsidR="00220316" w:rsidRPr="00220316">
        <w:rPr>
          <w:rFonts w:ascii="Garamond" w:eastAsiaTheme="minorEastAsia" w:hAnsi="Garamond"/>
        </w:rPr>
        <w:t xml:space="preserve"> to </w:t>
      </w:r>
      <m:oMath>
        <m:r>
          <w:rPr>
            <w:rFonts w:ascii="Cambria Math" w:eastAsiaTheme="minorEastAsia" w:hAnsi="Cambria Math"/>
          </w:rPr>
          <m:t>h=H</m:t>
        </m:r>
      </m:oMath>
      <w:r w:rsidR="00220316" w:rsidRPr="00220316">
        <w:rPr>
          <w:rFonts w:ascii="Garamond" w:eastAsiaTheme="minorEastAsia" w:hAnsi="Garamond"/>
        </w:rPr>
        <w:t xml:space="preserve">, to build IRF for each group. Because core countries are all in the Gold Standard during the period, </w:t>
      </w:r>
      <m:oMath>
        <m:r>
          <w:rPr>
            <w:rFonts w:ascii="Cambria Math" w:hAnsi="Cambria Math"/>
          </w:rPr>
          <m:t>core×</m:t>
        </m:r>
        <m:d>
          <m:dPr>
            <m:begChr m:val="["/>
            <m:endChr m:val="]"/>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GS</m:t>
                </m:r>
              </m:e>
              <m:sub>
                <m:r>
                  <w:rPr>
                    <w:rFonts w:ascii="Cambria Math" w:hAnsi="Cambria Math"/>
                  </w:rPr>
                  <m:t>t-1</m:t>
                </m:r>
              </m:sub>
            </m:sSub>
          </m:e>
        </m:d>
        <m:r>
          <w:rPr>
            <w:rFonts w:ascii="Cambria Math" w:hAnsi="Cambria Math"/>
          </w:rPr>
          <m:t>=0</m:t>
        </m:r>
      </m:oMath>
      <w:r w:rsidR="00220316" w:rsidRPr="00220316">
        <w:rPr>
          <w:rFonts w:ascii="Garamond" w:eastAsiaTheme="minorEastAsia" w:hAnsi="Garamond"/>
        </w:rPr>
        <w:t xml:space="preserve">, so that </w:t>
      </w:r>
      <m:oMath>
        <m:sSub>
          <m:sSubPr>
            <m:ctrlPr>
              <w:rPr>
                <w:rFonts w:ascii="Cambria Math" w:hAnsi="Cambria Math"/>
                <w:i/>
              </w:rPr>
            </m:ctrlPr>
          </m:sSubPr>
          <m:e>
            <m:r>
              <w:rPr>
                <w:rFonts w:ascii="Cambria Math" w:hAnsi="Cambria Math"/>
              </w:rPr>
              <m:t>β</m:t>
            </m:r>
          </m:e>
          <m:sub>
            <m:r>
              <w:rPr>
                <w:rFonts w:ascii="Cambria Math" w:hAnsi="Cambria Math"/>
              </w:rPr>
              <m:t>b,h</m:t>
            </m:r>
          </m:sub>
        </m:sSub>
      </m:oMath>
      <w:r w:rsidR="00220316" w:rsidRPr="00220316">
        <w:rPr>
          <w:rFonts w:ascii="Garamond" w:eastAsiaTheme="minorEastAsia" w:hAnsi="Garamond"/>
        </w:rPr>
        <w:t xml:space="preserve"> is not part of the estimation. Thus, </w:t>
      </w:r>
      <m:oMath>
        <m:sSub>
          <m:sSubPr>
            <m:ctrlPr>
              <w:rPr>
                <w:rFonts w:ascii="Cambria Math" w:hAnsi="Cambria Math"/>
                <w:i/>
              </w:rPr>
            </m:ctrlPr>
          </m:sSubPr>
          <m:e>
            <m:r>
              <w:rPr>
                <w:rFonts w:ascii="Cambria Math" w:hAnsi="Cambria Math"/>
              </w:rPr>
              <m:t>β</m:t>
            </m:r>
          </m:e>
          <m:sub>
            <m:r>
              <w:rPr>
                <w:rFonts w:ascii="Cambria Math" w:hAnsi="Cambria Math"/>
              </w:rPr>
              <m:t>a,h</m:t>
            </m:r>
          </m:sub>
        </m:sSub>
      </m:oMath>
      <w:r w:rsidR="00220316" w:rsidRPr="00220316">
        <w:rPr>
          <w:rFonts w:ascii="Garamond" w:eastAsiaTheme="minorEastAsia" w:hAnsi="Garamond"/>
        </w:rPr>
        <w:t xml:space="preserve"> corresponds to core countries response (group 1),  </w:t>
      </w:r>
      <m:oMath>
        <m:sSub>
          <m:sSubPr>
            <m:ctrlPr>
              <w:rPr>
                <w:rFonts w:ascii="Cambria Math" w:hAnsi="Cambria Math"/>
                <w:i/>
              </w:rPr>
            </m:ctrlPr>
          </m:sSubPr>
          <m:e>
            <m:r>
              <w:rPr>
                <w:rFonts w:ascii="Cambria Math" w:hAnsi="Cambria Math"/>
              </w:rPr>
              <m:t>β</m:t>
            </m:r>
          </m:e>
          <m:sub>
            <m:r>
              <w:rPr>
                <w:rFonts w:ascii="Cambria Math" w:hAnsi="Cambria Math"/>
              </w:rPr>
              <m:t>c,h</m:t>
            </m:r>
          </m:sub>
        </m:sSub>
      </m:oMath>
      <w:r w:rsidR="00220316" w:rsidRPr="00220316">
        <w:rPr>
          <w:rFonts w:ascii="Garamond" w:eastAsiaTheme="minorEastAsia" w:hAnsi="Garamond"/>
        </w:rPr>
        <w:t xml:space="preserve"> corresponds to peripheral countries in the Gold Standard response (group 2), and </w:t>
      </w:r>
      <m:oMath>
        <m:sSub>
          <m:sSubPr>
            <m:ctrlPr>
              <w:rPr>
                <w:rFonts w:ascii="Cambria Math" w:hAnsi="Cambria Math"/>
                <w:i/>
              </w:rPr>
            </m:ctrlPr>
          </m:sSubPr>
          <m:e>
            <m:r>
              <w:rPr>
                <w:rFonts w:ascii="Cambria Math" w:hAnsi="Cambria Math"/>
              </w:rPr>
              <m:t>β</m:t>
            </m:r>
          </m:e>
          <m:sub>
            <m:r>
              <w:rPr>
                <w:rFonts w:ascii="Cambria Math" w:hAnsi="Cambria Math"/>
              </w:rPr>
              <m:t>d,h</m:t>
            </m:r>
          </m:sub>
        </m:sSub>
      </m:oMath>
      <w:r w:rsidR="00220316" w:rsidRPr="00220316">
        <w:rPr>
          <w:rFonts w:ascii="Garamond" w:eastAsiaTheme="minorEastAsia" w:hAnsi="Garamond"/>
        </w:rPr>
        <w:t xml:space="preserve"> corresponds to peripheral countries out of the Gold Standard response (group 3). </w:t>
      </w:r>
    </w:p>
    <w:p w14:paraId="44C7748D" w14:textId="06F04A24" w:rsidR="00F36C57" w:rsidRDefault="00220316" w:rsidP="006C0C1E">
      <w:pPr>
        <w:spacing w:line="360" w:lineRule="auto"/>
        <w:ind w:firstLine="720"/>
        <w:jc w:val="both"/>
        <w:rPr>
          <w:rFonts w:ascii="Garamond" w:eastAsiaTheme="minorEastAsia" w:hAnsi="Garamond"/>
        </w:rPr>
      </w:pPr>
      <w:r w:rsidRPr="00220316">
        <w:rPr>
          <w:rFonts w:ascii="Garamond" w:eastAsiaTheme="minorEastAsia" w:hAnsi="Garamond"/>
        </w:rPr>
        <w:t xml:space="preserve">Local projection may also come at some costs. First, observations from the end of sample are lost as </w:t>
      </w:r>
      <m:oMath>
        <m:r>
          <w:rPr>
            <w:rFonts w:ascii="Cambria Math" w:eastAsiaTheme="minorEastAsia" w:hAnsi="Cambria Math"/>
          </w:rPr>
          <m:t>h</m:t>
        </m:r>
      </m:oMath>
      <w:r w:rsidRPr="00220316">
        <w:rPr>
          <w:rFonts w:ascii="Garamond" w:eastAsiaTheme="minorEastAsia" w:hAnsi="Garamond"/>
        </w:rPr>
        <w:t xml:space="preserve"> increases. Second, as shown in Ramey (2012) and Ramey and Zubairy (2018) shorter run analysis should be given priority as local projection tend to provide both erratic and significant oscillating responses at longer horizons. </w:t>
      </w:r>
      <w:r w:rsidRPr="00F36C57">
        <w:rPr>
          <w:rFonts w:ascii="Garamond" w:eastAsiaTheme="minorEastAsia" w:hAnsi="Garamond"/>
        </w:rPr>
        <w:t xml:space="preserve">However, because our analysis is mostly based on short run </w:t>
      </w:r>
      <w:r w:rsidR="00F36C57" w:rsidRPr="00F36C57">
        <w:rPr>
          <w:rFonts w:ascii="Garamond" w:eastAsiaTheme="minorEastAsia" w:hAnsi="Garamond"/>
        </w:rPr>
        <w:t>adju</w:t>
      </w:r>
      <w:r w:rsidR="00AB1D36">
        <w:rPr>
          <w:rFonts w:ascii="Garamond" w:eastAsiaTheme="minorEastAsia" w:hAnsi="Garamond"/>
        </w:rPr>
        <w:t>stment, we do not see this as a fundamental issue</w:t>
      </w:r>
      <w:r w:rsidR="00F36C57" w:rsidRPr="00F36C57">
        <w:rPr>
          <w:rFonts w:ascii="Garamond" w:eastAsiaTheme="minorEastAsia" w:hAnsi="Garamond"/>
        </w:rPr>
        <w:t xml:space="preserve">. </w:t>
      </w:r>
    </w:p>
    <w:p w14:paraId="05BCBB69" w14:textId="33A16171" w:rsidR="00220316" w:rsidRPr="00F36C57" w:rsidRDefault="00F36C57" w:rsidP="00F36C57">
      <w:pPr>
        <w:spacing w:line="360" w:lineRule="auto"/>
        <w:ind w:firstLine="720"/>
        <w:jc w:val="both"/>
        <w:rPr>
          <w:rFonts w:ascii="Garamond" w:eastAsiaTheme="minorEastAsia" w:hAnsi="Garamond"/>
        </w:rPr>
      </w:pPr>
      <w:r>
        <w:rPr>
          <w:rFonts w:ascii="Garamond" w:eastAsiaTheme="minorEastAsia" w:hAnsi="Garamond"/>
        </w:rPr>
        <w:t>The variables of interest included in our estimations are the following:</w:t>
      </w:r>
      <w:r w:rsidR="00224ED6">
        <w:rPr>
          <w:rFonts w:ascii="Garamond" w:eastAsiaTheme="minorEastAsia" w:hAnsi="Garamond"/>
        </w:rPr>
        <w:t xml:space="preserve"> The BoE discount rate change</w:t>
      </w:r>
      <w:r w:rsidRPr="00F36C57">
        <w:rPr>
          <w:rFonts w:ascii="Garamond" w:eastAsiaTheme="minorEastAsia" w:hAnsi="Garamond"/>
        </w:rPr>
        <w:t>, the log of total international assets, the log of total domestic assets, the central bank discount rate, and the exchange rate deviation from mint parity.</w:t>
      </w:r>
      <w:r w:rsidR="00AB1D36">
        <w:rPr>
          <w:rFonts w:ascii="Garamond" w:eastAsiaTheme="minorEastAsia" w:hAnsi="Garamond"/>
        </w:rPr>
        <w:t xml:space="preserve"> The vector of control variables is composed of three lags for</w:t>
      </w:r>
      <w:r w:rsidR="00684325">
        <w:rPr>
          <w:rFonts w:ascii="Garamond" w:eastAsiaTheme="minorEastAsia" w:hAnsi="Garamond"/>
        </w:rPr>
        <w:t xml:space="preserve"> ea</w:t>
      </w:r>
      <w:r w:rsidR="00AB1D36">
        <w:rPr>
          <w:rFonts w:ascii="Garamond" w:eastAsiaTheme="minorEastAsia" w:hAnsi="Garamond"/>
        </w:rPr>
        <w:t>ch variable of interest</w:t>
      </w:r>
      <w:r w:rsidR="00684325">
        <w:rPr>
          <w:rFonts w:ascii="Garamond" w:eastAsiaTheme="minorEastAsia" w:hAnsi="Garamond"/>
        </w:rPr>
        <w:t>.</w:t>
      </w:r>
      <w:r w:rsidRPr="00F36C57">
        <w:rPr>
          <w:rFonts w:ascii="Garamond" w:eastAsiaTheme="minorEastAsia" w:hAnsi="Garamond"/>
        </w:rPr>
        <w:t xml:space="preserve"> Panel data unit root tests have been performed based on fisher-type tests and Im-Pesaran-Shin tests.</w:t>
      </w:r>
      <w:r w:rsidRPr="00F36C57">
        <w:rPr>
          <w:rStyle w:val="FootnoteReference"/>
          <w:rFonts w:ascii="Garamond" w:eastAsiaTheme="minorEastAsia" w:hAnsi="Garamond"/>
        </w:rPr>
        <w:footnoteReference w:id="19"/>
      </w:r>
      <w:r>
        <w:rPr>
          <w:rFonts w:ascii="Garamond" w:eastAsiaTheme="minorEastAsia" w:hAnsi="Garamond"/>
        </w:rPr>
        <w:t xml:space="preserve"> Non-stationarity is </w:t>
      </w:r>
      <w:r w:rsidRPr="00F36C57">
        <w:rPr>
          <w:rFonts w:ascii="Garamond" w:eastAsiaTheme="minorEastAsia" w:hAnsi="Garamond"/>
        </w:rPr>
        <w:t>always rejected at 1% confidence interval. Each regression includes fixed effects while standard errors are robust to heteroskedasticity and serial correlation due to clusters</w:t>
      </w:r>
      <w:r w:rsidR="00AB1D36">
        <w:rPr>
          <w:rFonts w:ascii="Garamond" w:eastAsiaTheme="minorEastAsia" w:hAnsi="Garamond"/>
        </w:rPr>
        <w:t xml:space="preserve"> or Newey West estimations</w:t>
      </w:r>
      <w:r w:rsidRPr="00F36C57">
        <w:rPr>
          <w:rFonts w:ascii="Garamond" w:eastAsiaTheme="minorEastAsia" w:hAnsi="Garamond"/>
        </w:rPr>
        <w:t>.</w:t>
      </w:r>
      <w:r>
        <w:rPr>
          <w:rFonts w:ascii="Garamond" w:eastAsiaTheme="minorEastAsia" w:hAnsi="Garamond"/>
        </w:rPr>
        <w:t xml:space="preserve"> </w:t>
      </w:r>
    </w:p>
    <w:p w14:paraId="2C728D7B" w14:textId="77777777" w:rsidR="00220316" w:rsidRPr="00F36C57" w:rsidRDefault="00220316" w:rsidP="00F36C57">
      <w:pPr>
        <w:spacing w:line="360" w:lineRule="auto"/>
        <w:jc w:val="both"/>
        <w:rPr>
          <w:rFonts w:ascii="Garamond" w:hAnsi="Garamond"/>
        </w:rPr>
      </w:pPr>
    </w:p>
    <w:p w14:paraId="38787C08" w14:textId="1576861A" w:rsidR="00220316" w:rsidRDefault="00AA7E72" w:rsidP="00AA7E72">
      <w:pPr>
        <w:pStyle w:val="Heading2"/>
        <w:rPr>
          <w:sz w:val="28"/>
          <w:szCs w:val="28"/>
        </w:rPr>
      </w:pPr>
      <w:bookmarkStart w:id="11" w:name="_Toc2521981"/>
      <w:r w:rsidRPr="00AA7E72">
        <w:rPr>
          <w:sz w:val="28"/>
          <w:szCs w:val="28"/>
        </w:rPr>
        <w:t>Groups of countries</w:t>
      </w:r>
      <w:bookmarkEnd w:id="11"/>
    </w:p>
    <w:p w14:paraId="2C0B4DFB" w14:textId="77777777" w:rsidR="000E1121" w:rsidRDefault="000E1121" w:rsidP="000E1121">
      <w:pPr>
        <w:spacing w:line="360" w:lineRule="auto"/>
        <w:jc w:val="both"/>
        <w:rPr>
          <w:rFonts w:ascii="Garamond" w:hAnsi="Garamond"/>
          <w:lang w:val="en-US" w:eastAsia="en-US"/>
        </w:rPr>
      </w:pPr>
    </w:p>
    <w:p w14:paraId="48F4E431" w14:textId="7F8FA0EB" w:rsidR="000E1121" w:rsidRPr="000E1121" w:rsidRDefault="000E1121" w:rsidP="00E94F81">
      <w:pPr>
        <w:spacing w:line="360" w:lineRule="auto"/>
        <w:jc w:val="both"/>
        <w:rPr>
          <w:rFonts w:ascii="Garamond" w:hAnsi="Garamond"/>
          <w:lang w:val="en-US" w:eastAsia="en-US"/>
        </w:rPr>
      </w:pPr>
      <w:r w:rsidRPr="000E1121">
        <w:rPr>
          <w:rFonts w:ascii="Garamond" w:hAnsi="Garamond"/>
          <w:lang w:val="en-US" w:eastAsia="en-US"/>
        </w:rPr>
        <w:t xml:space="preserve">As explained above, the reason we want to distinguish between the </w:t>
      </w:r>
      <w:r>
        <w:rPr>
          <w:rFonts w:ascii="Garamond" w:hAnsi="Garamond"/>
          <w:lang w:val="en-US" w:eastAsia="en-US"/>
        </w:rPr>
        <w:t>core</w:t>
      </w:r>
      <w:r w:rsidRPr="000E1121">
        <w:rPr>
          <w:rFonts w:ascii="Garamond" w:hAnsi="Garamond"/>
          <w:lang w:val="en-US" w:eastAsia="en-US"/>
        </w:rPr>
        <w:t xml:space="preserve"> and periphery of the gold standard is that we suspect that, as Martin-Acena </w:t>
      </w:r>
      <w:r>
        <w:rPr>
          <w:rFonts w:ascii="Garamond" w:hAnsi="Garamond"/>
          <w:lang w:val="en-US" w:eastAsia="en-US"/>
        </w:rPr>
        <w:t>et</w:t>
      </w:r>
      <w:r w:rsidR="00A56D3B">
        <w:rPr>
          <w:rFonts w:ascii="Garamond" w:hAnsi="Garamond"/>
          <w:lang w:val="en-US" w:eastAsia="en-US"/>
        </w:rPr>
        <w:t xml:space="preserve"> al</w:t>
      </w:r>
      <w:r w:rsidR="0050009F">
        <w:rPr>
          <w:rFonts w:ascii="Garamond" w:hAnsi="Garamond"/>
          <w:lang w:val="en-US" w:eastAsia="en-US"/>
        </w:rPr>
        <w:t>.</w:t>
      </w:r>
      <w:r w:rsidR="00A56D3B">
        <w:rPr>
          <w:rFonts w:ascii="Garamond" w:hAnsi="Garamond"/>
          <w:lang w:val="en-US" w:eastAsia="en-US"/>
        </w:rPr>
        <w:t xml:space="preserve"> (2012) suggests,</w:t>
      </w:r>
      <w:r w:rsidRPr="000E1121">
        <w:rPr>
          <w:rFonts w:ascii="Garamond" w:hAnsi="Garamond"/>
          <w:lang w:val="en-US" w:eastAsia="en-US"/>
        </w:rPr>
        <w:t xml:space="preserve"> </w:t>
      </w:r>
      <w:r>
        <w:rPr>
          <w:rFonts w:ascii="Garamond" w:hAnsi="Garamond"/>
          <w:lang w:val="en-US" w:eastAsia="en-US"/>
        </w:rPr>
        <w:t>“</w:t>
      </w:r>
      <w:r w:rsidRPr="000E1121">
        <w:rPr>
          <w:rFonts w:ascii="Garamond" w:hAnsi="Garamond"/>
          <w:lang w:val="en-US" w:eastAsia="en-US"/>
        </w:rPr>
        <w:t xml:space="preserve">imperfect </w:t>
      </w:r>
      <w:r>
        <w:rPr>
          <w:rFonts w:ascii="Garamond" w:hAnsi="Garamond"/>
          <w:lang w:val="en-US" w:eastAsia="en-US"/>
        </w:rPr>
        <w:t xml:space="preserve">gold </w:t>
      </w:r>
      <w:r w:rsidRPr="000E1121">
        <w:rPr>
          <w:rFonts w:ascii="Garamond" w:hAnsi="Garamond"/>
          <w:lang w:val="en-US" w:eastAsia="en-US"/>
        </w:rPr>
        <w:t xml:space="preserve">convertibility was the norm in the peripheral gold standard countries". If we do not take into account the potential use of </w:t>
      </w:r>
      <w:r w:rsidR="00B91782">
        <w:rPr>
          <w:rFonts w:ascii="Garamond" w:hAnsi="Garamond"/>
          <w:lang w:val="en-US" w:eastAsia="en-US"/>
        </w:rPr>
        <w:t>such capital controls, we might</w:t>
      </w:r>
      <w:r w:rsidRPr="000E1121">
        <w:rPr>
          <w:rFonts w:ascii="Garamond" w:hAnsi="Garamond"/>
          <w:lang w:val="en-US" w:eastAsia="en-US"/>
        </w:rPr>
        <w:t xml:space="preserve"> misinterpret the response of central banks' balance sheets to an international shock. </w:t>
      </w:r>
    </w:p>
    <w:p w14:paraId="5FFD1FA6" w14:textId="2E287DF8" w:rsidR="00AA7E72" w:rsidRDefault="000E1121" w:rsidP="008E7E36">
      <w:pPr>
        <w:spacing w:line="360" w:lineRule="auto"/>
        <w:ind w:firstLine="720"/>
        <w:jc w:val="both"/>
        <w:rPr>
          <w:rFonts w:ascii="Garamond" w:hAnsi="Garamond"/>
          <w:lang w:val="en-US" w:eastAsia="en-US"/>
        </w:rPr>
      </w:pPr>
      <w:r w:rsidRPr="000E1121">
        <w:rPr>
          <w:rFonts w:ascii="Garamond" w:hAnsi="Garamond"/>
          <w:lang w:val="en-US" w:eastAsia="en-US"/>
        </w:rPr>
        <w:t>We rely on previous authors to determine whether a country was in the gold standard and whether it belonged to the core or the periphery.</w:t>
      </w:r>
      <w:r>
        <w:rPr>
          <w:rFonts w:ascii="Garamond" w:hAnsi="Garamond"/>
          <w:lang w:val="en-US" w:eastAsia="en-US"/>
        </w:rPr>
        <w:t xml:space="preserve"> The dates of entry and exit in the gold standard are usually uncontroversial in the literature (see Morys (2013) and Mitchener and Weidenmier (2015) for recent accounts). </w:t>
      </w:r>
      <w:r w:rsidR="008E7E36">
        <w:rPr>
          <w:rFonts w:ascii="Garamond" w:hAnsi="Garamond"/>
          <w:lang w:val="en-US" w:eastAsia="en-US"/>
        </w:rPr>
        <w:t>Note that while most countries abandoned the gold standard in the summer of 1914, the Balkan countries did so during the Balkan war that started in autumn 1912. Italy is the only case subject to discussion. The country legally abandoned the gold standard in 1893 but, from 1903 to 1911, “shadowed” the gold standard by stabilizing its exchange rate within gold points (</w:t>
      </w:r>
      <w:r>
        <w:rPr>
          <w:rFonts w:ascii="Garamond" w:hAnsi="Garamond"/>
          <w:lang w:val="en-US" w:eastAsia="en-US"/>
        </w:rPr>
        <w:t>Fratianni &amp; Spinelli (1983) and Cesarano et al. (2012)</w:t>
      </w:r>
      <w:r w:rsidR="008E7E36">
        <w:rPr>
          <w:rFonts w:ascii="Garamond" w:hAnsi="Garamond"/>
          <w:lang w:val="en-US" w:eastAsia="en-US"/>
        </w:rPr>
        <w:t xml:space="preserve">). Hence, following previous authors, we consider that Italy was in the gold standard from 1903 to 1911. </w:t>
      </w:r>
    </w:p>
    <w:p w14:paraId="62756D9B" w14:textId="273BB01D" w:rsidR="00E94F81" w:rsidRPr="00E94F81" w:rsidRDefault="00E94F81" w:rsidP="00E94F81">
      <w:pPr>
        <w:spacing w:line="360" w:lineRule="auto"/>
        <w:ind w:firstLine="720"/>
        <w:jc w:val="both"/>
        <w:rPr>
          <w:rFonts w:ascii="Garamond" w:hAnsi="Garamond"/>
          <w:lang w:val="en-US" w:eastAsia="en-US"/>
        </w:rPr>
      </w:pPr>
      <w:r w:rsidRPr="00E94F81">
        <w:rPr>
          <w:rFonts w:ascii="Garamond" w:hAnsi="Garamond"/>
          <w:lang w:val="en-US" w:eastAsia="en-US"/>
        </w:rPr>
        <w:t>The distinction between core and periphery is more debated although disagreements are in fact minor. Morys (2013) reviews the literature on this issue. A core country is defined as one which is fully integrated to the international financial system. Liquidity in the foreign exchange market and the functioning of a mature domestic money market are seen as important criteria in this regard. This definition is fully consistent with our approach since we want to isolate peripheral countries as countries that potentially relied more on capital controls. Together with England, the uncontroversial peripheral countries are Germany, France, Netherlands and Belgium. Denmark and Austria-Hungary are also sometimes included in this group. In the case of Austria-Hungary, there is in particular a lot of recent evidence that there were very liquid foreign exchange and money market in Vienna (Jobst 2009). In addition to Germany, France, Netherlands, England, Belgium and the United States, Austria-Hungary is the only country for which we have a money market rate with shows high frequency fluctuations during this period (see the database of Neal and Weidenmier (2003) reporting series published in The Economist) . For this reason, we include Austria-Hungary in the group of core countries. But none of our results and conclusions presented below are changed if Austria-Hungary and Denmark move from one group to another.</w:t>
      </w:r>
    </w:p>
    <w:p w14:paraId="0966AE7E" w14:textId="53430942" w:rsidR="005D0F8F" w:rsidRDefault="005D0F8F" w:rsidP="00AA7E72">
      <w:pPr>
        <w:rPr>
          <w:lang w:val="en-US" w:eastAsia="en-US"/>
        </w:rPr>
      </w:pPr>
    </w:p>
    <w:p w14:paraId="3B2D044F" w14:textId="26B34B65" w:rsidR="00AA7E72" w:rsidRDefault="00AA7E72" w:rsidP="00AA7E72">
      <w:pPr>
        <w:rPr>
          <w:lang w:val="en-US" w:eastAsia="en-US"/>
        </w:rPr>
      </w:pPr>
    </w:p>
    <w:p w14:paraId="104C833E" w14:textId="77777777" w:rsidR="009F7C3F" w:rsidRDefault="009F7C3F" w:rsidP="009F7C3F">
      <w:pPr>
        <w:rPr>
          <w:lang w:eastAsia="fr-FR"/>
        </w:rPr>
      </w:pPr>
    </w:p>
    <w:tbl>
      <w:tblPr>
        <w:tblW w:w="9159" w:type="dxa"/>
        <w:tblCellMar>
          <w:top w:w="15" w:type="dxa"/>
          <w:left w:w="15" w:type="dxa"/>
          <w:bottom w:w="15" w:type="dxa"/>
          <w:right w:w="15" w:type="dxa"/>
        </w:tblCellMar>
        <w:tblLook w:val="04A0" w:firstRow="1" w:lastRow="0" w:firstColumn="1" w:lastColumn="0" w:noHBand="0" w:noVBand="1"/>
      </w:tblPr>
      <w:tblGrid>
        <w:gridCol w:w="2074"/>
        <w:gridCol w:w="3510"/>
        <w:gridCol w:w="3575"/>
      </w:tblGrid>
      <w:tr w:rsidR="009F7C3F" w:rsidRPr="00700EDC" w14:paraId="1BB5DFCB" w14:textId="77777777" w:rsidTr="009F7C3F">
        <w:trPr>
          <w:trHeight w:val="734"/>
        </w:trPr>
        <w:tc>
          <w:tcPr>
            <w:tcW w:w="0" w:type="auto"/>
            <w:tcBorders>
              <w:top w:val="single" w:sz="8" w:space="0" w:color="FFFFFF"/>
              <w:left w:val="single" w:sz="8" w:space="0" w:color="FFFFFF"/>
              <w:bottom w:val="single" w:sz="24" w:space="0" w:color="FFFFFF"/>
              <w:right w:val="single" w:sz="8" w:space="0" w:color="FFFFFF"/>
            </w:tcBorders>
            <w:shd w:val="clear" w:color="auto" w:fill="F6A21D"/>
            <w:tcMar>
              <w:top w:w="80" w:type="dxa"/>
              <w:left w:w="140" w:type="dxa"/>
              <w:bottom w:w="80" w:type="dxa"/>
              <w:right w:w="140" w:type="dxa"/>
            </w:tcMar>
            <w:hideMark/>
          </w:tcPr>
          <w:p w14:paraId="6253A4F5" w14:textId="77777777" w:rsidR="009F7C3F" w:rsidRPr="00700EDC" w:rsidRDefault="009F7C3F">
            <w:pPr>
              <w:pStyle w:val="NormalWeb"/>
              <w:spacing w:before="0" w:beforeAutospacing="0" w:after="0" w:afterAutospacing="0"/>
            </w:pPr>
            <w:r w:rsidRPr="00700EDC">
              <w:rPr>
                <w:rFonts w:ascii="Open Sans" w:hAnsi="Open Sans"/>
                <w:b/>
                <w:bCs/>
                <w:color w:val="695D46"/>
              </w:rPr>
              <w:t>Core</w:t>
            </w:r>
          </w:p>
        </w:tc>
        <w:tc>
          <w:tcPr>
            <w:tcW w:w="3510" w:type="dxa"/>
            <w:tcBorders>
              <w:top w:val="single" w:sz="8" w:space="0" w:color="FFFFFF"/>
              <w:left w:val="single" w:sz="8" w:space="0" w:color="FFFFFF"/>
              <w:bottom w:val="single" w:sz="24" w:space="0" w:color="FFFFFF"/>
              <w:right w:val="single" w:sz="8" w:space="0" w:color="FFFFFF"/>
            </w:tcBorders>
            <w:shd w:val="clear" w:color="auto" w:fill="F6A21D"/>
            <w:tcMar>
              <w:top w:w="80" w:type="dxa"/>
              <w:left w:w="140" w:type="dxa"/>
              <w:bottom w:w="80" w:type="dxa"/>
              <w:right w:w="140" w:type="dxa"/>
            </w:tcMar>
            <w:hideMark/>
          </w:tcPr>
          <w:p w14:paraId="3DEC3720" w14:textId="77777777" w:rsidR="009F7C3F" w:rsidRPr="00700EDC" w:rsidRDefault="009F7C3F">
            <w:pPr>
              <w:pStyle w:val="NormalWeb"/>
              <w:spacing w:before="0" w:beforeAutospacing="0" w:after="0" w:afterAutospacing="0"/>
            </w:pPr>
            <w:r w:rsidRPr="00700EDC">
              <w:rPr>
                <w:rFonts w:ascii="Open Sans" w:hAnsi="Open Sans"/>
                <w:b/>
                <w:bCs/>
                <w:color w:val="695D46"/>
              </w:rPr>
              <w:t>Gold standard Periphery</w:t>
            </w:r>
          </w:p>
        </w:tc>
        <w:tc>
          <w:tcPr>
            <w:tcW w:w="3575" w:type="dxa"/>
            <w:tcBorders>
              <w:top w:val="single" w:sz="8" w:space="0" w:color="FFFFFF"/>
              <w:left w:val="single" w:sz="8" w:space="0" w:color="FFFFFF"/>
              <w:bottom w:val="single" w:sz="24" w:space="0" w:color="FFFFFF"/>
              <w:right w:val="single" w:sz="8" w:space="0" w:color="FFFFFF"/>
            </w:tcBorders>
            <w:shd w:val="clear" w:color="auto" w:fill="F6A21D"/>
            <w:tcMar>
              <w:top w:w="80" w:type="dxa"/>
              <w:left w:w="140" w:type="dxa"/>
              <w:bottom w:w="80" w:type="dxa"/>
              <w:right w:w="140" w:type="dxa"/>
            </w:tcMar>
            <w:hideMark/>
          </w:tcPr>
          <w:p w14:paraId="2A0BA496" w14:textId="77777777" w:rsidR="009F7C3F" w:rsidRPr="00700EDC" w:rsidRDefault="009F7C3F">
            <w:pPr>
              <w:pStyle w:val="NormalWeb"/>
              <w:spacing w:before="0" w:beforeAutospacing="0" w:after="0" w:afterAutospacing="0"/>
            </w:pPr>
            <w:r w:rsidRPr="00700EDC">
              <w:rPr>
                <w:rFonts w:ascii="Open Sans" w:hAnsi="Open Sans"/>
                <w:b/>
                <w:bCs/>
                <w:color w:val="695D46"/>
              </w:rPr>
              <w:t>Off gold</w:t>
            </w:r>
          </w:p>
        </w:tc>
      </w:tr>
      <w:tr w:rsidR="009F7C3F" w14:paraId="29D14707" w14:textId="77777777" w:rsidTr="009F7C3F">
        <w:trPr>
          <w:trHeight w:val="2447"/>
        </w:trPr>
        <w:tc>
          <w:tcPr>
            <w:tcW w:w="0" w:type="auto"/>
            <w:tcBorders>
              <w:top w:val="single" w:sz="24" w:space="0" w:color="FFFFFF"/>
              <w:left w:val="single" w:sz="8" w:space="0" w:color="FFFFFF"/>
              <w:bottom w:val="single" w:sz="8" w:space="0" w:color="FFFFFF"/>
              <w:right w:val="single" w:sz="8" w:space="0" w:color="FFFFFF"/>
            </w:tcBorders>
            <w:shd w:val="clear" w:color="auto" w:fill="FBE0CC"/>
            <w:tcMar>
              <w:top w:w="80" w:type="dxa"/>
              <w:left w:w="140" w:type="dxa"/>
              <w:bottom w:w="80" w:type="dxa"/>
              <w:right w:w="140" w:type="dxa"/>
            </w:tcMar>
            <w:hideMark/>
          </w:tcPr>
          <w:p w14:paraId="2B57254C" w14:textId="77777777" w:rsidR="009F7C3F" w:rsidRPr="00700EDC" w:rsidRDefault="009F7C3F">
            <w:pPr>
              <w:pStyle w:val="NormalWeb"/>
              <w:spacing w:before="0" w:beforeAutospacing="0" w:after="0" w:afterAutospacing="0"/>
              <w:rPr>
                <w:lang w:val="en-GB"/>
              </w:rPr>
            </w:pPr>
            <w:r w:rsidRPr="00700EDC">
              <w:rPr>
                <w:rFonts w:ascii="Open Sans" w:hAnsi="Open Sans"/>
                <w:b/>
                <w:bCs/>
                <w:color w:val="695D46"/>
                <w:lang w:val="en-GB"/>
              </w:rPr>
              <w:t>Germany, France, Netherlands, Belgium, Austria-Hungary</w:t>
            </w:r>
          </w:p>
        </w:tc>
        <w:tc>
          <w:tcPr>
            <w:tcW w:w="3510" w:type="dxa"/>
            <w:tcBorders>
              <w:top w:val="single" w:sz="24" w:space="0" w:color="FFFFFF"/>
              <w:left w:val="single" w:sz="8" w:space="0" w:color="FFFFFF"/>
              <w:bottom w:val="single" w:sz="8" w:space="0" w:color="FFFFFF"/>
              <w:right w:val="single" w:sz="8" w:space="0" w:color="FFFFFF"/>
            </w:tcBorders>
            <w:shd w:val="clear" w:color="auto" w:fill="FBE0CC"/>
            <w:tcMar>
              <w:top w:w="80" w:type="dxa"/>
              <w:left w:w="140" w:type="dxa"/>
              <w:bottom w:w="80" w:type="dxa"/>
              <w:right w:w="140" w:type="dxa"/>
            </w:tcMar>
            <w:hideMark/>
          </w:tcPr>
          <w:p w14:paraId="493E9114" w14:textId="77777777" w:rsidR="009F7C3F" w:rsidRPr="00700EDC" w:rsidRDefault="009F7C3F">
            <w:pPr>
              <w:pStyle w:val="NormalWeb"/>
              <w:spacing w:before="0" w:beforeAutospacing="0" w:after="0" w:afterAutospacing="0"/>
              <w:rPr>
                <w:lang w:val="en-GB"/>
              </w:rPr>
            </w:pPr>
            <w:r w:rsidRPr="00700EDC">
              <w:rPr>
                <w:rFonts w:ascii="Open Sans" w:hAnsi="Open Sans"/>
                <w:b/>
                <w:bCs/>
                <w:color w:val="695D46"/>
                <w:lang w:val="en-GB"/>
              </w:rPr>
              <w:t>Norway, Sweden, Denmark, Finland, Romania (until 11/1912), Japan (after 10/1897), Russia (starting 01/1897), Italy (01/1903-09/1911), Bulgaria (01/1906-09/1912), Serbia (07/1909-09/1912), Greece (starting 01/1910)</w:t>
            </w:r>
          </w:p>
        </w:tc>
        <w:tc>
          <w:tcPr>
            <w:tcW w:w="3575" w:type="dxa"/>
            <w:tcBorders>
              <w:top w:val="single" w:sz="24" w:space="0" w:color="FFFFFF"/>
              <w:left w:val="single" w:sz="8" w:space="0" w:color="FFFFFF"/>
              <w:bottom w:val="single" w:sz="8" w:space="0" w:color="FFFFFF"/>
              <w:right w:val="single" w:sz="8" w:space="0" w:color="FFFFFF"/>
            </w:tcBorders>
            <w:shd w:val="clear" w:color="auto" w:fill="FBE0CC"/>
            <w:tcMar>
              <w:top w:w="80" w:type="dxa"/>
              <w:left w:w="140" w:type="dxa"/>
              <w:bottom w:w="80" w:type="dxa"/>
              <w:right w:w="140" w:type="dxa"/>
            </w:tcMar>
            <w:hideMark/>
          </w:tcPr>
          <w:p w14:paraId="00507626" w14:textId="77777777" w:rsidR="009F7C3F" w:rsidRPr="009F7C3F" w:rsidRDefault="009F7C3F">
            <w:pPr>
              <w:pStyle w:val="NormalWeb"/>
              <w:spacing w:before="0" w:beforeAutospacing="0" w:after="0" w:afterAutospacing="0"/>
              <w:rPr>
                <w:lang w:val="en-GB"/>
              </w:rPr>
            </w:pPr>
            <w:r w:rsidRPr="00700EDC">
              <w:rPr>
                <w:rFonts w:ascii="Open Sans" w:hAnsi="Open Sans"/>
                <w:b/>
                <w:bCs/>
                <w:color w:val="695D46"/>
                <w:lang w:val="en-GB"/>
              </w:rPr>
              <w:t>Portugal, Spain, Russia (before 01/1897), Italy (before 01/1903; after 09/1911), Greece (before 01/1910), Bulgaria (Before 01/1906; after 09/1012), Serbia (before 07/1909;  after 09/1912) Romania (after 11/1912)</w:t>
            </w:r>
          </w:p>
        </w:tc>
      </w:tr>
    </w:tbl>
    <w:p w14:paraId="476026ED" w14:textId="3DAC2797" w:rsidR="00AA7E72" w:rsidRPr="00D9694B" w:rsidRDefault="00D9694B" w:rsidP="009F7C3F">
      <w:pPr>
        <w:pStyle w:val="Caption"/>
        <w:jc w:val="center"/>
        <w:rPr>
          <w:i w:val="0"/>
          <w:sz w:val="24"/>
          <w:szCs w:val="24"/>
          <w:lang w:val="en-US" w:eastAsia="en-US"/>
        </w:rPr>
      </w:pPr>
      <w:r w:rsidRPr="00D9694B">
        <w:rPr>
          <w:i w:val="0"/>
          <w:sz w:val="24"/>
          <w:szCs w:val="24"/>
        </w:rPr>
        <w:t xml:space="preserve">Table </w:t>
      </w:r>
      <w:r w:rsidRPr="00D9694B">
        <w:rPr>
          <w:i w:val="0"/>
          <w:sz w:val="24"/>
          <w:szCs w:val="24"/>
        </w:rPr>
        <w:fldChar w:fldCharType="begin"/>
      </w:r>
      <w:r w:rsidRPr="00D9694B">
        <w:rPr>
          <w:i w:val="0"/>
          <w:sz w:val="24"/>
          <w:szCs w:val="24"/>
        </w:rPr>
        <w:instrText xml:space="preserve"> SEQ Table \* ARABIC </w:instrText>
      </w:r>
      <w:r w:rsidRPr="00D9694B">
        <w:rPr>
          <w:i w:val="0"/>
          <w:sz w:val="24"/>
          <w:szCs w:val="24"/>
        </w:rPr>
        <w:fldChar w:fldCharType="separate"/>
      </w:r>
      <w:r w:rsidR="008F1E38">
        <w:rPr>
          <w:i w:val="0"/>
          <w:noProof/>
          <w:sz w:val="24"/>
          <w:szCs w:val="24"/>
        </w:rPr>
        <w:t>1</w:t>
      </w:r>
      <w:r w:rsidRPr="00D9694B">
        <w:rPr>
          <w:i w:val="0"/>
          <w:sz w:val="24"/>
          <w:szCs w:val="24"/>
        </w:rPr>
        <w:fldChar w:fldCharType="end"/>
      </w:r>
      <w:r w:rsidRPr="00D9694B">
        <w:rPr>
          <w:i w:val="0"/>
          <w:sz w:val="24"/>
          <w:szCs w:val="24"/>
        </w:rPr>
        <w:t>: Groups of countries</w:t>
      </w:r>
    </w:p>
    <w:p w14:paraId="231EEA79" w14:textId="38AB9C87" w:rsidR="00AA7E72" w:rsidRDefault="00AA7E72" w:rsidP="00AA7E72">
      <w:pPr>
        <w:rPr>
          <w:lang w:val="en-US" w:eastAsia="en-US"/>
        </w:rPr>
      </w:pPr>
    </w:p>
    <w:p w14:paraId="3CDDFE7D" w14:textId="126C5B1C" w:rsidR="0007323B" w:rsidRPr="00E94F81" w:rsidRDefault="0007323B" w:rsidP="00E94F81">
      <w:pPr>
        <w:spacing w:line="360" w:lineRule="auto"/>
        <w:jc w:val="both"/>
        <w:rPr>
          <w:rFonts w:ascii="Garamond" w:hAnsi="Garamond"/>
          <w:lang w:val="en-US" w:eastAsia="en-US"/>
        </w:rPr>
      </w:pPr>
    </w:p>
    <w:p w14:paraId="2BA5266A" w14:textId="15EDFB47" w:rsidR="00724901" w:rsidRDefault="00724901" w:rsidP="00D9694B">
      <w:pPr>
        <w:pStyle w:val="Heading1"/>
      </w:pPr>
      <w:bookmarkStart w:id="12" w:name="_Toc2521982"/>
      <w:r w:rsidRPr="00D9694B">
        <w:t>Results</w:t>
      </w:r>
      <w:bookmarkEnd w:id="12"/>
      <w:r w:rsidRPr="00D9694B">
        <w:t xml:space="preserve"> </w:t>
      </w:r>
    </w:p>
    <w:p w14:paraId="65CD9374" w14:textId="797F66B3" w:rsidR="00D9694B" w:rsidRDefault="00D9694B" w:rsidP="00D9694B">
      <w:pPr>
        <w:rPr>
          <w:lang w:val="en-US" w:eastAsia="en-US"/>
        </w:rPr>
      </w:pPr>
    </w:p>
    <w:p w14:paraId="2793D47E" w14:textId="4EE4FFDD" w:rsidR="00D9694B" w:rsidRPr="00D9694B" w:rsidRDefault="00D9694B" w:rsidP="00D9694B">
      <w:pPr>
        <w:rPr>
          <w:lang w:val="en-US" w:eastAsia="en-US"/>
        </w:rPr>
      </w:pPr>
    </w:p>
    <w:p w14:paraId="4D1CCF0F" w14:textId="6A3AC08F" w:rsidR="00D9694B" w:rsidRDefault="00D9694B" w:rsidP="00CA2C7F">
      <w:pPr>
        <w:spacing w:line="360" w:lineRule="auto"/>
        <w:jc w:val="both"/>
        <w:rPr>
          <w:rFonts w:ascii="Garamond" w:hAnsi="Garamond"/>
        </w:rPr>
      </w:pPr>
      <w:r>
        <w:rPr>
          <w:rFonts w:ascii="Garamond" w:hAnsi="Garamond"/>
        </w:rPr>
        <w:t>In the Figures below, we look at the responses of the fol</w:t>
      </w:r>
      <w:r w:rsidR="00B91782">
        <w:rPr>
          <w:rFonts w:ascii="Garamond" w:hAnsi="Garamond"/>
        </w:rPr>
        <w:t>lowing variables to an</w:t>
      </w:r>
      <w:r>
        <w:rPr>
          <w:rFonts w:ascii="Garamond" w:hAnsi="Garamond"/>
        </w:rPr>
        <w:t xml:space="preserve"> increase in the discount rate of the Bank of England (BoE): </w:t>
      </w:r>
    </w:p>
    <w:p w14:paraId="1E74719A" w14:textId="5D81F4CF" w:rsidR="00D9694B" w:rsidRDefault="00D9694B" w:rsidP="00D9694B">
      <w:pPr>
        <w:pStyle w:val="ListParagraph"/>
        <w:numPr>
          <w:ilvl w:val="0"/>
          <w:numId w:val="13"/>
        </w:numPr>
        <w:spacing w:line="360" w:lineRule="auto"/>
        <w:jc w:val="both"/>
        <w:rPr>
          <w:rFonts w:ascii="Garamond" w:hAnsi="Garamond"/>
        </w:rPr>
      </w:pPr>
      <w:r>
        <w:rPr>
          <w:rFonts w:ascii="Garamond" w:hAnsi="Garamond"/>
        </w:rPr>
        <w:t>“rate” is the discount rate of central banks</w:t>
      </w:r>
    </w:p>
    <w:p w14:paraId="19621037" w14:textId="77B5B279" w:rsidR="00D9694B" w:rsidRDefault="00D9694B" w:rsidP="00D9694B">
      <w:pPr>
        <w:pStyle w:val="ListParagraph"/>
        <w:numPr>
          <w:ilvl w:val="0"/>
          <w:numId w:val="13"/>
        </w:numPr>
        <w:spacing w:line="360" w:lineRule="auto"/>
        <w:jc w:val="both"/>
        <w:rPr>
          <w:rFonts w:ascii="Garamond" w:hAnsi="Garamond"/>
        </w:rPr>
      </w:pPr>
      <w:r>
        <w:rPr>
          <w:rFonts w:ascii="Garamond" w:hAnsi="Garamond"/>
        </w:rPr>
        <w:t>“international” is the</w:t>
      </w:r>
      <w:r w:rsidR="00673C4A">
        <w:rPr>
          <w:rFonts w:ascii="Garamond" w:hAnsi="Garamond"/>
        </w:rPr>
        <w:t xml:space="preserve"> log of</w:t>
      </w:r>
      <w:r>
        <w:rPr>
          <w:rFonts w:ascii="Garamond" w:hAnsi="Garamond"/>
        </w:rPr>
        <w:t xml:space="preserve"> international portfolio of central banks</w:t>
      </w:r>
    </w:p>
    <w:p w14:paraId="7D9941DB" w14:textId="333C1B42" w:rsidR="00D9694B" w:rsidRDefault="00D9694B" w:rsidP="00D9694B">
      <w:pPr>
        <w:pStyle w:val="ListParagraph"/>
        <w:numPr>
          <w:ilvl w:val="0"/>
          <w:numId w:val="13"/>
        </w:numPr>
        <w:spacing w:line="360" w:lineRule="auto"/>
        <w:jc w:val="both"/>
        <w:rPr>
          <w:rFonts w:ascii="Garamond" w:hAnsi="Garamond"/>
        </w:rPr>
      </w:pPr>
      <w:r>
        <w:rPr>
          <w:rFonts w:ascii="Garamond" w:hAnsi="Garamond"/>
        </w:rPr>
        <w:t xml:space="preserve">“domestic” is the </w:t>
      </w:r>
      <w:r w:rsidR="00673C4A">
        <w:rPr>
          <w:rFonts w:ascii="Garamond" w:hAnsi="Garamond"/>
        </w:rPr>
        <w:t xml:space="preserve">log of </w:t>
      </w:r>
      <w:r>
        <w:rPr>
          <w:rFonts w:ascii="Garamond" w:hAnsi="Garamond"/>
        </w:rPr>
        <w:t>domestic portfolio of central banks</w:t>
      </w:r>
    </w:p>
    <w:p w14:paraId="6664844E" w14:textId="2E69D709" w:rsidR="00D9694B" w:rsidRDefault="00D9694B" w:rsidP="00CA2C7F">
      <w:pPr>
        <w:pStyle w:val="ListParagraph"/>
        <w:numPr>
          <w:ilvl w:val="0"/>
          <w:numId w:val="13"/>
        </w:numPr>
        <w:spacing w:line="360" w:lineRule="auto"/>
        <w:jc w:val="both"/>
        <w:rPr>
          <w:rFonts w:ascii="Garamond" w:hAnsi="Garamond"/>
        </w:rPr>
      </w:pPr>
      <w:r>
        <w:rPr>
          <w:rFonts w:ascii="Garamond" w:hAnsi="Garamond"/>
        </w:rPr>
        <w:t>“x” is the exchange rate between London and each country in our sample (% deviation from the mint parity). An increase in “x” is a depreciation of the domestic currency relative to the pound sterling</w:t>
      </w:r>
      <w:r w:rsidR="003D2F39">
        <w:rPr>
          <w:rFonts w:ascii="Garamond" w:hAnsi="Garamond"/>
        </w:rPr>
        <w:t>.</w:t>
      </w:r>
      <w:r w:rsidR="003D2F39">
        <w:rPr>
          <w:rStyle w:val="FootnoteReference"/>
          <w:rFonts w:ascii="Garamond" w:hAnsi="Garamond"/>
        </w:rPr>
        <w:footnoteReference w:id="20"/>
      </w:r>
    </w:p>
    <w:p w14:paraId="04799C04" w14:textId="175B0456" w:rsidR="00875FA0" w:rsidRDefault="00875FA0" w:rsidP="00875FA0">
      <w:pPr>
        <w:spacing w:line="360" w:lineRule="auto"/>
        <w:jc w:val="both"/>
        <w:rPr>
          <w:rFonts w:ascii="Garamond" w:hAnsi="Garamond"/>
        </w:rPr>
      </w:pPr>
    </w:p>
    <w:p w14:paraId="19C20F11" w14:textId="2D1ED21F" w:rsidR="00875FA0" w:rsidRDefault="00875FA0" w:rsidP="00875FA0">
      <w:pPr>
        <w:spacing w:line="360" w:lineRule="auto"/>
        <w:jc w:val="both"/>
        <w:rPr>
          <w:rFonts w:ascii="Garamond" w:hAnsi="Garamond"/>
        </w:rPr>
      </w:pPr>
      <w:r>
        <w:rPr>
          <w:rFonts w:ascii="Garamond" w:hAnsi="Garamond"/>
        </w:rPr>
        <w:t xml:space="preserve">By construction, the effects estimated though the local projections start one period after the shock. So, one should look at the IRFs starting at t=1. </w:t>
      </w:r>
    </w:p>
    <w:p w14:paraId="126FBE50" w14:textId="77777777" w:rsidR="00875FA0" w:rsidRPr="00875FA0" w:rsidRDefault="00875FA0" w:rsidP="00875FA0">
      <w:pPr>
        <w:spacing w:line="360" w:lineRule="auto"/>
        <w:jc w:val="both"/>
        <w:rPr>
          <w:rFonts w:ascii="Garamond" w:hAnsi="Garamond"/>
        </w:rPr>
      </w:pPr>
    </w:p>
    <w:p w14:paraId="28771240" w14:textId="742BC1BE" w:rsidR="00724901" w:rsidRPr="00D9694B" w:rsidRDefault="00D9694B" w:rsidP="00D9694B">
      <w:pPr>
        <w:pStyle w:val="Heading2"/>
        <w:rPr>
          <w:sz w:val="28"/>
          <w:szCs w:val="28"/>
        </w:rPr>
      </w:pPr>
      <w:bookmarkStart w:id="13" w:name="_Toc2521983"/>
      <w:r w:rsidRPr="00D9694B">
        <w:rPr>
          <w:sz w:val="28"/>
          <w:szCs w:val="28"/>
        </w:rPr>
        <w:t>Core countries</w:t>
      </w:r>
      <w:r>
        <w:rPr>
          <w:sz w:val="28"/>
          <w:szCs w:val="28"/>
        </w:rPr>
        <w:t>: sterilization of gold outflows</w:t>
      </w:r>
      <w:bookmarkEnd w:id="13"/>
    </w:p>
    <w:p w14:paraId="46247205" w14:textId="77777777" w:rsidR="00D9694B" w:rsidRPr="004C5B23" w:rsidRDefault="00D9694B" w:rsidP="00CA2C7F">
      <w:pPr>
        <w:spacing w:line="360" w:lineRule="auto"/>
        <w:jc w:val="both"/>
        <w:rPr>
          <w:rFonts w:ascii="Garamond" w:hAnsi="Garamond"/>
          <w:b/>
        </w:rPr>
      </w:pPr>
    </w:p>
    <w:p w14:paraId="0FD73197" w14:textId="03E7EBF1" w:rsidR="00724901" w:rsidRPr="004C5B23" w:rsidRDefault="00D9694B" w:rsidP="00CA2C7F">
      <w:pPr>
        <w:spacing w:line="360" w:lineRule="auto"/>
        <w:jc w:val="both"/>
        <w:rPr>
          <w:rFonts w:ascii="Garamond" w:hAnsi="Garamond"/>
        </w:rPr>
      </w:pPr>
      <w:r>
        <w:rPr>
          <w:rFonts w:ascii="Garamond" w:hAnsi="Garamond"/>
        </w:rPr>
        <w:t xml:space="preserve">Figure 1 </w:t>
      </w:r>
      <w:r w:rsidR="00875FA0">
        <w:rPr>
          <w:rFonts w:ascii="Garamond" w:hAnsi="Garamond"/>
        </w:rPr>
        <w:t>shows how core countries react</w:t>
      </w:r>
      <w:r w:rsidR="00D12254">
        <w:rPr>
          <w:rFonts w:ascii="Garamond" w:hAnsi="Garamond"/>
        </w:rPr>
        <w:t>ed to a</w:t>
      </w:r>
      <w:r w:rsidR="00875FA0">
        <w:rPr>
          <w:rFonts w:ascii="Garamond" w:hAnsi="Garamond"/>
        </w:rPr>
        <w:t xml:space="preserve"> shock</w:t>
      </w:r>
      <w:r w:rsidR="00D12254">
        <w:rPr>
          <w:rFonts w:ascii="Garamond" w:hAnsi="Garamond"/>
        </w:rPr>
        <w:t xml:space="preserve"> on the BoE discount rate</w:t>
      </w:r>
      <w:r w:rsidR="00724901" w:rsidRPr="004C5B23">
        <w:rPr>
          <w:rFonts w:ascii="Garamond" w:hAnsi="Garamond"/>
        </w:rPr>
        <w:t>.</w:t>
      </w:r>
      <w:r w:rsidR="00875FA0">
        <w:rPr>
          <w:rFonts w:ascii="Garamond" w:hAnsi="Garamond"/>
        </w:rPr>
        <w:t xml:space="preserve"> They increased their interest rate by a very small magnitude: 5 basis points after a shock of 100 basis points.  </w:t>
      </w:r>
      <w:r w:rsidR="00875FA0" w:rsidRPr="004C5B23">
        <w:rPr>
          <w:rFonts w:ascii="Garamond" w:hAnsi="Garamond"/>
        </w:rPr>
        <w:t>The interest rate pass through is much lower than 1 (for a similar finding from a different estimation perspective cf. Shambau</w:t>
      </w:r>
      <w:r w:rsidR="00875FA0">
        <w:rPr>
          <w:rFonts w:ascii="Garamond" w:hAnsi="Garamond"/>
        </w:rPr>
        <w:t>gh et al. 2005 and Morys 2013). This imperfect pass-through allows for arbitrage in international markets.</w:t>
      </w:r>
      <w:r w:rsidR="00724901" w:rsidRPr="004C5B23">
        <w:rPr>
          <w:rFonts w:ascii="Garamond" w:hAnsi="Garamond"/>
        </w:rPr>
        <w:t xml:space="preserve"> The exchange-rate d</w:t>
      </w:r>
      <w:r w:rsidR="00673C4A">
        <w:rPr>
          <w:rFonts w:ascii="Garamond" w:hAnsi="Garamond"/>
        </w:rPr>
        <w:t>epreciation is noticeable (+0.08</w:t>
      </w:r>
      <w:r w:rsidR="00724901" w:rsidRPr="004C5B23">
        <w:rPr>
          <w:rFonts w:ascii="Garamond" w:hAnsi="Garamond"/>
        </w:rPr>
        <w:t xml:space="preserve">%, with positive values denominating depreciations), but remains within the gold points and smaller than in </w:t>
      </w:r>
      <w:r w:rsidR="00875FA0">
        <w:rPr>
          <w:rFonts w:ascii="Garamond" w:hAnsi="Garamond"/>
        </w:rPr>
        <w:t>peripheral countries (see Figure 2)</w:t>
      </w:r>
      <w:r w:rsidR="00724901" w:rsidRPr="004C5B23">
        <w:rPr>
          <w:rFonts w:ascii="Garamond" w:hAnsi="Garamond"/>
        </w:rPr>
        <w:t xml:space="preserve">. As core countries offered unlimited convertibility, the international portfolio declines quickly and substantially: Yet core countries dilute the impact of this reserve drain by expanding domestic credit. </w:t>
      </w:r>
      <w:r w:rsidR="00875FA0">
        <w:rPr>
          <w:rFonts w:ascii="Garamond" w:hAnsi="Garamond"/>
        </w:rPr>
        <w:t>This is exactly what Nurkse and Bloomfield</w:t>
      </w:r>
      <w:r w:rsidR="00724901" w:rsidRPr="004C5B23">
        <w:rPr>
          <w:rFonts w:ascii="Garamond" w:hAnsi="Garamond"/>
        </w:rPr>
        <w:t xml:space="preserve"> </w:t>
      </w:r>
      <w:r w:rsidR="00875FA0">
        <w:rPr>
          <w:rFonts w:ascii="Garamond" w:hAnsi="Garamond"/>
        </w:rPr>
        <w:t>called “ne</w:t>
      </w:r>
      <w:r w:rsidR="00A569C1">
        <w:rPr>
          <w:rFonts w:ascii="Garamond" w:hAnsi="Garamond"/>
        </w:rPr>
        <w:t>utralization” (sterilization). The reaction of the domestic portfolio is about five times larger than the reaction of the international portfolio (consistent with the result of Bazot et al. 2016 on France). It was required to sterilize fully the shock, given that foreign assets exiting the vaults of the central bank were not the integral part of capital outflows.  This expansion of lending to the domestic economy responded to the demand of domestic banks at the central bank discount window. Thus a reaction of such magnitude was necessary to bring down the domestic money market rate below the official discount rate of the central bank. In</w:t>
      </w:r>
      <w:r w:rsidR="00724901" w:rsidRPr="004C5B23">
        <w:rPr>
          <w:rFonts w:ascii="Garamond" w:hAnsi="Garamond"/>
        </w:rPr>
        <w:t xml:space="preserve"> sum, core countries live up to the formal requirement of the gold standard – that is, convertibility – while sheltering the domestic economy from the vagaries of the international cycle as best they can.</w:t>
      </w:r>
    </w:p>
    <w:p w14:paraId="4D9639D5" w14:textId="77DF3AAC" w:rsidR="00724901" w:rsidRDefault="00724901" w:rsidP="00CA2C7F">
      <w:pPr>
        <w:spacing w:line="360" w:lineRule="auto"/>
        <w:jc w:val="both"/>
        <w:rPr>
          <w:rFonts w:ascii="Garamond" w:hAnsi="Garamond"/>
        </w:rPr>
      </w:pPr>
    </w:p>
    <w:p w14:paraId="24D2A8F4" w14:textId="2142E1B8" w:rsidR="00A569C1" w:rsidRDefault="00983BAF" w:rsidP="00A569C1">
      <w:pPr>
        <w:keepNext/>
        <w:spacing w:line="360" w:lineRule="auto"/>
        <w:jc w:val="both"/>
      </w:pPr>
      <w:r w:rsidRPr="00983BAF">
        <w:rPr>
          <w:noProof/>
        </w:rPr>
        <w:drawing>
          <wp:inline distT="0" distB="0" distL="0" distR="0" wp14:anchorId="5946A8F5" wp14:editId="4793B7CF">
            <wp:extent cx="5730240" cy="420624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0240" cy="4206240"/>
                    </a:xfrm>
                    <a:prstGeom prst="rect">
                      <a:avLst/>
                    </a:prstGeom>
                    <a:noFill/>
                    <a:ln>
                      <a:noFill/>
                    </a:ln>
                  </pic:spPr>
                </pic:pic>
              </a:graphicData>
            </a:graphic>
          </wp:inline>
        </w:drawing>
      </w:r>
    </w:p>
    <w:p w14:paraId="49DAC8F4" w14:textId="0EF8D848" w:rsidR="00A569C1" w:rsidRPr="00A569C1" w:rsidRDefault="00A569C1" w:rsidP="00D12254">
      <w:pPr>
        <w:pStyle w:val="Caption"/>
        <w:jc w:val="center"/>
        <w:rPr>
          <w:rFonts w:ascii="Garamond" w:hAnsi="Garamond"/>
          <w:i w:val="0"/>
          <w:sz w:val="24"/>
          <w:szCs w:val="24"/>
        </w:rPr>
      </w:pPr>
      <w:r w:rsidRPr="00A569C1">
        <w:rPr>
          <w:i w:val="0"/>
          <w:sz w:val="24"/>
          <w:szCs w:val="24"/>
        </w:rPr>
        <w:t xml:space="preserve">Figure </w:t>
      </w:r>
      <w:r w:rsidRPr="00A569C1">
        <w:rPr>
          <w:i w:val="0"/>
          <w:sz w:val="24"/>
          <w:szCs w:val="24"/>
        </w:rPr>
        <w:fldChar w:fldCharType="begin"/>
      </w:r>
      <w:r w:rsidRPr="00A569C1">
        <w:rPr>
          <w:i w:val="0"/>
          <w:sz w:val="24"/>
          <w:szCs w:val="24"/>
        </w:rPr>
        <w:instrText xml:space="preserve"> SEQ Figure \* ARABIC </w:instrText>
      </w:r>
      <w:r w:rsidRPr="00A569C1">
        <w:rPr>
          <w:i w:val="0"/>
          <w:sz w:val="24"/>
          <w:szCs w:val="24"/>
        </w:rPr>
        <w:fldChar w:fldCharType="separate"/>
      </w:r>
      <w:r w:rsidR="008F1E38">
        <w:rPr>
          <w:i w:val="0"/>
          <w:noProof/>
          <w:sz w:val="24"/>
          <w:szCs w:val="24"/>
        </w:rPr>
        <w:t>1</w:t>
      </w:r>
      <w:r w:rsidRPr="00A569C1">
        <w:rPr>
          <w:i w:val="0"/>
          <w:sz w:val="24"/>
          <w:szCs w:val="24"/>
        </w:rPr>
        <w:fldChar w:fldCharType="end"/>
      </w:r>
      <w:r w:rsidRPr="00A569C1">
        <w:rPr>
          <w:i w:val="0"/>
          <w:sz w:val="24"/>
          <w:szCs w:val="24"/>
        </w:rPr>
        <w:t>. The reaction of central banks in core countries to an English discount rate shock</w:t>
      </w:r>
    </w:p>
    <w:p w14:paraId="12369446" w14:textId="220623E2" w:rsidR="00724901" w:rsidRPr="004C5B23" w:rsidRDefault="00D12254" w:rsidP="00CA2C7F">
      <w:pPr>
        <w:spacing w:line="360" w:lineRule="auto"/>
        <w:jc w:val="both"/>
        <w:rPr>
          <w:rFonts w:ascii="Garamond" w:hAnsi="Garamond"/>
        </w:rPr>
      </w:pPr>
      <w:r>
        <w:rPr>
          <w:rFonts w:ascii="Garamond" w:hAnsi="Garamond"/>
        </w:rPr>
        <w:t xml:space="preserve">Sources: </w:t>
      </w:r>
      <w:r w:rsidR="00724901" w:rsidRPr="00A569C1">
        <w:rPr>
          <w:rFonts w:ascii="Garamond" w:hAnsi="Garamond"/>
        </w:rPr>
        <w:t>Own calculations based on sources as described in the appendix.</w:t>
      </w:r>
    </w:p>
    <w:p w14:paraId="675924AC" w14:textId="419EA729" w:rsidR="005D0F8F" w:rsidRDefault="005D0F8F" w:rsidP="005D0F8F">
      <w:pPr>
        <w:rPr>
          <w:lang w:val="en-US" w:eastAsia="en-US"/>
        </w:rPr>
      </w:pPr>
    </w:p>
    <w:p w14:paraId="39AB7A0B" w14:textId="77777777" w:rsidR="005D0F8F" w:rsidRPr="005D0F8F" w:rsidRDefault="005D0F8F" w:rsidP="005D0F8F">
      <w:pPr>
        <w:rPr>
          <w:lang w:val="en-US" w:eastAsia="en-US"/>
        </w:rPr>
      </w:pPr>
    </w:p>
    <w:p w14:paraId="73A3006C" w14:textId="3FCE33A6" w:rsidR="00A569C1" w:rsidRPr="00FF0CB7" w:rsidRDefault="00A569C1" w:rsidP="00A569C1">
      <w:pPr>
        <w:pStyle w:val="Heading2"/>
        <w:rPr>
          <w:sz w:val="28"/>
          <w:szCs w:val="28"/>
        </w:rPr>
      </w:pPr>
      <w:bookmarkStart w:id="14" w:name="_Toc2521984"/>
      <w:r w:rsidRPr="00FF0CB7">
        <w:rPr>
          <w:sz w:val="28"/>
          <w:szCs w:val="28"/>
        </w:rPr>
        <w:t xml:space="preserve">The </w:t>
      </w:r>
      <w:r w:rsidR="00253DD0" w:rsidRPr="00FF0CB7">
        <w:rPr>
          <w:sz w:val="28"/>
          <w:szCs w:val="28"/>
        </w:rPr>
        <w:t xml:space="preserve">gold standard </w:t>
      </w:r>
      <w:r w:rsidRPr="00FF0CB7">
        <w:rPr>
          <w:sz w:val="28"/>
          <w:szCs w:val="28"/>
        </w:rPr>
        <w:t>periphery: imperfect convertibility</w:t>
      </w:r>
      <w:bookmarkEnd w:id="14"/>
      <w:r w:rsidRPr="00FF0CB7">
        <w:rPr>
          <w:sz w:val="28"/>
          <w:szCs w:val="28"/>
        </w:rPr>
        <w:t xml:space="preserve"> </w:t>
      </w:r>
    </w:p>
    <w:p w14:paraId="7FC5AFA6" w14:textId="77777777" w:rsidR="00A569C1" w:rsidRPr="00A569C1" w:rsidRDefault="00A569C1" w:rsidP="00A569C1">
      <w:pPr>
        <w:rPr>
          <w:lang w:val="en-US" w:eastAsia="en-US"/>
        </w:rPr>
      </w:pPr>
    </w:p>
    <w:p w14:paraId="24B38F36" w14:textId="77777777" w:rsidR="000E04A1" w:rsidRPr="005D0F8F" w:rsidRDefault="000E04A1" w:rsidP="00A569C1">
      <w:pPr>
        <w:spacing w:line="360" w:lineRule="auto"/>
        <w:jc w:val="both"/>
        <w:rPr>
          <w:rFonts w:ascii="Garamond" w:hAnsi="Garamond"/>
          <w:lang w:val="en-US"/>
        </w:rPr>
      </w:pPr>
    </w:p>
    <w:p w14:paraId="742BC873" w14:textId="386DCA7D" w:rsidR="000E04A1" w:rsidRDefault="000E04A1" w:rsidP="00A569C1">
      <w:pPr>
        <w:spacing w:line="360" w:lineRule="auto"/>
        <w:jc w:val="both"/>
        <w:rPr>
          <w:rFonts w:ascii="Garamond" w:hAnsi="Garamond"/>
        </w:rPr>
      </w:pPr>
      <w:r>
        <w:rPr>
          <w:rFonts w:ascii="Garamond" w:hAnsi="Garamond"/>
        </w:rPr>
        <w:t>The most striking difference between Figure 2 and Figure 1 is the absence of</w:t>
      </w:r>
      <w:r w:rsidR="005D0F8F">
        <w:rPr>
          <w:rFonts w:ascii="Garamond" w:hAnsi="Garamond"/>
        </w:rPr>
        <w:t xml:space="preserve"> immediate</w:t>
      </w:r>
      <w:r w:rsidR="008F1F88">
        <w:rPr>
          <w:rFonts w:ascii="Garamond" w:hAnsi="Garamond"/>
        </w:rPr>
        <w:t xml:space="preserve"> reaction in</w:t>
      </w:r>
      <w:r>
        <w:rPr>
          <w:rFonts w:ascii="Garamond" w:hAnsi="Garamond"/>
        </w:rPr>
        <w:t xml:space="preserve"> the international portfolio in the periphery. It confirms the statement of Martin-Acena et al. (2012) on the absence of gold convertibility, which – to our knowledge – had never been assessed quantitatively.</w:t>
      </w:r>
      <w:r w:rsidR="00313426">
        <w:rPr>
          <w:rStyle w:val="FootnoteReference"/>
          <w:rFonts w:ascii="Garamond" w:hAnsi="Garamond"/>
        </w:rPr>
        <w:footnoteReference w:id="21"/>
      </w:r>
      <w:r>
        <w:rPr>
          <w:rFonts w:ascii="Garamond" w:hAnsi="Garamond"/>
        </w:rPr>
        <w:t xml:space="preserve"> </w:t>
      </w:r>
    </w:p>
    <w:p w14:paraId="4F5427CB" w14:textId="72F47431" w:rsidR="00A569C1" w:rsidRPr="004C5B23" w:rsidRDefault="000E04A1" w:rsidP="00A569C1">
      <w:pPr>
        <w:spacing w:line="360" w:lineRule="auto"/>
        <w:jc w:val="both"/>
        <w:rPr>
          <w:rFonts w:ascii="Garamond" w:hAnsi="Garamond"/>
        </w:rPr>
      </w:pPr>
      <w:r>
        <w:rPr>
          <w:rFonts w:ascii="Garamond" w:hAnsi="Garamond"/>
        </w:rPr>
        <w:t xml:space="preserve"> </w:t>
      </w:r>
      <w:r w:rsidR="00253DD0">
        <w:rPr>
          <w:rFonts w:ascii="Garamond" w:hAnsi="Garamond"/>
        </w:rPr>
        <w:tab/>
      </w:r>
      <w:r>
        <w:rPr>
          <w:rFonts w:ascii="Garamond" w:hAnsi="Garamond"/>
        </w:rPr>
        <w:t xml:space="preserve">Not surprisingly, this is accompanied by a much wider and longer reaction of the exchange rate </w:t>
      </w:r>
      <w:r w:rsidRPr="004C5B23">
        <w:rPr>
          <w:rFonts w:ascii="Garamond" w:hAnsi="Garamond"/>
        </w:rPr>
        <w:t>(0.</w:t>
      </w:r>
      <w:r>
        <w:rPr>
          <w:rFonts w:ascii="Garamond" w:hAnsi="Garamond"/>
        </w:rPr>
        <w:t>20</w:t>
      </w:r>
      <w:r w:rsidR="00673C4A">
        <w:rPr>
          <w:rFonts w:ascii="Garamond" w:hAnsi="Garamond"/>
        </w:rPr>
        <w:t>% vs. 0.08</w:t>
      </w:r>
      <w:r w:rsidRPr="004C5B23">
        <w:rPr>
          <w:rFonts w:ascii="Garamond" w:hAnsi="Garamond"/>
        </w:rPr>
        <w:t>%)</w:t>
      </w:r>
      <w:r>
        <w:rPr>
          <w:rFonts w:ascii="Garamond" w:hAnsi="Garamond"/>
        </w:rPr>
        <w:t xml:space="preserve">. </w:t>
      </w:r>
      <w:r w:rsidR="00A569C1" w:rsidRPr="004C5B23">
        <w:rPr>
          <w:rFonts w:ascii="Garamond" w:hAnsi="Garamond"/>
        </w:rPr>
        <w:t>Imperfect convertibility allows countries to let the exchange-rate depreciate far more strongly than under the scenario</w:t>
      </w:r>
      <w:r>
        <w:rPr>
          <w:rFonts w:ascii="Garamond" w:hAnsi="Garamond"/>
        </w:rPr>
        <w:t xml:space="preserve"> of perfect convertibility between gold and domestic currency. </w:t>
      </w:r>
      <w:r w:rsidR="00A569C1" w:rsidRPr="004C5B23">
        <w:rPr>
          <w:rFonts w:ascii="Garamond" w:hAnsi="Garamond"/>
        </w:rPr>
        <w:t>Core countries could not afford such depreciation, as gold points were narrow between Europe’s financial centres and their commitment to convertibility beyond doubt. Yet in the case of Romania</w:t>
      </w:r>
      <w:r w:rsidR="005C6640">
        <w:rPr>
          <w:rFonts w:ascii="Garamond" w:hAnsi="Garamond"/>
        </w:rPr>
        <w:t>, a typical peripheral country,</w:t>
      </w:r>
      <w:r w:rsidR="00A569C1" w:rsidRPr="004C5B23">
        <w:rPr>
          <w:rFonts w:ascii="Garamond" w:hAnsi="Garamond"/>
        </w:rPr>
        <w:t xml:space="preserve"> it was well understood at the time that the National Bank of Romania typically sought to delay convertibility and/or put upper ceilings to the amount the central bank converted (Sonndorfer 1905). While in theory committed to convertibility to boost the country’s credentials, practice often fell short of it.</w:t>
      </w:r>
    </w:p>
    <w:p w14:paraId="04AC8B53" w14:textId="236E0660" w:rsidR="001704D2" w:rsidRPr="00253DD0" w:rsidRDefault="00A569C1" w:rsidP="00253DD0">
      <w:pPr>
        <w:spacing w:line="360" w:lineRule="auto"/>
        <w:jc w:val="both"/>
        <w:rPr>
          <w:rFonts w:ascii="Garamond" w:hAnsi="Garamond"/>
        </w:rPr>
      </w:pPr>
      <w:r w:rsidRPr="004C5B23">
        <w:rPr>
          <w:rFonts w:ascii="Garamond" w:hAnsi="Garamond"/>
        </w:rPr>
        <w:tab/>
        <w:t>In sum, peripheral countries were able to shelter from the global cycle by potentially imposing capital controls. This deviation from a central pillar of the gold standard made their adherence less credible (Mitchener&amp;Weidenmier 2015), but did allow them to combine quasi fixed-exchange rates (with larger bands) with a certain level of monetary policy autonomy.</w:t>
      </w:r>
    </w:p>
    <w:p w14:paraId="4566112E" w14:textId="7CC05B86" w:rsidR="001704D2" w:rsidRPr="004C5B23" w:rsidRDefault="001704D2" w:rsidP="00A569C1">
      <w:pPr>
        <w:spacing w:line="360" w:lineRule="auto"/>
        <w:jc w:val="both"/>
        <w:rPr>
          <w:rFonts w:ascii="Garamond" w:hAnsi="Garamond"/>
        </w:rPr>
      </w:pPr>
    </w:p>
    <w:p w14:paraId="2BA669D1" w14:textId="077AA4B1" w:rsidR="00253DD0" w:rsidRDefault="002D2A46" w:rsidP="00253DD0">
      <w:pPr>
        <w:keepNext/>
        <w:spacing w:line="360" w:lineRule="auto"/>
        <w:jc w:val="both"/>
      </w:pPr>
      <w:r w:rsidRPr="002D2A46">
        <w:rPr>
          <w:noProof/>
        </w:rPr>
        <w:drawing>
          <wp:inline distT="0" distB="0" distL="0" distR="0" wp14:anchorId="58C1AEBD" wp14:editId="1B1F18F8">
            <wp:extent cx="5737860" cy="42138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7860" cy="4213860"/>
                    </a:xfrm>
                    <a:prstGeom prst="rect">
                      <a:avLst/>
                    </a:prstGeom>
                    <a:noFill/>
                    <a:ln>
                      <a:noFill/>
                    </a:ln>
                  </pic:spPr>
                </pic:pic>
              </a:graphicData>
            </a:graphic>
          </wp:inline>
        </w:drawing>
      </w:r>
    </w:p>
    <w:p w14:paraId="707C862A" w14:textId="45F53FCD" w:rsidR="00253DD0" w:rsidRPr="00253DD0" w:rsidRDefault="00253DD0" w:rsidP="00253DD0">
      <w:pPr>
        <w:pStyle w:val="Caption"/>
        <w:jc w:val="both"/>
        <w:rPr>
          <w:rFonts w:ascii="Garamond" w:hAnsi="Garamond"/>
          <w:i w:val="0"/>
          <w:sz w:val="24"/>
          <w:szCs w:val="24"/>
        </w:rPr>
      </w:pPr>
      <w:r w:rsidRPr="00253DD0">
        <w:rPr>
          <w:sz w:val="24"/>
          <w:szCs w:val="24"/>
        </w:rPr>
        <w:t xml:space="preserve">Figure </w:t>
      </w:r>
      <w:r w:rsidRPr="00253DD0">
        <w:rPr>
          <w:sz w:val="24"/>
          <w:szCs w:val="24"/>
        </w:rPr>
        <w:fldChar w:fldCharType="begin"/>
      </w:r>
      <w:r w:rsidRPr="00253DD0">
        <w:rPr>
          <w:sz w:val="24"/>
          <w:szCs w:val="24"/>
        </w:rPr>
        <w:instrText xml:space="preserve"> SEQ Figure \* ARABIC </w:instrText>
      </w:r>
      <w:r w:rsidRPr="00253DD0">
        <w:rPr>
          <w:sz w:val="24"/>
          <w:szCs w:val="24"/>
        </w:rPr>
        <w:fldChar w:fldCharType="separate"/>
      </w:r>
      <w:r w:rsidR="008F1E38">
        <w:rPr>
          <w:noProof/>
          <w:sz w:val="24"/>
          <w:szCs w:val="24"/>
        </w:rPr>
        <w:t>2</w:t>
      </w:r>
      <w:r w:rsidRPr="00253DD0">
        <w:rPr>
          <w:sz w:val="24"/>
          <w:szCs w:val="24"/>
        </w:rPr>
        <w:fldChar w:fldCharType="end"/>
      </w:r>
      <w:r w:rsidRPr="00253DD0">
        <w:rPr>
          <w:sz w:val="24"/>
          <w:szCs w:val="24"/>
        </w:rPr>
        <w:t xml:space="preserve">: </w:t>
      </w:r>
      <w:r w:rsidRPr="00253DD0">
        <w:rPr>
          <w:i w:val="0"/>
          <w:sz w:val="24"/>
          <w:szCs w:val="24"/>
        </w:rPr>
        <w:t xml:space="preserve">The reaction of central banks in </w:t>
      </w:r>
      <w:r>
        <w:rPr>
          <w:i w:val="0"/>
          <w:sz w:val="24"/>
          <w:szCs w:val="24"/>
        </w:rPr>
        <w:t>peripheral</w:t>
      </w:r>
      <w:r w:rsidRPr="00253DD0">
        <w:rPr>
          <w:i w:val="0"/>
          <w:sz w:val="24"/>
          <w:szCs w:val="24"/>
        </w:rPr>
        <w:t xml:space="preserve"> countries to an English discount rate shock</w:t>
      </w:r>
    </w:p>
    <w:p w14:paraId="0826DFD1" w14:textId="0DB9FB74" w:rsidR="00253DD0" w:rsidRDefault="005D0F8F" w:rsidP="00CF151B">
      <w:pPr>
        <w:spacing w:line="360" w:lineRule="auto"/>
        <w:jc w:val="both"/>
        <w:rPr>
          <w:rFonts w:ascii="Garamond" w:hAnsi="Garamond"/>
        </w:rPr>
      </w:pPr>
      <w:r>
        <w:rPr>
          <w:rFonts w:ascii="Garamond" w:hAnsi="Garamond"/>
        </w:rPr>
        <w:t xml:space="preserve">Sources: </w:t>
      </w:r>
      <w:r w:rsidR="00253DD0" w:rsidRPr="00A569C1">
        <w:rPr>
          <w:rFonts w:ascii="Garamond" w:hAnsi="Garamond"/>
        </w:rPr>
        <w:t>Own calculations based on sources as described in the appendix.</w:t>
      </w:r>
    </w:p>
    <w:p w14:paraId="7B5169B8" w14:textId="3254F7CB" w:rsidR="00FF0CB7" w:rsidRDefault="00FF0CB7" w:rsidP="00CF151B">
      <w:pPr>
        <w:spacing w:line="360" w:lineRule="auto"/>
        <w:jc w:val="both"/>
        <w:rPr>
          <w:rFonts w:ascii="Garamond" w:hAnsi="Garamond"/>
        </w:rPr>
      </w:pPr>
    </w:p>
    <w:p w14:paraId="0452F2D9" w14:textId="57A9A812" w:rsidR="00224ED6" w:rsidRPr="00253DD0" w:rsidRDefault="00224ED6" w:rsidP="00265F8E">
      <w:pPr>
        <w:spacing w:line="360" w:lineRule="auto"/>
        <w:ind w:firstLine="720"/>
        <w:jc w:val="both"/>
        <w:rPr>
          <w:rFonts w:ascii="Garamond" w:hAnsi="Garamond"/>
        </w:rPr>
      </w:pPr>
      <w:r w:rsidRPr="00253DD0">
        <w:rPr>
          <w:rFonts w:ascii="Garamond" w:hAnsi="Garamond"/>
        </w:rPr>
        <w:t xml:space="preserve">Two other characteristics are worth mentioning. First, as in the core countries, the discount rate reacted significantly to the </w:t>
      </w:r>
      <w:r>
        <w:rPr>
          <w:rFonts w:ascii="Garamond" w:hAnsi="Garamond"/>
        </w:rPr>
        <w:t>English</w:t>
      </w:r>
      <w:r w:rsidRPr="00253DD0">
        <w:rPr>
          <w:rFonts w:ascii="Garamond" w:hAnsi="Garamond"/>
        </w:rPr>
        <w:t xml:space="preserve"> shock (in line with the results of Morys (2013)). Figure 3 shows that this was not the case in countries </w:t>
      </w:r>
      <w:r>
        <w:rPr>
          <w:rFonts w:ascii="Garamond" w:hAnsi="Garamond"/>
        </w:rPr>
        <w:t>out of</w:t>
      </w:r>
      <w:r w:rsidRPr="00253DD0">
        <w:rPr>
          <w:rFonts w:ascii="Garamond" w:hAnsi="Garamond"/>
        </w:rPr>
        <w:t xml:space="preserve"> the gold standard</w:t>
      </w:r>
      <w:r>
        <w:rPr>
          <w:rFonts w:ascii="Garamond" w:hAnsi="Garamond"/>
        </w:rPr>
        <w:t xml:space="preserve"> with a floating exchange rate</w:t>
      </w:r>
      <w:r w:rsidRPr="00253DD0">
        <w:rPr>
          <w:rFonts w:ascii="Garamond" w:hAnsi="Garamond"/>
        </w:rPr>
        <w:t xml:space="preserve">. Second, the central bank's domestic portfolio increased, although there </w:t>
      </w:r>
      <w:r>
        <w:rPr>
          <w:rFonts w:ascii="Garamond" w:hAnsi="Garamond"/>
        </w:rPr>
        <w:t>was</w:t>
      </w:r>
      <w:r w:rsidRPr="00253DD0">
        <w:rPr>
          <w:rFonts w:ascii="Garamond" w:hAnsi="Garamond"/>
        </w:rPr>
        <w:t xml:space="preserve"> no loss of foreign exchange reserves</w:t>
      </w:r>
      <w:r w:rsidR="00265F8E">
        <w:rPr>
          <w:rFonts w:ascii="Garamond" w:hAnsi="Garamond"/>
        </w:rPr>
        <w:t xml:space="preserve"> in the central bank</w:t>
      </w:r>
      <w:r w:rsidRPr="00253DD0">
        <w:rPr>
          <w:rFonts w:ascii="Garamond" w:hAnsi="Garamond"/>
        </w:rPr>
        <w:t>. Therefore, after an increase in international interest rates, the national central bank had to extend credit to the domestic economy in response to the banks' demand at its discount window. This finding means that there was still</w:t>
      </w:r>
      <w:r>
        <w:rPr>
          <w:rFonts w:ascii="Garamond" w:hAnsi="Garamond"/>
        </w:rPr>
        <w:t xml:space="preserve"> </w:t>
      </w:r>
      <w:r w:rsidRPr="00253DD0">
        <w:rPr>
          <w:rFonts w:ascii="Garamond" w:hAnsi="Garamond"/>
        </w:rPr>
        <w:t xml:space="preserve">a transmission of the change in the </w:t>
      </w:r>
      <w:r>
        <w:rPr>
          <w:rFonts w:ascii="Garamond" w:hAnsi="Garamond"/>
        </w:rPr>
        <w:t>English</w:t>
      </w:r>
      <w:r w:rsidRPr="00253DD0">
        <w:rPr>
          <w:rFonts w:ascii="Garamond" w:hAnsi="Garamond"/>
        </w:rPr>
        <w:t xml:space="preserve"> interest rate to the domestic money market in the periphery, so that it became cheaper to borrow from the central bank than from the private market. Restrictions on gold convertibility could protect the central bank's </w:t>
      </w:r>
      <w:r>
        <w:rPr>
          <w:rFonts w:ascii="Garamond" w:hAnsi="Garamond"/>
        </w:rPr>
        <w:t>cover ratio (ratio of reserves to banknotes)</w:t>
      </w:r>
      <w:r w:rsidRPr="00253DD0">
        <w:rPr>
          <w:rFonts w:ascii="Garamond" w:hAnsi="Garamond"/>
        </w:rPr>
        <w:t xml:space="preserve"> and widen the exchange rate range, but they were not sufficient to completely isolate the country from international financial markets (as shown by the fact that the exchange rate fluctuates).  Sterilization was still necessary to stabilize the money supply and domestic interest rate, but of a lower order of magnitude than in the core countries.</w:t>
      </w:r>
    </w:p>
    <w:p w14:paraId="00B2EFE1" w14:textId="77777777" w:rsidR="00224ED6" w:rsidRPr="00CF151B" w:rsidRDefault="00224ED6" w:rsidP="00CF151B">
      <w:pPr>
        <w:spacing w:line="360" w:lineRule="auto"/>
        <w:jc w:val="both"/>
        <w:rPr>
          <w:rFonts w:ascii="Garamond" w:hAnsi="Garamond"/>
        </w:rPr>
      </w:pPr>
    </w:p>
    <w:p w14:paraId="4FCEC896" w14:textId="60B60F85" w:rsidR="00253DD0" w:rsidRPr="00FE19A7" w:rsidRDefault="00253DD0" w:rsidP="00FE19A7">
      <w:pPr>
        <w:pStyle w:val="Heading2"/>
        <w:rPr>
          <w:sz w:val="28"/>
          <w:szCs w:val="28"/>
        </w:rPr>
      </w:pPr>
      <w:bookmarkStart w:id="15" w:name="_Toc2521985"/>
      <w:r w:rsidRPr="00FF0CB7">
        <w:rPr>
          <w:sz w:val="28"/>
          <w:szCs w:val="28"/>
        </w:rPr>
        <w:t>Floating</w:t>
      </w:r>
      <w:bookmarkEnd w:id="15"/>
    </w:p>
    <w:p w14:paraId="5622AC4C" w14:textId="77777777" w:rsidR="00253DD0" w:rsidRPr="00253DD0" w:rsidRDefault="00253DD0" w:rsidP="00253DD0">
      <w:pPr>
        <w:rPr>
          <w:lang w:val="en-US" w:eastAsia="en-US"/>
        </w:rPr>
      </w:pPr>
    </w:p>
    <w:p w14:paraId="1BD08C61" w14:textId="00E867FA" w:rsidR="003E2CE4" w:rsidRDefault="00700EDC" w:rsidP="003E2CE4">
      <w:pPr>
        <w:keepNext/>
        <w:spacing w:line="360" w:lineRule="auto"/>
        <w:jc w:val="both"/>
      </w:pPr>
      <w:r w:rsidRPr="00700EDC">
        <w:rPr>
          <w:noProof/>
        </w:rPr>
        <w:drawing>
          <wp:inline distT="0" distB="0" distL="0" distR="0" wp14:anchorId="626D5E73" wp14:editId="6877893F">
            <wp:extent cx="5699760" cy="398526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9760" cy="3985260"/>
                    </a:xfrm>
                    <a:prstGeom prst="rect">
                      <a:avLst/>
                    </a:prstGeom>
                    <a:noFill/>
                    <a:ln>
                      <a:noFill/>
                    </a:ln>
                  </pic:spPr>
                </pic:pic>
              </a:graphicData>
            </a:graphic>
          </wp:inline>
        </w:drawing>
      </w:r>
    </w:p>
    <w:p w14:paraId="024A9693" w14:textId="0EBEB061" w:rsidR="003E2CE4" w:rsidRPr="003E2CE4" w:rsidRDefault="003E2CE4" w:rsidP="005D0F8F">
      <w:pPr>
        <w:pStyle w:val="Caption"/>
        <w:jc w:val="center"/>
        <w:rPr>
          <w:rFonts w:ascii="Garamond" w:hAnsi="Garamond"/>
          <w:i w:val="0"/>
          <w:sz w:val="24"/>
          <w:szCs w:val="24"/>
        </w:rPr>
      </w:pPr>
      <w:r w:rsidRPr="003E2CE4">
        <w:rPr>
          <w:sz w:val="24"/>
          <w:szCs w:val="24"/>
        </w:rPr>
        <w:t xml:space="preserve">Figure </w:t>
      </w:r>
      <w:r w:rsidRPr="003E2CE4">
        <w:rPr>
          <w:sz w:val="24"/>
          <w:szCs w:val="24"/>
        </w:rPr>
        <w:fldChar w:fldCharType="begin"/>
      </w:r>
      <w:r w:rsidRPr="003E2CE4">
        <w:rPr>
          <w:sz w:val="24"/>
          <w:szCs w:val="24"/>
        </w:rPr>
        <w:instrText xml:space="preserve"> SEQ Figure \* ARABIC </w:instrText>
      </w:r>
      <w:r w:rsidRPr="003E2CE4">
        <w:rPr>
          <w:sz w:val="24"/>
          <w:szCs w:val="24"/>
        </w:rPr>
        <w:fldChar w:fldCharType="separate"/>
      </w:r>
      <w:r w:rsidR="008F1E38">
        <w:rPr>
          <w:noProof/>
          <w:sz w:val="24"/>
          <w:szCs w:val="24"/>
        </w:rPr>
        <w:t>3</w:t>
      </w:r>
      <w:r w:rsidRPr="003E2CE4">
        <w:rPr>
          <w:sz w:val="24"/>
          <w:szCs w:val="24"/>
        </w:rPr>
        <w:fldChar w:fldCharType="end"/>
      </w:r>
      <w:r w:rsidRPr="003E2CE4">
        <w:rPr>
          <w:i w:val="0"/>
          <w:sz w:val="24"/>
          <w:szCs w:val="24"/>
        </w:rPr>
        <w:t xml:space="preserve"> The reaction of central banks off the gold standard to an English discount rate shock</w:t>
      </w:r>
    </w:p>
    <w:p w14:paraId="027F330A" w14:textId="491F42DB" w:rsidR="003E2CE4" w:rsidRDefault="005D0F8F" w:rsidP="003E2CE4">
      <w:pPr>
        <w:spacing w:line="360" w:lineRule="auto"/>
        <w:jc w:val="both"/>
        <w:rPr>
          <w:rFonts w:ascii="Garamond" w:hAnsi="Garamond"/>
        </w:rPr>
      </w:pPr>
      <w:r>
        <w:rPr>
          <w:rFonts w:ascii="Garamond" w:hAnsi="Garamond"/>
        </w:rPr>
        <w:t xml:space="preserve">Sources: </w:t>
      </w:r>
      <w:r w:rsidR="003E2CE4" w:rsidRPr="003E2CE4">
        <w:rPr>
          <w:rFonts w:ascii="Garamond" w:hAnsi="Garamond"/>
        </w:rPr>
        <w:t>Own calculations based on sources as described in the appendix.</w:t>
      </w:r>
    </w:p>
    <w:p w14:paraId="4F54ABEB" w14:textId="67DB0916" w:rsidR="00224ED6" w:rsidRDefault="00224ED6" w:rsidP="003E2CE4">
      <w:pPr>
        <w:spacing w:line="360" w:lineRule="auto"/>
        <w:jc w:val="both"/>
        <w:rPr>
          <w:rFonts w:ascii="Garamond" w:hAnsi="Garamond"/>
        </w:rPr>
      </w:pPr>
    </w:p>
    <w:p w14:paraId="357693DF" w14:textId="688EFD68" w:rsidR="00724901" w:rsidRPr="003E2CE4" w:rsidRDefault="00224ED6" w:rsidP="00224ED6">
      <w:pPr>
        <w:spacing w:line="360" w:lineRule="auto"/>
        <w:jc w:val="both"/>
        <w:rPr>
          <w:rFonts w:ascii="Garamond" w:hAnsi="Garamond"/>
        </w:rPr>
      </w:pPr>
      <w:r w:rsidRPr="005974D8">
        <w:rPr>
          <w:rFonts w:ascii="Garamond" w:hAnsi="Garamond"/>
        </w:rPr>
        <w:t xml:space="preserve">In line with the </w:t>
      </w:r>
      <w:r>
        <w:rPr>
          <w:rFonts w:ascii="Garamond" w:hAnsi="Garamond"/>
        </w:rPr>
        <w:t xml:space="preserve">predictions of the </w:t>
      </w:r>
      <w:r w:rsidRPr="005974D8">
        <w:rPr>
          <w:rFonts w:ascii="Garamond" w:hAnsi="Garamond"/>
        </w:rPr>
        <w:t>trilemma (Obstfeld and Taylor 2004), countries that are not in the gold standard could simply float their exchange rates in response to an international shock, as shown in Figure 3. The exchange rate response</w:t>
      </w:r>
      <w:r w:rsidR="00673C4A">
        <w:rPr>
          <w:rFonts w:ascii="Garamond" w:hAnsi="Garamond"/>
        </w:rPr>
        <w:t xml:space="preserve"> dramatically</w:t>
      </w:r>
      <w:r w:rsidRPr="005974D8">
        <w:rPr>
          <w:rFonts w:ascii="Garamond" w:hAnsi="Garamond"/>
        </w:rPr>
        <w:t xml:space="preserve"> exceeds that of the core and peripheral countries in the gold standard. The adjustment is made entirely through the exchange rate, so that the central bank has no reaction, either in its discount rate or in its balance sheet. </w:t>
      </w:r>
    </w:p>
    <w:p w14:paraId="471B874D" w14:textId="42481A74" w:rsidR="0097228E" w:rsidRPr="00FF0CB7" w:rsidRDefault="0097228E" w:rsidP="0097228E">
      <w:pPr>
        <w:spacing w:line="360" w:lineRule="auto"/>
        <w:jc w:val="both"/>
        <w:rPr>
          <w:rFonts w:ascii="Garamond" w:hAnsi="Garamond"/>
          <w:sz w:val="28"/>
          <w:szCs w:val="28"/>
        </w:rPr>
      </w:pPr>
    </w:p>
    <w:p w14:paraId="16BAD2C7" w14:textId="2FDC598E" w:rsidR="000E61CD" w:rsidRPr="00FF0CB7" w:rsidRDefault="00CF151B" w:rsidP="00CF151B">
      <w:pPr>
        <w:pStyle w:val="Heading2"/>
        <w:rPr>
          <w:sz w:val="28"/>
          <w:szCs w:val="28"/>
        </w:rPr>
      </w:pPr>
      <w:bookmarkStart w:id="16" w:name="_Toc2521986"/>
      <w:r w:rsidRPr="00FF0CB7">
        <w:rPr>
          <w:sz w:val="28"/>
          <w:szCs w:val="28"/>
        </w:rPr>
        <w:t>The United States of America</w:t>
      </w:r>
      <w:bookmarkEnd w:id="16"/>
    </w:p>
    <w:p w14:paraId="336478E6" w14:textId="570D3937" w:rsidR="00CF151B" w:rsidRDefault="00CF151B" w:rsidP="00CF151B">
      <w:pPr>
        <w:rPr>
          <w:lang w:val="en-US" w:eastAsia="en-US"/>
        </w:rPr>
      </w:pPr>
    </w:p>
    <w:p w14:paraId="1B12168D" w14:textId="2D34A970" w:rsidR="00E11EC3" w:rsidRDefault="00E11EC3" w:rsidP="00CA2C7F">
      <w:pPr>
        <w:spacing w:line="360" w:lineRule="auto"/>
        <w:jc w:val="both"/>
        <w:rPr>
          <w:rFonts w:ascii="Garamond" w:hAnsi="Garamond"/>
          <w:lang w:val="en-US" w:eastAsia="en-US"/>
        </w:rPr>
      </w:pPr>
      <w:r w:rsidRPr="00E11EC3">
        <w:rPr>
          <w:rFonts w:ascii="Garamond" w:hAnsi="Garamond"/>
          <w:lang w:val="en-US" w:eastAsia="en-US"/>
        </w:rPr>
        <w:t xml:space="preserve">The most important country without a central bank during this period was the United States. </w:t>
      </w:r>
      <w:r>
        <w:rPr>
          <w:rFonts w:ascii="Garamond" w:hAnsi="Garamond"/>
          <w:lang w:val="en-US" w:eastAsia="en-US"/>
        </w:rPr>
        <w:t xml:space="preserve">It </w:t>
      </w:r>
      <w:r w:rsidRPr="00E11EC3">
        <w:rPr>
          <w:rFonts w:ascii="Garamond" w:hAnsi="Garamond"/>
          <w:lang w:val="en-US" w:eastAsia="en-US"/>
        </w:rPr>
        <w:t xml:space="preserve">was on the gold standard although this system was more contested than in many other countries and political support for bimetallism remained strong until the early 20th century. A large number of studies have examined what could have happened to the U.S. economy if a central bank </w:t>
      </w:r>
      <w:r>
        <w:rPr>
          <w:rFonts w:ascii="Garamond" w:hAnsi="Garamond"/>
          <w:lang w:val="en-US" w:eastAsia="en-US"/>
        </w:rPr>
        <w:t xml:space="preserve">had existed there before 1913. </w:t>
      </w:r>
      <w:r w:rsidRPr="00E11EC3">
        <w:rPr>
          <w:rFonts w:ascii="Garamond" w:hAnsi="Garamond"/>
          <w:lang w:val="en-US" w:eastAsia="en-US"/>
        </w:rPr>
        <w:t xml:space="preserve">There </w:t>
      </w:r>
      <w:r>
        <w:rPr>
          <w:rFonts w:ascii="Garamond" w:hAnsi="Garamond"/>
          <w:lang w:val="en-US" w:eastAsia="en-US"/>
        </w:rPr>
        <w:t>is</w:t>
      </w:r>
      <w:r w:rsidRPr="00E11EC3">
        <w:rPr>
          <w:rFonts w:ascii="Garamond" w:hAnsi="Garamond"/>
          <w:lang w:val="en-US" w:eastAsia="en-US"/>
        </w:rPr>
        <w:t xml:space="preserve"> consensus that a central bank </w:t>
      </w:r>
      <w:r>
        <w:rPr>
          <w:rFonts w:ascii="Garamond" w:hAnsi="Garamond"/>
          <w:lang w:val="en-US" w:eastAsia="en-US"/>
        </w:rPr>
        <w:t>would have</w:t>
      </w:r>
      <w:r w:rsidRPr="00E11EC3">
        <w:rPr>
          <w:rFonts w:ascii="Garamond" w:hAnsi="Garamond"/>
          <w:lang w:val="en-US" w:eastAsia="en-US"/>
        </w:rPr>
        <w:t xml:space="preserve"> smooth</w:t>
      </w:r>
      <w:r>
        <w:rPr>
          <w:rFonts w:ascii="Garamond" w:hAnsi="Garamond"/>
          <w:lang w:val="en-US" w:eastAsia="en-US"/>
        </w:rPr>
        <w:t>ed</w:t>
      </w:r>
      <w:r w:rsidRPr="00E11EC3">
        <w:rPr>
          <w:rFonts w:ascii="Garamond" w:hAnsi="Garamond"/>
          <w:lang w:val="en-US" w:eastAsia="en-US"/>
        </w:rPr>
        <w:t xml:space="preserve"> seasonal fluctuations in credit and interest rates and perhaps reduce the frequency of banking crises (Mankiw &amp; Miron 1986, Davis, Hanes &amp; Rhode 2009, Hanes &amp; Rhode 2013, Bordo &amp; Wheelock 2011). However, precise comparisons with central bank operations over the same period remained limited due to the lack of data. </w:t>
      </w:r>
    </w:p>
    <w:p w14:paraId="58B50322" w14:textId="148EF2C6" w:rsidR="00195D62" w:rsidRPr="00195D62" w:rsidRDefault="00E11EC3" w:rsidP="00195D62">
      <w:pPr>
        <w:spacing w:line="360" w:lineRule="auto"/>
        <w:jc w:val="both"/>
        <w:rPr>
          <w:rFonts w:ascii="Garamond" w:hAnsi="Garamond"/>
          <w:lang w:val="en-US" w:eastAsia="en-US"/>
        </w:rPr>
      </w:pPr>
      <w:r>
        <w:rPr>
          <w:rFonts w:ascii="Garamond" w:hAnsi="Garamond"/>
          <w:lang w:val="en-US" w:eastAsia="en-US"/>
        </w:rPr>
        <w:tab/>
      </w:r>
      <w:r w:rsidR="00195D62" w:rsidRPr="00195D62">
        <w:rPr>
          <w:rFonts w:ascii="Garamond" w:hAnsi="Garamond"/>
          <w:lang w:val="en-US" w:eastAsia="en-US"/>
        </w:rPr>
        <w:t xml:space="preserve">A simple extension of our previous analysis is to compare the reaction of the US economy to that of </w:t>
      </w:r>
      <w:r w:rsidR="00195D62">
        <w:rPr>
          <w:rFonts w:ascii="Garamond" w:hAnsi="Garamond"/>
          <w:lang w:val="en-US" w:eastAsia="en-US"/>
        </w:rPr>
        <w:t xml:space="preserve">countries with </w:t>
      </w:r>
      <w:r w:rsidR="00195D62" w:rsidRPr="00195D62">
        <w:rPr>
          <w:rFonts w:ascii="Garamond" w:hAnsi="Garamond"/>
          <w:lang w:val="en-US" w:eastAsia="en-US"/>
        </w:rPr>
        <w:t xml:space="preserve">a central bank. This is what Figure 4 does. The United States had no central bank, so the Treasury was responsible for </w:t>
      </w:r>
      <w:r w:rsidR="00195D62">
        <w:rPr>
          <w:rFonts w:ascii="Garamond" w:hAnsi="Garamond"/>
          <w:lang w:val="en-US" w:eastAsia="en-US"/>
        </w:rPr>
        <w:t>backing</w:t>
      </w:r>
      <w:r w:rsidR="00195D62" w:rsidRPr="00195D62">
        <w:rPr>
          <w:rFonts w:ascii="Garamond" w:hAnsi="Garamond"/>
          <w:lang w:val="en-US" w:eastAsia="en-US"/>
        </w:rPr>
        <w:t xml:space="preserve"> banknotes in circulation with gold.</w:t>
      </w:r>
      <w:r w:rsidR="00C63B9B">
        <w:rPr>
          <w:rStyle w:val="FootnoteReference"/>
          <w:rFonts w:ascii="Garamond" w:hAnsi="Garamond"/>
          <w:lang w:val="en-US" w:eastAsia="en-US"/>
        </w:rPr>
        <w:footnoteReference w:id="22"/>
      </w:r>
      <w:r w:rsidR="00195D62" w:rsidRPr="00195D62">
        <w:rPr>
          <w:rFonts w:ascii="Garamond" w:hAnsi="Garamond"/>
          <w:lang w:val="en-US" w:eastAsia="en-US"/>
        </w:rPr>
        <w:t xml:space="preserve"> An increase in the BoE rate is followed by a decrease in the gold held by the U.S. Treasury. The reaction of the New York exchange rate to London is not significant. This could be explained by the fact that the money market rate in New York reacts immediately and very strongly. The response of the New York money market rate is the most important result of Figure 4, since it is ten times higher than the </w:t>
      </w:r>
      <w:r w:rsidR="00195D62">
        <w:rPr>
          <w:rFonts w:ascii="Garamond" w:hAnsi="Garamond"/>
          <w:lang w:val="en-US" w:eastAsia="en-US"/>
        </w:rPr>
        <w:t xml:space="preserve">reaction of the </w:t>
      </w:r>
      <w:r w:rsidR="00195D62" w:rsidRPr="00195D62">
        <w:rPr>
          <w:rFonts w:ascii="Garamond" w:hAnsi="Garamond"/>
          <w:lang w:val="en-US" w:eastAsia="en-US"/>
        </w:rPr>
        <w:t>discount rates of the central banks of the</w:t>
      </w:r>
      <w:r w:rsidR="00195D62">
        <w:rPr>
          <w:rFonts w:ascii="Garamond" w:hAnsi="Garamond"/>
          <w:lang w:val="en-US" w:eastAsia="en-US"/>
        </w:rPr>
        <w:t xml:space="preserve"> gold standard countries</w:t>
      </w:r>
      <w:r w:rsidR="00195D62" w:rsidRPr="00195D62">
        <w:rPr>
          <w:rFonts w:ascii="Garamond" w:hAnsi="Garamond"/>
          <w:lang w:val="en-US" w:eastAsia="en-US"/>
        </w:rPr>
        <w:t>.</w:t>
      </w:r>
      <w:r w:rsidR="004327FB">
        <w:rPr>
          <w:rStyle w:val="FootnoteReference"/>
          <w:rFonts w:ascii="Garamond" w:hAnsi="Garamond"/>
          <w:lang w:val="en-US" w:eastAsia="en-US"/>
        </w:rPr>
        <w:footnoteReference w:id="23"/>
      </w:r>
      <w:r w:rsidR="00195D62" w:rsidRPr="00195D62">
        <w:rPr>
          <w:rFonts w:ascii="Garamond" w:hAnsi="Garamond"/>
          <w:lang w:val="en-US" w:eastAsia="en-US"/>
        </w:rPr>
        <w:t xml:space="preserve"> </w:t>
      </w:r>
    </w:p>
    <w:p w14:paraId="33461388" w14:textId="2E0AAF60" w:rsidR="00195D62" w:rsidRPr="00195D62" w:rsidRDefault="00A7467D" w:rsidP="00A7467D">
      <w:pPr>
        <w:spacing w:line="360" w:lineRule="auto"/>
        <w:ind w:firstLine="720"/>
        <w:jc w:val="both"/>
        <w:rPr>
          <w:rFonts w:ascii="Garamond" w:hAnsi="Garamond"/>
          <w:lang w:val="en-US" w:eastAsia="en-US"/>
        </w:rPr>
      </w:pPr>
      <w:r w:rsidRPr="00195D62">
        <w:rPr>
          <w:rFonts w:ascii="Garamond" w:hAnsi="Garamond"/>
          <w:lang w:val="en-US" w:eastAsia="en-US"/>
        </w:rPr>
        <w:t xml:space="preserve">Figure 5 illustrates </w:t>
      </w:r>
      <w:r>
        <w:rPr>
          <w:rFonts w:ascii="Garamond" w:hAnsi="Garamond"/>
          <w:lang w:val="en-US" w:eastAsia="en-US"/>
        </w:rPr>
        <w:t xml:space="preserve">more clearly </w:t>
      </w:r>
      <w:r w:rsidRPr="00195D62">
        <w:rPr>
          <w:rFonts w:ascii="Garamond" w:hAnsi="Garamond"/>
          <w:lang w:val="en-US" w:eastAsia="en-US"/>
        </w:rPr>
        <w:t>the difference between a country with a central bank and a country without a central bank. We compare the money market rate in New York with central bank</w:t>
      </w:r>
      <w:r>
        <w:rPr>
          <w:rFonts w:ascii="Garamond" w:hAnsi="Garamond"/>
          <w:lang w:val="en-US" w:eastAsia="en-US"/>
        </w:rPr>
        <w:t>s’</w:t>
      </w:r>
      <w:r w:rsidRPr="00195D62">
        <w:rPr>
          <w:rFonts w:ascii="Garamond" w:hAnsi="Garamond"/>
          <w:lang w:val="en-US" w:eastAsia="en-US"/>
        </w:rPr>
        <w:t xml:space="preserve"> discount rates and money market rates in the </w:t>
      </w:r>
      <w:r>
        <w:rPr>
          <w:rFonts w:ascii="Garamond" w:hAnsi="Garamond"/>
          <w:lang w:val="en-US" w:eastAsia="en-US"/>
        </w:rPr>
        <w:t>core</w:t>
      </w:r>
      <w:r w:rsidRPr="00195D62">
        <w:rPr>
          <w:rFonts w:ascii="Garamond" w:hAnsi="Garamond"/>
          <w:lang w:val="en-US" w:eastAsia="en-US"/>
        </w:rPr>
        <w:t xml:space="preserve"> European countries. In core countries with a central bank, the money market rate is </w:t>
      </w:r>
      <w:r>
        <w:rPr>
          <w:rFonts w:ascii="Garamond" w:hAnsi="Garamond"/>
          <w:lang w:val="en-US" w:eastAsia="en-US"/>
        </w:rPr>
        <w:t>always</w:t>
      </w:r>
      <w:r w:rsidRPr="00195D62">
        <w:rPr>
          <w:rFonts w:ascii="Garamond" w:hAnsi="Garamond"/>
          <w:lang w:val="en-US" w:eastAsia="en-US"/>
        </w:rPr>
        <w:t xml:space="preserve"> below the central bank discount rate. As explained above, this is because any bank can borrow from the central bank with eligible collateral if the central bank's discount rate is lower than the money market rate. Central banks therefore stabilized the money market rate around their discount rate by increasing their lending in response to bank demand at the discount</w:t>
      </w:r>
      <w:r>
        <w:rPr>
          <w:rFonts w:ascii="Garamond" w:hAnsi="Garamond"/>
          <w:lang w:val="en-US" w:eastAsia="en-US"/>
        </w:rPr>
        <w:t xml:space="preserve"> window</w:t>
      </w:r>
      <w:r w:rsidRPr="00195D62">
        <w:rPr>
          <w:rFonts w:ascii="Garamond" w:hAnsi="Garamond"/>
          <w:lang w:val="en-US" w:eastAsia="en-US"/>
        </w:rPr>
        <w:t>.</w:t>
      </w:r>
      <w:r>
        <w:rPr>
          <w:rStyle w:val="FootnoteReference"/>
          <w:rFonts w:ascii="Garamond" w:hAnsi="Garamond"/>
          <w:lang w:val="en-US" w:eastAsia="en-US"/>
        </w:rPr>
        <w:footnoteReference w:id="24"/>
      </w:r>
      <w:r w:rsidRPr="00195D62">
        <w:rPr>
          <w:rFonts w:ascii="Garamond" w:hAnsi="Garamond"/>
          <w:lang w:val="en-US" w:eastAsia="en-US"/>
        </w:rPr>
        <w:t xml:space="preserve"> Without a central bank, the New York money market rate has a much higher volatility. </w:t>
      </w:r>
      <w:r>
        <w:rPr>
          <w:rFonts w:ascii="Garamond" w:hAnsi="Garamond"/>
          <w:lang w:val="en-US" w:eastAsia="en-US"/>
        </w:rPr>
        <w:t xml:space="preserve"> Even if the US Treasury used restrictions on gold convertibility, there was no central bank to provide credit and stabilize the money market rate, as it was the case in core and peripheral economies in the gold standard with a central bank. </w:t>
      </w:r>
    </w:p>
    <w:p w14:paraId="5E428CDF" w14:textId="0B8F46D7" w:rsidR="003E2CE4" w:rsidRDefault="002D6202" w:rsidP="00EE164F">
      <w:pPr>
        <w:jc w:val="both"/>
      </w:pPr>
      <w:r w:rsidRPr="002D6202">
        <w:rPr>
          <w:noProof/>
        </w:rPr>
        <w:drawing>
          <wp:inline distT="0" distB="0" distL="0" distR="0" wp14:anchorId="322924EA" wp14:editId="1EF22114">
            <wp:extent cx="5661660" cy="40462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61660" cy="4046220"/>
                    </a:xfrm>
                    <a:prstGeom prst="rect">
                      <a:avLst/>
                    </a:prstGeom>
                    <a:noFill/>
                    <a:ln>
                      <a:noFill/>
                    </a:ln>
                  </pic:spPr>
                </pic:pic>
              </a:graphicData>
            </a:graphic>
          </wp:inline>
        </w:drawing>
      </w:r>
    </w:p>
    <w:p w14:paraId="2DB97AE1" w14:textId="050B6AB3" w:rsidR="003E2CE4" w:rsidRPr="003E2CE4" w:rsidRDefault="003E2CE4" w:rsidP="00FE19A7">
      <w:pPr>
        <w:pStyle w:val="Caption"/>
        <w:jc w:val="center"/>
        <w:rPr>
          <w:rFonts w:ascii="Garamond" w:hAnsi="Garamond"/>
          <w:i w:val="0"/>
          <w:sz w:val="24"/>
          <w:szCs w:val="24"/>
        </w:rPr>
      </w:pPr>
      <w:r w:rsidRPr="003E2CE4">
        <w:rPr>
          <w:sz w:val="24"/>
          <w:szCs w:val="24"/>
        </w:rPr>
        <w:t xml:space="preserve">Figure </w:t>
      </w:r>
      <w:r w:rsidRPr="003E2CE4">
        <w:rPr>
          <w:sz w:val="24"/>
          <w:szCs w:val="24"/>
        </w:rPr>
        <w:fldChar w:fldCharType="begin"/>
      </w:r>
      <w:r w:rsidRPr="003E2CE4">
        <w:rPr>
          <w:sz w:val="24"/>
          <w:szCs w:val="24"/>
        </w:rPr>
        <w:instrText xml:space="preserve"> SEQ Figure \* ARABIC </w:instrText>
      </w:r>
      <w:r w:rsidRPr="003E2CE4">
        <w:rPr>
          <w:sz w:val="24"/>
          <w:szCs w:val="24"/>
        </w:rPr>
        <w:fldChar w:fldCharType="separate"/>
      </w:r>
      <w:r w:rsidR="008F1E38">
        <w:rPr>
          <w:noProof/>
          <w:sz w:val="24"/>
          <w:szCs w:val="24"/>
        </w:rPr>
        <w:t>4</w:t>
      </w:r>
      <w:r w:rsidRPr="003E2CE4">
        <w:rPr>
          <w:sz w:val="24"/>
          <w:szCs w:val="24"/>
        </w:rPr>
        <w:fldChar w:fldCharType="end"/>
      </w:r>
      <w:r w:rsidRPr="003E2CE4">
        <w:rPr>
          <w:sz w:val="24"/>
          <w:szCs w:val="24"/>
        </w:rPr>
        <w:t xml:space="preserve">:  </w:t>
      </w:r>
      <w:r w:rsidRPr="003E2CE4">
        <w:rPr>
          <w:i w:val="0"/>
          <w:sz w:val="24"/>
          <w:szCs w:val="24"/>
        </w:rPr>
        <w:t>The reaction of</w:t>
      </w:r>
      <w:r w:rsidR="002D6202">
        <w:rPr>
          <w:i w:val="0"/>
          <w:sz w:val="24"/>
          <w:szCs w:val="24"/>
        </w:rPr>
        <w:t xml:space="preserve"> the United States to BoE</w:t>
      </w:r>
      <w:r w:rsidRPr="003E2CE4">
        <w:rPr>
          <w:i w:val="0"/>
          <w:sz w:val="24"/>
          <w:szCs w:val="24"/>
        </w:rPr>
        <w:t xml:space="preserve"> discount rate shock</w:t>
      </w:r>
    </w:p>
    <w:p w14:paraId="41317C92" w14:textId="379392C0" w:rsidR="003E2CE4" w:rsidRDefault="003E2CE4" w:rsidP="00FF0CB7">
      <w:pPr>
        <w:spacing w:line="360" w:lineRule="auto"/>
        <w:jc w:val="both"/>
        <w:rPr>
          <w:rFonts w:ascii="Garamond" w:hAnsi="Garamond"/>
          <w:sz w:val="20"/>
          <w:szCs w:val="20"/>
        </w:rPr>
      </w:pPr>
      <w:r w:rsidRPr="00FF0CB7">
        <w:rPr>
          <w:rFonts w:ascii="Garamond" w:hAnsi="Garamond"/>
          <w:sz w:val="20"/>
          <w:szCs w:val="20"/>
        </w:rPr>
        <w:t>Sources:</w:t>
      </w:r>
      <w:r w:rsidRPr="00FF0CB7">
        <w:rPr>
          <w:rFonts w:ascii="Garamond" w:hAnsi="Garamond"/>
          <w:sz w:val="20"/>
          <w:szCs w:val="20"/>
        </w:rPr>
        <w:tab/>
        <w:t>Own calculations based on sources as described in the appendix.</w:t>
      </w:r>
    </w:p>
    <w:p w14:paraId="5B38B984" w14:textId="5F83F338" w:rsidR="00FF2FAB" w:rsidRPr="00FF2FAB" w:rsidRDefault="00FF2FAB" w:rsidP="00FF0CB7">
      <w:pPr>
        <w:spacing w:line="360" w:lineRule="auto"/>
        <w:jc w:val="both"/>
        <w:rPr>
          <w:rFonts w:ascii="Garamond" w:hAnsi="Garamond"/>
          <w:sz w:val="20"/>
          <w:szCs w:val="20"/>
          <w:lang w:val="en-US"/>
        </w:rPr>
      </w:pPr>
    </w:p>
    <w:p w14:paraId="491ECB6A" w14:textId="763A1FC2" w:rsidR="003E2CE4" w:rsidRPr="00983BAF" w:rsidRDefault="00A7467D" w:rsidP="003E2CE4">
      <w:pPr>
        <w:keepNext/>
        <w:spacing w:line="360" w:lineRule="auto"/>
        <w:jc w:val="both"/>
        <w:rPr>
          <w:rFonts w:ascii="Garamond" w:hAnsi="Garamond"/>
        </w:rPr>
      </w:pPr>
      <w:r w:rsidRPr="00983BAF">
        <w:rPr>
          <w:rFonts w:ascii="Garamond" w:hAnsi="Garamond"/>
        </w:rPr>
        <w:object w:dxaOrig="7801" w:dyaOrig="4486" w14:anchorId="42398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246.75pt" o:ole="">
            <v:imagedata r:id="rId15" o:title=""/>
          </v:shape>
          <o:OLEObject Type="Embed" ProgID="EViews.Workfile.2" ShapeID="_x0000_i1025" DrawAspect="Content" ObjectID="_1613283613" r:id="rId16"/>
        </w:object>
      </w:r>
    </w:p>
    <w:p w14:paraId="0F0C5351" w14:textId="02EFAC80" w:rsidR="003E2CE4" w:rsidRPr="00983BAF" w:rsidRDefault="003E2CE4" w:rsidP="003E2CE4">
      <w:pPr>
        <w:pStyle w:val="Caption"/>
        <w:jc w:val="both"/>
        <w:rPr>
          <w:rFonts w:ascii="Garamond" w:hAnsi="Garamond"/>
          <w:i w:val="0"/>
          <w:sz w:val="24"/>
          <w:szCs w:val="24"/>
        </w:rPr>
      </w:pPr>
      <w:r w:rsidRPr="00983BAF">
        <w:rPr>
          <w:rFonts w:ascii="Garamond" w:hAnsi="Garamond"/>
          <w:sz w:val="24"/>
          <w:szCs w:val="24"/>
        </w:rPr>
        <w:t xml:space="preserve">Figure </w:t>
      </w:r>
      <w:r w:rsidRPr="00983BAF">
        <w:rPr>
          <w:rFonts w:ascii="Garamond" w:hAnsi="Garamond"/>
          <w:sz w:val="24"/>
          <w:szCs w:val="24"/>
        </w:rPr>
        <w:fldChar w:fldCharType="begin"/>
      </w:r>
      <w:r w:rsidRPr="00983BAF">
        <w:rPr>
          <w:rFonts w:ascii="Garamond" w:hAnsi="Garamond"/>
          <w:sz w:val="24"/>
          <w:szCs w:val="24"/>
        </w:rPr>
        <w:instrText xml:space="preserve"> SEQ Figure \* ARABIC </w:instrText>
      </w:r>
      <w:r w:rsidRPr="00983BAF">
        <w:rPr>
          <w:rFonts w:ascii="Garamond" w:hAnsi="Garamond"/>
          <w:sz w:val="24"/>
          <w:szCs w:val="24"/>
        </w:rPr>
        <w:fldChar w:fldCharType="separate"/>
      </w:r>
      <w:r w:rsidR="008F1E38">
        <w:rPr>
          <w:rFonts w:ascii="Garamond" w:hAnsi="Garamond"/>
          <w:noProof/>
          <w:sz w:val="24"/>
          <w:szCs w:val="24"/>
        </w:rPr>
        <w:t>5</w:t>
      </w:r>
      <w:r w:rsidRPr="00983BAF">
        <w:rPr>
          <w:rFonts w:ascii="Garamond" w:hAnsi="Garamond"/>
          <w:sz w:val="24"/>
          <w:szCs w:val="24"/>
        </w:rPr>
        <w:fldChar w:fldCharType="end"/>
      </w:r>
      <w:r w:rsidRPr="00983BAF">
        <w:rPr>
          <w:rFonts w:ascii="Garamond" w:hAnsi="Garamond"/>
          <w:sz w:val="24"/>
          <w:szCs w:val="24"/>
        </w:rPr>
        <w:t xml:space="preserve">: </w:t>
      </w:r>
      <w:r w:rsidRPr="00983BAF">
        <w:rPr>
          <w:rFonts w:ascii="Garamond" w:hAnsi="Garamond"/>
          <w:i w:val="0"/>
          <w:sz w:val="24"/>
          <w:szCs w:val="24"/>
        </w:rPr>
        <w:t xml:space="preserve">Comparisons of the money market rate in New York with the average of central bank’s discount rates and money market rates in core countries with a central bank (Germany, Belgium, Netherlands, Austria, France; England is excluded). </w:t>
      </w:r>
      <w:r w:rsidR="00195D62" w:rsidRPr="00983BAF">
        <w:rPr>
          <w:rFonts w:ascii="Garamond" w:hAnsi="Garamond"/>
          <w:i w:val="0"/>
          <w:sz w:val="24"/>
          <w:szCs w:val="24"/>
        </w:rPr>
        <w:t xml:space="preserve">1890 – 1913. </w:t>
      </w:r>
      <w:r w:rsidRPr="00983BAF">
        <w:rPr>
          <w:rFonts w:ascii="Garamond" w:hAnsi="Garamond"/>
          <w:i w:val="0"/>
          <w:sz w:val="24"/>
          <w:szCs w:val="24"/>
        </w:rPr>
        <w:t>End of the month values.</w:t>
      </w:r>
    </w:p>
    <w:p w14:paraId="69A0EC4E" w14:textId="6D2C6829" w:rsidR="00CA2C7F" w:rsidRDefault="003E2CE4" w:rsidP="00A7467D">
      <w:pPr>
        <w:rPr>
          <w:rFonts w:ascii="Garamond" w:hAnsi="Garamond"/>
          <w:sz w:val="20"/>
          <w:szCs w:val="20"/>
        </w:rPr>
      </w:pPr>
      <w:r w:rsidRPr="00983BAF">
        <w:rPr>
          <w:rFonts w:ascii="Garamond" w:hAnsi="Garamond"/>
          <w:sz w:val="20"/>
          <w:szCs w:val="20"/>
        </w:rPr>
        <w:t>Sources: Neal and Weidenmier (2003)</w:t>
      </w:r>
    </w:p>
    <w:p w14:paraId="5BA4E407" w14:textId="07B9C6B7" w:rsidR="00793308" w:rsidRDefault="00793308" w:rsidP="00A7467D">
      <w:pPr>
        <w:rPr>
          <w:rFonts w:ascii="Garamond" w:hAnsi="Garamond"/>
          <w:sz w:val="20"/>
          <w:szCs w:val="20"/>
        </w:rPr>
      </w:pPr>
    </w:p>
    <w:p w14:paraId="7D092122" w14:textId="0210E15A" w:rsidR="00793308" w:rsidRDefault="00793308" w:rsidP="00A7467D">
      <w:pPr>
        <w:rPr>
          <w:rFonts w:ascii="Garamond" w:hAnsi="Garamond"/>
          <w:sz w:val="20"/>
          <w:szCs w:val="20"/>
        </w:rPr>
      </w:pPr>
    </w:p>
    <w:p w14:paraId="5CA1D963" w14:textId="77777777" w:rsidR="00793308" w:rsidRDefault="00793308" w:rsidP="00A7467D">
      <w:pPr>
        <w:rPr>
          <w:rFonts w:ascii="Garamond" w:hAnsi="Garamond"/>
          <w:sz w:val="20"/>
          <w:szCs w:val="20"/>
        </w:rPr>
      </w:pPr>
    </w:p>
    <w:p w14:paraId="1A6C3813" w14:textId="77777777" w:rsidR="00793308" w:rsidRPr="00A7467D" w:rsidRDefault="00793308" w:rsidP="00A7467D">
      <w:pPr>
        <w:rPr>
          <w:rFonts w:ascii="Garamond" w:hAnsi="Garamond"/>
          <w:sz w:val="20"/>
          <w:szCs w:val="20"/>
        </w:rPr>
      </w:pPr>
    </w:p>
    <w:p w14:paraId="33564B3C" w14:textId="13A4FE43" w:rsidR="00224ED6" w:rsidRPr="00983BAF" w:rsidRDefault="00983BAF" w:rsidP="00224ED6">
      <w:pPr>
        <w:pStyle w:val="Heading1"/>
        <w:rPr>
          <w:rFonts w:ascii="Garamond" w:hAnsi="Garamond"/>
        </w:rPr>
      </w:pPr>
      <w:bookmarkStart w:id="17" w:name="_Toc2521987"/>
      <w:r>
        <w:rPr>
          <w:rFonts w:ascii="Garamond" w:hAnsi="Garamond"/>
        </w:rPr>
        <w:t>Discussion</w:t>
      </w:r>
      <w:r w:rsidR="008C0331">
        <w:rPr>
          <w:rFonts w:ascii="Garamond" w:hAnsi="Garamond"/>
        </w:rPr>
        <w:t xml:space="preserve"> of endogeneity and robustness checks</w:t>
      </w:r>
      <w:bookmarkEnd w:id="17"/>
    </w:p>
    <w:p w14:paraId="5C60FBB7" w14:textId="01D51CD2" w:rsidR="00224ED6" w:rsidRPr="00983BAF" w:rsidRDefault="00224ED6" w:rsidP="00224ED6">
      <w:pPr>
        <w:rPr>
          <w:rFonts w:ascii="Garamond" w:hAnsi="Garamond"/>
          <w:lang w:val="en-US" w:eastAsia="en-US"/>
        </w:rPr>
      </w:pPr>
    </w:p>
    <w:p w14:paraId="65EF978F" w14:textId="4E2679CD" w:rsidR="004D7B07" w:rsidRDefault="00E94F81" w:rsidP="00C96225">
      <w:pPr>
        <w:spacing w:line="360" w:lineRule="auto"/>
        <w:jc w:val="both"/>
        <w:rPr>
          <w:rFonts w:ascii="Garamond" w:hAnsi="Garamond"/>
        </w:rPr>
      </w:pPr>
      <w:r>
        <w:rPr>
          <w:rFonts w:ascii="Garamond" w:hAnsi="Garamond"/>
          <w:lang w:val="en-US" w:eastAsia="en-US"/>
        </w:rPr>
        <w:t>S</w:t>
      </w:r>
      <w:r w:rsidR="00983BAF" w:rsidRPr="00983BAF">
        <w:rPr>
          <w:rFonts w:ascii="Garamond" w:hAnsi="Garamond"/>
          <w:lang w:val="en-US" w:eastAsia="en-US"/>
        </w:rPr>
        <w:t xml:space="preserve">o far </w:t>
      </w:r>
      <w:r>
        <w:rPr>
          <w:rFonts w:ascii="Garamond" w:hAnsi="Garamond"/>
          <w:lang w:val="en-US" w:eastAsia="en-US"/>
        </w:rPr>
        <w:t xml:space="preserve">we used </w:t>
      </w:r>
      <w:r w:rsidR="00983BAF" w:rsidRPr="00983BAF">
        <w:rPr>
          <w:rFonts w:ascii="Garamond" w:hAnsi="Garamond"/>
          <w:lang w:val="en-US" w:eastAsia="en-US"/>
        </w:rPr>
        <w:t>the change in the BoE discount rate to estimate central banks reaction to an international shock.</w:t>
      </w:r>
      <w:r w:rsidR="00B55153">
        <w:rPr>
          <w:rFonts w:ascii="Garamond" w:hAnsi="Garamond"/>
          <w:lang w:val="en-US" w:eastAsia="en-US"/>
        </w:rPr>
        <w:t xml:space="preserve"> </w:t>
      </w:r>
      <w:r w:rsidR="000A7B27">
        <w:rPr>
          <w:rFonts w:ascii="Garamond" w:hAnsi="Garamond"/>
        </w:rPr>
        <w:t>For our identification to be reliable, the increase in the English rate should be exogenous to the behaviour of other central banks. Several</w:t>
      </w:r>
      <w:r w:rsidR="00D27DD9">
        <w:rPr>
          <w:rFonts w:ascii="Garamond" w:hAnsi="Garamond"/>
        </w:rPr>
        <w:t xml:space="preserve"> authors have shown that </w:t>
      </w:r>
      <w:r w:rsidR="000A7B27">
        <w:rPr>
          <w:rFonts w:ascii="Garamond" w:hAnsi="Garamond"/>
        </w:rPr>
        <w:t>the BoE was first to move its rate among the other important central banks (Lindert 1969, Eichengreen 1987, Morys 2013, Bazot et al. 2016).</w:t>
      </w:r>
      <w:r w:rsidR="008C0331">
        <w:rPr>
          <w:rFonts w:ascii="Garamond" w:hAnsi="Garamond"/>
        </w:rPr>
        <w:t xml:space="preserve"> A change in the interest rate of the Bank of England was not sufficient to lead to changes in the rates of other central banks. But it was a necessary condition.</w:t>
      </w:r>
      <w:r w:rsidR="004D7B07">
        <w:rPr>
          <w:rFonts w:ascii="Garamond" w:hAnsi="Garamond"/>
        </w:rPr>
        <w:t xml:space="preserve"> A recent literature relies on this assumption to identify monetary policy shocks in a number of countries (Jorda, Schularick &amp; Taylor </w:t>
      </w:r>
      <w:r w:rsidR="00616F25">
        <w:rPr>
          <w:rFonts w:ascii="Garamond" w:hAnsi="Garamond"/>
        </w:rPr>
        <w:t xml:space="preserve">2015, </w:t>
      </w:r>
      <w:r w:rsidR="004D7B07">
        <w:rPr>
          <w:rFonts w:ascii="Garamond" w:hAnsi="Garamond"/>
        </w:rPr>
        <w:t xml:space="preserve">2019). These authors call the </w:t>
      </w:r>
      <w:r w:rsidR="004D7B07" w:rsidRPr="004D7B07">
        <w:rPr>
          <w:rFonts w:ascii="Garamond" w:hAnsi="Garamond"/>
          <w:i/>
        </w:rPr>
        <w:t>trilemma instrument</w:t>
      </w:r>
      <w:r w:rsidR="004D7B07">
        <w:rPr>
          <w:rFonts w:ascii="Garamond" w:hAnsi="Garamond"/>
        </w:rPr>
        <w:t xml:space="preserve"> the identification that, in a fixed exchange rate regime, the interest rate of the leading central bank (England in the case of the classical gold standard) determines exogenously the interest rates of other central banks.</w:t>
      </w:r>
    </w:p>
    <w:p w14:paraId="2FB35C49" w14:textId="2455FD9E" w:rsidR="008C0331" w:rsidRDefault="004D7B07" w:rsidP="00C96225">
      <w:pPr>
        <w:spacing w:line="360" w:lineRule="auto"/>
        <w:jc w:val="both"/>
        <w:rPr>
          <w:rFonts w:ascii="Garamond" w:hAnsi="Garamond"/>
        </w:rPr>
      </w:pPr>
      <w:r>
        <w:rPr>
          <w:rFonts w:ascii="Garamond" w:hAnsi="Garamond"/>
        </w:rPr>
        <w:t xml:space="preserve"> </w:t>
      </w:r>
      <w:r>
        <w:rPr>
          <w:rFonts w:ascii="Garamond" w:hAnsi="Garamond"/>
        </w:rPr>
        <w:tab/>
        <w:t xml:space="preserve">Let us discuss, however, how our results would be affected if the </w:t>
      </w:r>
      <w:r w:rsidR="000A7B27">
        <w:rPr>
          <w:rFonts w:ascii="Garamond" w:hAnsi="Garamond"/>
        </w:rPr>
        <w:t xml:space="preserve">changes in the </w:t>
      </w:r>
      <w:r>
        <w:rPr>
          <w:rFonts w:ascii="Garamond" w:hAnsi="Garamond"/>
        </w:rPr>
        <w:t>English discount rate takes</w:t>
      </w:r>
      <w:r w:rsidR="000A7B27">
        <w:rPr>
          <w:rFonts w:ascii="Garamond" w:hAnsi="Garamond"/>
        </w:rPr>
        <w:t xml:space="preserve"> place in reaction to changes in English domestic variables that would be correlated with international factors.</w:t>
      </w:r>
      <w:r w:rsidR="000A7B27">
        <w:rPr>
          <w:rFonts w:ascii="Garamond" w:hAnsi="Garamond"/>
          <w:lang w:val="en-US" w:eastAsia="en-US"/>
        </w:rPr>
        <w:t xml:space="preserve"> </w:t>
      </w:r>
      <w:r w:rsidR="00050650">
        <w:rPr>
          <w:rFonts w:ascii="Garamond" w:hAnsi="Garamond"/>
        </w:rPr>
        <w:t>This might be the case for three reasons. First, if the BoE changes its discount rate in reaction to gold outflows, this should coincide with international reserves increase in other central banks balance sheet. This would underestimate the effect of the s</w:t>
      </w:r>
      <w:r w:rsidR="00D27DD9">
        <w:rPr>
          <w:rFonts w:ascii="Garamond" w:hAnsi="Garamond"/>
        </w:rPr>
        <w:t>hock on the international portfolio</w:t>
      </w:r>
      <w:r w:rsidR="00050650">
        <w:rPr>
          <w:rFonts w:ascii="Garamond" w:hAnsi="Garamond"/>
        </w:rPr>
        <w:t>. Second, the same reasoning</w:t>
      </w:r>
      <w:r w:rsidR="00D27DD9">
        <w:rPr>
          <w:rFonts w:ascii="Garamond" w:hAnsi="Garamond"/>
        </w:rPr>
        <w:t xml:space="preserve"> applies if the BoE react to a</w:t>
      </w:r>
      <w:r w:rsidR="00050650">
        <w:rPr>
          <w:rFonts w:ascii="Garamond" w:hAnsi="Garamond"/>
        </w:rPr>
        <w:t xml:space="preserve"> depreciation of the £ compared to other currencies. </w:t>
      </w:r>
      <w:r w:rsidR="008C0331">
        <w:rPr>
          <w:rFonts w:ascii="Garamond" w:hAnsi="Garamond"/>
        </w:rPr>
        <w:t xml:space="preserve"> Then we would underestimate the depreciation of foreign exchange rate in reaction to a English monetary policy shock.</w:t>
      </w:r>
      <w:r w:rsidR="00050650">
        <w:rPr>
          <w:rFonts w:ascii="Garamond" w:hAnsi="Garamond"/>
        </w:rPr>
        <w:t xml:space="preserve"> </w:t>
      </w:r>
      <w:r w:rsidR="00C96225">
        <w:rPr>
          <w:rFonts w:ascii="Garamond" w:hAnsi="Garamond"/>
        </w:rPr>
        <w:t xml:space="preserve">Third, </w:t>
      </w:r>
      <w:r w:rsidR="008C0331">
        <w:rPr>
          <w:rFonts w:ascii="Garamond" w:hAnsi="Garamond"/>
        </w:rPr>
        <w:t>i</w:t>
      </w:r>
      <w:r w:rsidR="00C96225" w:rsidRPr="00C96225">
        <w:rPr>
          <w:rFonts w:ascii="Garamond" w:hAnsi="Garamond"/>
        </w:rPr>
        <w:t xml:space="preserve">f the BoE increases its discount rate in response to inflationary demand pressures (high growth), and if there is a common international business cycle, then the positive response of the domestic portfolio of foreign central banks </w:t>
      </w:r>
      <w:r w:rsidR="008C0331">
        <w:rPr>
          <w:rFonts w:ascii="Garamond" w:hAnsi="Garamond"/>
        </w:rPr>
        <w:t>may in fact reflect the positive international business cycle that the BoE is responding to</w:t>
      </w:r>
      <w:r w:rsidR="00C96225" w:rsidRPr="00C96225">
        <w:rPr>
          <w:rFonts w:ascii="Garamond" w:hAnsi="Garamond"/>
        </w:rPr>
        <w:t>.</w:t>
      </w:r>
      <w:r w:rsidR="008C0331">
        <w:rPr>
          <w:rFonts w:ascii="Garamond" w:hAnsi="Garamond"/>
        </w:rPr>
        <w:t xml:space="preserve"> In this case, we would overestimate the reaction of the domestic portfolio to an English monetary policy shock.</w:t>
      </w:r>
      <w:r w:rsidR="00C96225">
        <w:rPr>
          <w:rFonts w:ascii="Garamond" w:hAnsi="Garamond"/>
        </w:rPr>
        <w:t xml:space="preserve"> </w:t>
      </w:r>
    </w:p>
    <w:p w14:paraId="19368A98" w14:textId="2FFCCD7B" w:rsidR="00050650" w:rsidRPr="000A7B27" w:rsidRDefault="008C0331" w:rsidP="008C0331">
      <w:pPr>
        <w:spacing w:line="360" w:lineRule="auto"/>
        <w:ind w:firstLine="720"/>
        <w:jc w:val="both"/>
        <w:rPr>
          <w:rFonts w:ascii="Garamond" w:hAnsi="Garamond"/>
          <w:lang w:val="en-US" w:eastAsia="en-US"/>
        </w:rPr>
      </w:pPr>
      <w:r>
        <w:rPr>
          <w:rFonts w:ascii="Garamond" w:hAnsi="Garamond"/>
          <w:lang w:eastAsia="en-US"/>
        </w:rPr>
        <w:t>W</w:t>
      </w:r>
      <w:r w:rsidR="00C96225">
        <w:rPr>
          <w:rFonts w:ascii="Garamond" w:hAnsi="Garamond"/>
          <w:lang w:val="en-US" w:eastAsia="en-US"/>
        </w:rPr>
        <w:t xml:space="preserve">e </w:t>
      </w:r>
      <w:r>
        <w:rPr>
          <w:rFonts w:ascii="Garamond" w:hAnsi="Garamond"/>
          <w:lang w:val="en-US" w:eastAsia="en-US"/>
        </w:rPr>
        <w:t>believe</w:t>
      </w:r>
      <w:r w:rsidR="00C96225">
        <w:rPr>
          <w:rFonts w:ascii="Garamond" w:hAnsi="Garamond"/>
          <w:lang w:val="en-US" w:eastAsia="en-US"/>
        </w:rPr>
        <w:t xml:space="preserve"> </w:t>
      </w:r>
      <w:r w:rsidR="007B214A">
        <w:rPr>
          <w:rFonts w:ascii="Garamond" w:hAnsi="Garamond"/>
          <w:lang w:val="en-US" w:eastAsia="en-US"/>
        </w:rPr>
        <w:t>that those issues do not significantly</w:t>
      </w:r>
      <w:r w:rsidR="00C96225">
        <w:rPr>
          <w:rFonts w:ascii="Garamond" w:hAnsi="Garamond"/>
          <w:lang w:val="en-US" w:eastAsia="en-US"/>
        </w:rPr>
        <w:t xml:space="preserve"> </w:t>
      </w:r>
      <w:r w:rsidR="007B214A">
        <w:rPr>
          <w:rFonts w:ascii="Garamond" w:hAnsi="Garamond"/>
          <w:lang w:val="en-US" w:eastAsia="en-US"/>
        </w:rPr>
        <w:t>affect our results. As a matter of fact,</w:t>
      </w:r>
      <w:r w:rsidR="00050650">
        <w:rPr>
          <w:rFonts w:ascii="Garamond" w:hAnsi="Garamond"/>
          <w:lang w:val="en-US" w:eastAsia="en-US"/>
        </w:rPr>
        <w:t xml:space="preserve"> </w:t>
      </w:r>
      <w:r w:rsidR="00050650">
        <w:rPr>
          <w:rFonts w:ascii="Garamond" w:hAnsi="Garamond"/>
        </w:rPr>
        <w:t>each group of counties</w:t>
      </w:r>
      <w:r w:rsidR="00050650" w:rsidRPr="00983BAF">
        <w:rPr>
          <w:rFonts w:ascii="Garamond" w:hAnsi="Garamond"/>
        </w:rPr>
        <w:t xml:space="preserve"> react </w:t>
      </w:r>
      <w:r w:rsidR="00050650">
        <w:rPr>
          <w:rFonts w:ascii="Garamond" w:hAnsi="Garamond"/>
        </w:rPr>
        <w:t>differently to the</w:t>
      </w:r>
      <w:r w:rsidR="007B214A">
        <w:rPr>
          <w:rFonts w:ascii="Garamond" w:hAnsi="Garamond"/>
        </w:rPr>
        <w:t xml:space="preserve"> same</w:t>
      </w:r>
      <w:r w:rsidR="00050650">
        <w:rPr>
          <w:rFonts w:ascii="Garamond" w:hAnsi="Garamond"/>
        </w:rPr>
        <w:t xml:space="preserve"> BoE shock. This</w:t>
      </w:r>
      <w:r w:rsidR="00050650" w:rsidRPr="00983BAF">
        <w:rPr>
          <w:rFonts w:ascii="Garamond" w:hAnsi="Garamond"/>
        </w:rPr>
        <w:t xml:space="preserve"> suggests that there </w:t>
      </w:r>
      <w:r w:rsidR="00050650">
        <w:rPr>
          <w:rFonts w:ascii="Garamond" w:hAnsi="Garamond"/>
        </w:rPr>
        <w:t>is no systematic bias driving</w:t>
      </w:r>
      <w:r w:rsidR="00050650" w:rsidRPr="00983BAF">
        <w:rPr>
          <w:rFonts w:ascii="Garamond" w:hAnsi="Garamond"/>
        </w:rPr>
        <w:t xml:space="preserve"> the results towards one unique conclusion. </w:t>
      </w:r>
      <w:r w:rsidR="00050650">
        <w:rPr>
          <w:rFonts w:ascii="Garamond" w:hAnsi="Garamond"/>
        </w:rPr>
        <w:t>Second</w:t>
      </w:r>
      <w:r w:rsidR="00050650" w:rsidRPr="00983BAF">
        <w:rPr>
          <w:rFonts w:ascii="Garamond" w:hAnsi="Garamond"/>
        </w:rPr>
        <w:t>, if</w:t>
      </w:r>
      <w:r w:rsidR="00050650">
        <w:rPr>
          <w:rFonts w:ascii="Garamond" w:hAnsi="Garamond"/>
        </w:rPr>
        <w:t xml:space="preserve"> one assumes that an</w:t>
      </w:r>
      <w:r w:rsidR="00050650" w:rsidRPr="00983BAF">
        <w:rPr>
          <w:rFonts w:ascii="Garamond" w:hAnsi="Garamond"/>
        </w:rPr>
        <w:t xml:space="preserve"> internati</w:t>
      </w:r>
      <w:r w:rsidR="00050650">
        <w:rPr>
          <w:rFonts w:ascii="Garamond" w:hAnsi="Garamond"/>
        </w:rPr>
        <w:t xml:space="preserve">onal business cycle </w:t>
      </w:r>
      <w:r w:rsidR="007B214A">
        <w:rPr>
          <w:rFonts w:ascii="Garamond" w:hAnsi="Garamond"/>
        </w:rPr>
        <w:t>is at work</w:t>
      </w:r>
      <w:r w:rsidR="00050650" w:rsidRPr="00983BAF">
        <w:rPr>
          <w:rFonts w:ascii="Garamond" w:hAnsi="Garamond"/>
        </w:rPr>
        <w:t>, its f</w:t>
      </w:r>
      <w:r w:rsidR="00050650">
        <w:rPr>
          <w:rFonts w:ascii="Garamond" w:hAnsi="Garamond"/>
        </w:rPr>
        <w:t>requency was surely not of one or two</w:t>
      </w:r>
      <w:r w:rsidR="00050650" w:rsidRPr="00983BAF">
        <w:rPr>
          <w:rFonts w:ascii="Garamond" w:hAnsi="Garamond"/>
        </w:rPr>
        <w:t xml:space="preserve"> months. In our LP, the response of the domestic portfolio is a very short term reaction, not a hump shaped reaction function t</w:t>
      </w:r>
      <w:r w:rsidR="00050650">
        <w:rPr>
          <w:rFonts w:ascii="Garamond" w:hAnsi="Garamond"/>
        </w:rPr>
        <w:t>hat would suggest a common mid-</w:t>
      </w:r>
      <w:r w:rsidR="00050650" w:rsidRPr="00983BAF">
        <w:rPr>
          <w:rFonts w:ascii="Garamond" w:hAnsi="Garamond"/>
        </w:rPr>
        <w:t>term cycle across countries.</w:t>
      </w:r>
      <w:r w:rsidR="00050650">
        <w:rPr>
          <w:rFonts w:ascii="Garamond" w:hAnsi="Garamond"/>
        </w:rPr>
        <w:t xml:space="preserve"> </w:t>
      </w:r>
    </w:p>
    <w:p w14:paraId="72E82E47" w14:textId="24B947BB" w:rsidR="000A7B27" w:rsidRDefault="005A32F2" w:rsidP="000A7B27">
      <w:pPr>
        <w:spacing w:line="360" w:lineRule="auto"/>
        <w:ind w:firstLine="720"/>
        <w:jc w:val="both"/>
        <w:rPr>
          <w:rFonts w:ascii="Garamond" w:hAnsi="Garamond"/>
        </w:rPr>
      </w:pPr>
      <w:r>
        <w:rPr>
          <w:rFonts w:ascii="Garamond" w:hAnsi="Garamond"/>
        </w:rPr>
        <w:t>In order to address those issues</w:t>
      </w:r>
      <w:r w:rsidR="008C0331">
        <w:rPr>
          <w:rFonts w:ascii="Garamond" w:hAnsi="Garamond"/>
        </w:rPr>
        <w:t xml:space="preserve"> with econometric robustness checks,</w:t>
      </w:r>
      <w:r>
        <w:rPr>
          <w:rFonts w:ascii="Garamond" w:hAnsi="Garamond"/>
        </w:rPr>
        <w:t xml:space="preserve"> </w:t>
      </w:r>
      <w:r w:rsidR="000A7B27">
        <w:rPr>
          <w:rFonts w:ascii="Garamond" w:hAnsi="Garamond"/>
        </w:rPr>
        <w:t xml:space="preserve">we follow Lennard (2018) who build a series of exogenous English monetary shocks during this period, in the spirit of the narrative approach of Romer and Romer (2004). </w:t>
      </w:r>
      <w:r w:rsidR="000A7B27" w:rsidRPr="00C63589">
        <w:rPr>
          <w:rFonts w:ascii="Garamond" w:hAnsi="Garamond"/>
        </w:rPr>
        <w:t>To build a monetary shock, Lennard proposed to purge the series from the endogenous component of monetary policy changes. As such, the residual of a regressio</w:t>
      </w:r>
      <w:r w:rsidR="000A7B27">
        <w:rPr>
          <w:rFonts w:ascii="Garamond" w:hAnsi="Garamond"/>
        </w:rPr>
        <w:t>n explaining the BoE</w:t>
      </w:r>
      <w:r w:rsidR="000A7B27" w:rsidRPr="00C63589">
        <w:rPr>
          <w:rFonts w:ascii="Garamond" w:hAnsi="Garamond"/>
        </w:rPr>
        <w:t xml:space="preserve"> discount rate</w:t>
      </w:r>
      <w:r w:rsidR="000A7B27">
        <w:rPr>
          <w:rFonts w:ascii="Garamond" w:hAnsi="Garamond"/>
        </w:rPr>
        <w:t xml:space="preserve"> by the BoE gold stock change</w:t>
      </w:r>
      <w:r w:rsidR="001E5E3B">
        <w:rPr>
          <w:rFonts w:ascii="Garamond" w:hAnsi="Garamond"/>
        </w:rPr>
        <w:t>, the wheat price inflation rate,</w:t>
      </w:r>
      <w:r w:rsidR="000A7B27">
        <w:rPr>
          <w:rFonts w:ascii="Garamond" w:hAnsi="Garamond"/>
        </w:rPr>
        <w:t xml:space="preserve"> and the exchange rate change</w:t>
      </w:r>
      <w:r w:rsidR="001E5E3B">
        <w:rPr>
          <w:rFonts w:ascii="Garamond" w:hAnsi="Garamond"/>
        </w:rPr>
        <w:t xml:space="preserve"> with M. and Ff.</w:t>
      </w:r>
      <w:r w:rsidR="000A7B27">
        <w:rPr>
          <w:rFonts w:ascii="Garamond" w:hAnsi="Garamond"/>
        </w:rPr>
        <w:t xml:space="preserve"> among other variables</w:t>
      </w:r>
      <w:r w:rsidR="000A7B27" w:rsidRPr="00C63589">
        <w:rPr>
          <w:rFonts w:ascii="Garamond" w:hAnsi="Garamond"/>
        </w:rPr>
        <w:t xml:space="preserve"> is used as a measure of exogenous monetary policy shocks. In other words, the monetary policy shocks series is the deviations of the Bank of England's discount rate from the average response to current macroeconomic conditions.</w:t>
      </w:r>
      <w:r w:rsidR="000A7B27">
        <w:rPr>
          <w:rFonts w:ascii="Garamond" w:hAnsi="Garamond"/>
        </w:rPr>
        <w:t xml:space="preserve"> </w:t>
      </w:r>
      <w:r w:rsidR="001E5E3B">
        <w:rPr>
          <w:rFonts w:ascii="Garamond" w:hAnsi="Garamond"/>
        </w:rPr>
        <w:t>Figures 6 to 9 displays LP results with monetary shock instead of BoE discount rate variation. The results appear very similar to those produced in figure 1 to 4, confirming the lack of endogenous biases affecting our estimations. However, one might still expect some effect of the economic cycle. The appendix to</w:t>
      </w:r>
      <w:r w:rsidR="000F39EF">
        <w:rPr>
          <w:rFonts w:ascii="Garamond" w:hAnsi="Garamond"/>
        </w:rPr>
        <w:t xml:space="preserve"> this paper address this issue</w:t>
      </w:r>
      <w:r w:rsidR="001E5E3B">
        <w:rPr>
          <w:rFonts w:ascii="Garamond" w:hAnsi="Garamond"/>
        </w:rPr>
        <w:t xml:space="preserve"> adding railways bills</w:t>
      </w:r>
      <w:r w:rsidR="000F39EF">
        <w:rPr>
          <w:rFonts w:ascii="Garamond" w:hAnsi="Garamond"/>
        </w:rPr>
        <w:t xml:space="preserve"> into LP estimation</w:t>
      </w:r>
      <w:r w:rsidR="001E5E3B">
        <w:rPr>
          <w:rFonts w:ascii="Garamond" w:hAnsi="Garamond"/>
        </w:rPr>
        <w:t xml:space="preserve"> as a proxy of the UK business cycle. Results remain unchanged</w:t>
      </w:r>
      <w:r w:rsidR="00766312">
        <w:rPr>
          <w:rFonts w:ascii="Garamond" w:hAnsi="Garamond"/>
        </w:rPr>
        <w:t xml:space="preserve"> (see figure A3)</w:t>
      </w:r>
      <w:r w:rsidR="001E5E3B">
        <w:rPr>
          <w:rFonts w:ascii="Garamond" w:hAnsi="Garamond"/>
        </w:rPr>
        <w:t xml:space="preserve">. </w:t>
      </w:r>
    </w:p>
    <w:p w14:paraId="7466785E" w14:textId="510FCB8C" w:rsidR="00AB3B80" w:rsidRDefault="00AB3B80" w:rsidP="00AB3B80">
      <w:pPr>
        <w:spacing w:line="360" w:lineRule="auto"/>
        <w:jc w:val="both"/>
        <w:rPr>
          <w:rFonts w:ascii="Garamond" w:hAnsi="Garamond"/>
        </w:rPr>
      </w:pPr>
    </w:p>
    <w:p w14:paraId="51956302" w14:textId="74FF4F7F" w:rsidR="00AB3B80" w:rsidRDefault="00AB3B80" w:rsidP="00AB3B80">
      <w:pPr>
        <w:spacing w:line="360" w:lineRule="auto"/>
        <w:jc w:val="both"/>
        <w:rPr>
          <w:rFonts w:ascii="Garamond" w:hAnsi="Garamond"/>
        </w:rPr>
      </w:pPr>
      <w:r w:rsidRPr="00AB3B80">
        <w:rPr>
          <w:rFonts w:ascii="Garamond" w:hAnsi="Garamond"/>
          <w:noProof/>
        </w:rPr>
        <w:drawing>
          <wp:inline distT="0" distB="0" distL="0" distR="0" wp14:anchorId="17FB0C40" wp14:editId="7CCDADFA">
            <wp:extent cx="5600700" cy="394716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00700" cy="3947160"/>
                    </a:xfrm>
                    <a:prstGeom prst="rect">
                      <a:avLst/>
                    </a:prstGeom>
                    <a:noFill/>
                    <a:ln>
                      <a:noFill/>
                    </a:ln>
                  </pic:spPr>
                </pic:pic>
              </a:graphicData>
            </a:graphic>
          </wp:inline>
        </w:drawing>
      </w:r>
    </w:p>
    <w:p w14:paraId="795F3C5F" w14:textId="7897C07D" w:rsidR="00084FF2" w:rsidRPr="00793308" w:rsidRDefault="00AB3B80" w:rsidP="00793308">
      <w:pPr>
        <w:spacing w:line="360" w:lineRule="auto"/>
        <w:jc w:val="center"/>
        <w:rPr>
          <w:i/>
          <w:color w:val="365F91" w:themeColor="accent1" w:themeShade="BF"/>
        </w:rPr>
      </w:pPr>
      <w:r w:rsidRPr="00EE164F">
        <w:rPr>
          <w:i/>
          <w:color w:val="365F91" w:themeColor="accent1" w:themeShade="BF"/>
        </w:rPr>
        <w:t>Figure 6</w:t>
      </w:r>
      <w:r w:rsidRPr="00EE164F">
        <w:rPr>
          <w:color w:val="365F91" w:themeColor="accent1" w:themeShade="BF"/>
        </w:rPr>
        <w:t>: The reaction of central banks in core countries to a BoE monetary shock</w:t>
      </w:r>
    </w:p>
    <w:p w14:paraId="4F96C4DF" w14:textId="3F20B9DF" w:rsidR="00084FF2" w:rsidRPr="00C63589" w:rsidRDefault="00084FF2" w:rsidP="00084FF2">
      <w:pPr>
        <w:spacing w:line="360" w:lineRule="auto"/>
        <w:jc w:val="both"/>
        <w:rPr>
          <w:rFonts w:ascii="Garamond" w:hAnsi="Garamond"/>
        </w:rPr>
      </w:pPr>
      <w:r w:rsidRPr="00084FF2">
        <w:rPr>
          <w:rFonts w:ascii="Garamond" w:hAnsi="Garamond"/>
          <w:noProof/>
        </w:rPr>
        <w:drawing>
          <wp:inline distT="0" distB="0" distL="0" distR="0" wp14:anchorId="34D73174" wp14:editId="71B095F8">
            <wp:extent cx="5722620" cy="394716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2620" cy="3947160"/>
                    </a:xfrm>
                    <a:prstGeom prst="rect">
                      <a:avLst/>
                    </a:prstGeom>
                    <a:noFill/>
                    <a:ln>
                      <a:noFill/>
                    </a:ln>
                  </pic:spPr>
                </pic:pic>
              </a:graphicData>
            </a:graphic>
          </wp:inline>
        </w:drawing>
      </w:r>
    </w:p>
    <w:p w14:paraId="4760FB91" w14:textId="157AB339" w:rsidR="00AB3B80" w:rsidRPr="00EE164F" w:rsidRDefault="00084FF2" w:rsidP="00AB3B80">
      <w:pPr>
        <w:spacing w:line="360" w:lineRule="auto"/>
        <w:jc w:val="center"/>
        <w:rPr>
          <w:i/>
          <w:color w:val="365F91" w:themeColor="accent1" w:themeShade="BF"/>
        </w:rPr>
      </w:pPr>
      <w:r w:rsidRPr="00EE164F">
        <w:rPr>
          <w:i/>
          <w:color w:val="365F91" w:themeColor="accent1" w:themeShade="BF"/>
        </w:rPr>
        <w:t xml:space="preserve">Figure </w:t>
      </w:r>
      <w:r w:rsidR="00AB3B80" w:rsidRPr="00EE164F">
        <w:rPr>
          <w:i/>
          <w:color w:val="365F91" w:themeColor="accent1" w:themeShade="BF"/>
        </w:rPr>
        <w:t>7</w:t>
      </w:r>
      <w:r w:rsidRPr="00EE164F">
        <w:rPr>
          <w:color w:val="365F91" w:themeColor="accent1" w:themeShade="BF"/>
        </w:rPr>
        <w:t>: The reaction of central banks in peripheral count</w:t>
      </w:r>
      <w:r w:rsidR="00AB3B80" w:rsidRPr="00EE164F">
        <w:rPr>
          <w:color w:val="365F91" w:themeColor="accent1" w:themeShade="BF"/>
        </w:rPr>
        <w:t>ries to a</w:t>
      </w:r>
      <w:r w:rsidRPr="00EE164F">
        <w:rPr>
          <w:color w:val="365F91" w:themeColor="accent1" w:themeShade="BF"/>
        </w:rPr>
        <w:t xml:space="preserve"> </w:t>
      </w:r>
      <w:r w:rsidR="00AB3B80" w:rsidRPr="00EE164F">
        <w:rPr>
          <w:color w:val="365F91" w:themeColor="accent1" w:themeShade="BF"/>
        </w:rPr>
        <w:t xml:space="preserve">BoE </w:t>
      </w:r>
      <w:r w:rsidRPr="00EE164F">
        <w:rPr>
          <w:color w:val="365F91" w:themeColor="accent1" w:themeShade="BF"/>
        </w:rPr>
        <w:t>monetary shock</w:t>
      </w:r>
    </w:p>
    <w:p w14:paraId="1F3A5B84" w14:textId="66FAB155" w:rsidR="00AB3B80" w:rsidRPr="00AB3B80" w:rsidRDefault="009A0D5C" w:rsidP="00EE164F">
      <w:pPr>
        <w:jc w:val="both"/>
      </w:pPr>
      <w:r w:rsidRPr="009A0D5C">
        <w:rPr>
          <w:noProof/>
        </w:rPr>
        <w:drawing>
          <wp:inline distT="0" distB="0" distL="0" distR="0" wp14:anchorId="275912DE" wp14:editId="3619BB5A">
            <wp:extent cx="5646420" cy="414528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46420" cy="4145280"/>
                    </a:xfrm>
                    <a:prstGeom prst="rect">
                      <a:avLst/>
                    </a:prstGeom>
                    <a:noFill/>
                    <a:ln>
                      <a:noFill/>
                    </a:ln>
                  </pic:spPr>
                </pic:pic>
              </a:graphicData>
            </a:graphic>
          </wp:inline>
        </w:drawing>
      </w:r>
    </w:p>
    <w:p w14:paraId="6AD6E437" w14:textId="37ADF868" w:rsidR="00AB3B80" w:rsidRPr="00EE164F" w:rsidRDefault="00AB3B80" w:rsidP="003D2F39">
      <w:pPr>
        <w:spacing w:line="276" w:lineRule="auto"/>
        <w:jc w:val="center"/>
        <w:rPr>
          <w:i/>
          <w:color w:val="365F91" w:themeColor="accent1" w:themeShade="BF"/>
        </w:rPr>
      </w:pPr>
      <w:r w:rsidRPr="00EE164F">
        <w:rPr>
          <w:i/>
          <w:color w:val="365F91" w:themeColor="accent1" w:themeShade="BF"/>
        </w:rPr>
        <w:t xml:space="preserve">Figure 8: </w:t>
      </w:r>
      <w:r w:rsidRPr="00EE164F">
        <w:rPr>
          <w:color w:val="365F91" w:themeColor="accent1" w:themeShade="BF"/>
        </w:rPr>
        <w:t xml:space="preserve">The reaction of central banks </w:t>
      </w:r>
      <w:r w:rsidR="009A0D5C" w:rsidRPr="00EE164F">
        <w:rPr>
          <w:color w:val="365F91" w:themeColor="accent1" w:themeShade="BF"/>
        </w:rPr>
        <w:t>off</w:t>
      </w:r>
      <w:r w:rsidRPr="00EE164F">
        <w:rPr>
          <w:color w:val="365F91" w:themeColor="accent1" w:themeShade="BF"/>
        </w:rPr>
        <w:t xml:space="preserve"> the Gold Standard countries to a BoE monetary shock</w:t>
      </w:r>
    </w:p>
    <w:p w14:paraId="5CC68A0F" w14:textId="028330DB" w:rsidR="00AB3B80" w:rsidRDefault="00AB3B80" w:rsidP="00983BAF">
      <w:pPr>
        <w:spacing w:line="360" w:lineRule="auto"/>
        <w:jc w:val="both"/>
        <w:rPr>
          <w:i/>
        </w:rPr>
      </w:pPr>
    </w:p>
    <w:p w14:paraId="7DF5EA9E" w14:textId="61F42FB6" w:rsidR="003D2F39" w:rsidRPr="003D2F39" w:rsidRDefault="00EE164F" w:rsidP="00983BAF">
      <w:pPr>
        <w:spacing w:line="360" w:lineRule="auto"/>
        <w:jc w:val="both"/>
      </w:pPr>
      <w:r w:rsidRPr="00EE164F">
        <w:rPr>
          <w:noProof/>
        </w:rPr>
        <w:drawing>
          <wp:inline distT="0" distB="0" distL="0" distR="0" wp14:anchorId="155F5527" wp14:editId="294C4CC6">
            <wp:extent cx="5615940" cy="37490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5940" cy="3749040"/>
                    </a:xfrm>
                    <a:prstGeom prst="rect">
                      <a:avLst/>
                    </a:prstGeom>
                    <a:noFill/>
                    <a:ln>
                      <a:noFill/>
                    </a:ln>
                  </pic:spPr>
                </pic:pic>
              </a:graphicData>
            </a:graphic>
          </wp:inline>
        </w:drawing>
      </w:r>
    </w:p>
    <w:p w14:paraId="4BA407FB" w14:textId="1A255D8B" w:rsidR="003D2F39" w:rsidRDefault="00EE164F" w:rsidP="00E94F81">
      <w:pPr>
        <w:pStyle w:val="Caption"/>
        <w:jc w:val="center"/>
        <w:rPr>
          <w:i w:val="0"/>
          <w:sz w:val="24"/>
          <w:szCs w:val="24"/>
        </w:rPr>
      </w:pPr>
      <w:r w:rsidRPr="003E2CE4">
        <w:rPr>
          <w:sz w:val="24"/>
          <w:szCs w:val="24"/>
        </w:rPr>
        <w:t xml:space="preserve">Figure </w:t>
      </w:r>
      <w:r>
        <w:rPr>
          <w:sz w:val="24"/>
          <w:szCs w:val="24"/>
        </w:rPr>
        <w:t>9:</w:t>
      </w:r>
      <w:r w:rsidRPr="003E2CE4">
        <w:rPr>
          <w:sz w:val="24"/>
          <w:szCs w:val="24"/>
        </w:rPr>
        <w:t xml:space="preserve"> </w:t>
      </w:r>
      <w:r w:rsidRPr="003E2CE4">
        <w:rPr>
          <w:i w:val="0"/>
          <w:sz w:val="24"/>
          <w:szCs w:val="24"/>
        </w:rPr>
        <w:t>The reaction of</w:t>
      </w:r>
      <w:r>
        <w:rPr>
          <w:i w:val="0"/>
          <w:sz w:val="24"/>
          <w:szCs w:val="24"/>
        </w:rPr>
        <w:t xml:space="preserve"> the United States to a BoE monetary</w:t>
      </w:r>
      <w:r w:rsidRPr="003E2CE4">
        <w:rPr>
          <w:i w:val="0"/>
          <w:sz w:val="24"/>
          <w:szCs w:val="24"/>
        </w:rPr>
        <w:t xml:space="preserve"> shock</w:t>
      </w:r>
    </w:p>
    <w:p w14:paraId="26825A6A" w14:textId="0515AFF0" w:rsidR="00793308" w:rsidRDefault="00793308" w:rsidP="00793308"/>
    <w:p w14:paraId="2C0B4622" w14:textId="77777777" w:rsidR="00793308" w:rsidRPr="00793308" w:rsidRDefault="00793308" w:rsidP="00793308"/>
    <w:p w14:paraId="73F08A8C" w14:textId="4B25D9A6" w:rsidR="00544ABB" w:rsidRPr="00983BAF" w:rsidRDefault="00544ABB" w:rsidP="00983BAF">
      <w:pPr>
        <w:pStyle w:val="Heading1"/>
      </w:pPr>
      <w:bookmarkStart w:id="18" w:name="_Toc2521988"/>
      <w:r w:rsidRPr="00983BAF">
        <w:t>Conclusions</w:t>
      </w:r>
      <w:bookmarkEnd w:id="18"/>
    </w:p>
    <w:p w14:paraId="04C9C527" w14:textId="77777777" w:rsidR="00544ABB" w:rsidRPr="00983BAF" w:rsidRDefault="00544ABB" w:rsidP="00CA2C7F">
      <w:pPr>
        <w:pStyle w:val="ListParagraph"/>
        <w:spacing w:line="360" w:lineRule="auto"/>
        <w:ind w:left="1440"/>
        <w:jc w:val="both"/>
        <w:rPr>
          <w:rFonts w:ascii="Garamond" w:hAnsi="Garamond"/>
          <w:b/>
        </w:rPr>
      </w:pPr>
    </w:p>
    <w:p w14:paraId="5536E6C7" w14:textId="5180564F" w:rsidR="00FD2ACB" w:rsidRPr="00983BAF" w:rsidRDefault="00887F65" w:rsidP="00CA2C7F">
      <w:pPr>
        <w:spacing w:line="360" w:lineRule="auto"/>
        <w:jc w:val="both"/>
        <w:rPr>
          <w:rFonts w:ascii="Garamond" w:hAnsi="Garamond"/>
        </w:rPr>
      </w:pPr>
      <w:r w:rsidRPr="00983BAF">
        <w:rPr>
          <w:rFonts w:ascii="Garamond" w:hAnsi="Garamond"/>
        </w:rPr>
        <w:t xml:space="preserve">Based on monthly balance sheets of 21 central banks </w:t>
      </w:r>
      <w:r w:rsidR="000D126E" w:rsidRPr="00983BAF">
        <w:rPr>
          <w:rFonts w:ascii="Garamond" w:hAnsi="Garamond"/>
        </w:rPr>
        <w:t xml:space="preserve">during the gold standard period, this paper investigates how foreign central banks reacted to an increase in the Bank of England interest rate. We consider the BoE rate as a driver of the international financial cycle and, thus, as an exogenous shock on foreign countries. Indeed, the exchange rate responds significantly to this shock in financially integrated countries.  With this new dataset and identification method, we revisit the standard debate on sterilization and the rules of the game during the gold standard, offering the first comparative perspective on the matter since the work of Bloomfield (1959).  Our work also informs the current debate on dilemma/trilemma and on the potential effect of movements in the US interest rate on foreign economies. We show that not a single central bank followed the “rules of the game”. Instead, we identify different patterns of behaviour among central banks. Central banks in core countries sterilized fully their decrease in international assets whereas central banks in the periphery </w:t>
      </w:r>
      <w:r w:rsidR="00301D36" w:rsidRPr="00983BAF">
        <w:rPr>
          <w:rFonts w:ascii="Garamond" w:hAnsi="Garamond"/>
        </w:rPr>
        <w:t>had to rely</w:t>
      </w:r>
      <w:r w:rsidR="000D126E" w:rsidRPr="00983BAF">
        <w:rPr>
          <w:rFonts w:ascii="Garamond" w:hAnsi="Garamond"/>
        </w:rPr>
        <w:t xml:space="preserve"> on imperfect convertibility. </w:t>
      </w:r>
    </w:p>
    <w:p w14:paraId="31FA2732" w14:textId="6640AFA1" w:rsidR="00887F65" w:rsidRDefault="00887F65" w:rsidP="00301D36">
      <w:pPr>
        <w:spacing w:line="360" w:lineRule="auto"/>
        <w:ind w:firstLine="720"/>
        <w:jc w:val="both"/>
        <w:rPr>
          <w:rFonts w:ascii="Garamond" w:hAnsi="Garamond"/>
        </w:rPr>
      </w:pPr>
      <w:r w:rsidRPr="00983BAF">
        <w:rPr>
          <w:rFonts w:ascii="Garamond" w:hAnsi="Garamond"/>
        </w:rPr>
        <w:t xml:space="preserve">Our investigation is based on data of </w:t>
      </w:r>
      <w:r w:rsidR="00FD2ACB" w:rsidRPr="00983BAF">
        <w:rPr>
          <w:rFonts w:ascii="Garamond" w:hAnsi="Garamond"/>
        </w:rPr>
        <w:t>all central banks of the period</w:t>
      </w:r>
      <w:r w:rsidRPr="00983BAF">
        <w:rPr>
          <w:rFonts w:ascii="Garamond" w:hAnsi="Garamond"/>
        </w:rPr>
        <w:t xml:space="preserve"> (the Ottoman bank is considered as being more a p</w:t>
      </w:r>
      <w:r w:rsidR="0011578E">
        <w:rPr>
          <w:rFonts w:ascii="Garamond" w:hAnsi="Garamond"/>
        </w:rPr>
        <w:t>rivate bank that a central bank</w:t>
      </w:r>
      <w:r w:rsidRPr="00983BAF">
        <w:rPr>
          <w:rFonts w:ascii="Garamond" w:hAnsi="Garamond"/>
        </w:rPr>
        <w:t xml:space="preserve">; the central bank of Switzerland was created in 1908 only, so is not included here for investigation). But many countries during this period were on the gold standard without having a central bank. </w:t>
      </w:r>
      <w:r w:rsidR="00301D36" w:rsidRPr="00983BAF">
        <w:rPr>
          <w:rFonts w:ascii="Garamond" w:hAnsi="Garamond"/>
        </w:rPr>
        <w:t>The case of the United States shows very clearly that a country without a central bank faced a much stronger response of interest rates to international shocks. A</w:t>
      </w:r>
      <w:r w:rsidRPr="00983BAF">
        <w:rPr>
          <w:rFonts w:ascii="Garamond" w:hAnsi="Garamond"/>
        </w:rPr>
        <w:t xml:space="preserve">s suggested by Polanyi in the quote </w:t>
      </w:r>
      <w:r w:rsidR="00301D36" w:rsidRPr="00983BAF">
        <w:rPr>
          <w:rFonts w:ascii="Garamond" w:hAnsi="Garamond"/>
        </w:rPr>
        <w:t xml:space="preserve">in the epigraph of this article, central banks </w:t>
      </w:r>
      <w:r w:rsidRPr="00983BAF">
        <w:rPr>
          <w:rFonts w:ascii="Garamond" w:hAnsi="Garamond"/>
        </w:rPr>
        <w:t xml:space="preserve">served as a buffer between international capital flows and the domestic financial system. As </w:t>
      </w:r>
      <w:r w:rsidR="00FD2ACB" w:rsidRPr="00983BAF">
        <w:rPr>
          <w:rFonts w:ascii="Garamond" w:hAnsi="Garamond"/>
        </w:rPr>
        <w:t>suggested</w:t>
      </w:r>
      <w:r w:rsidRPr="00983BAF">
        <w:rPr>
          <w:rFonts w:ascii="Garamond" w:hAnsi="Garamond"/>
        </w:rPr>
        <w:t xml:space="preserve"> by the debates in the US at the turn of the century, it was difficult to grow as a financially integrated country without a central bank. </w:t>
      </w:r>
    </w:p>
    <w:p w14:paraId="6D5047AC" w14:textId="77777777" w:rsidR="0022218B" w:rsidRDefault="0022218B" w:rsidP="0022218B">
      <w:pPr>
        <w:spacing w:line="360" w:lineRule="auto"/>
        <w:ind w:firstLine="720"/>
        <w:jc w:val="both"/>
        <w:rPr>
          <w:rFonts w:ascii="Garamond" w:hAnsi="Garamond"/>
        </w:rPr>
      </w:pPr>
      <w:r w:rsidRPr="004C5B23">
        <w:rPr>
          <w:rFonts w:ascii="Garamond" w:hAnsi="Garamond"/>
        </w:rPr>
        <w:t>A note of caution is necessary to avoid misinterpretation of our results. We do not claim that countries</w:t>
      </w:r>
      <w:r>
        <w:rPr>
          <w:rFonts w:ascii="Garamond" w:hAnsi="Garamond"/>
        </w:rPr>
        <w:t xml:space="preserve"> with a central bank</w:t>
      </w:r>
      <w:r w:rsidRPr="004C5B23">
        <w:rPr>
          <w:rFonts w:ascii="Garamond" w:hAnsi="Garamond"/>
        </w:rPr>
        <w:t xml:space="preserve"> enjoyed full autonomy, in the sense that they could join the gold standard without costs and that financial integration was beneficial for all. Globalization led some countries in the periphery to borrow too much and it ended in public debt crises which had negative political and economic consequences (Mitchener &amp; Weidenmier 2010, Tuncer 2015). Our demonstration deals with how central banks could be in the position to maintain a </w:t>
      </w:r>
      <w:r>
        <w:rPr>
          <w:rFonts w:ascii="Garamond" w:hAnsi="Garamond"/>
        </w:rPr>
        <w:t>stable</w:t>
      </w:r>
      <w:r w:rsidRPr="004C5B23">
        <w:rPr>
          <w:rFonts w:ascii="Garamond" w:hAnsi="Garamond"/>
        </w:rPr>
        <w:t xml:space="preserve"> interest rate when the leader of the international system moved its interest rate. This is the narrow definition of autonomy that we have investigated here, consistent with standard international macroeconomic models</w:t>
      </w:r>
      <w:r>
        <w:rPr>
          <w:rFonts w:ascii="Garamond" w:hAnsi="Garamond"/>
        </w:rPr>
        <w:t xml:space="preserve"> and the literature on the </w:t>
      </w:r>
      <w:r w:rsidRPr="00654FA4">
        <w:rPr>
          <w:rFonts w:ascii="Garamond" w:hAnsi="Garamond"/>
          <w:i/>
        </w:rPr>
        <w:t>trilemma</w:t>
      </w:r>
      <w:r w:rsidRPr="004C5B23">
        <w:rPr>
          <w:rFonts w:ascii="Garamond" w:hAnsi="Garamond"/>
        </w:rPr>
        <w:t>. The existence of such a monetary autonomy is however striking because it explains how central banks of the gold standard era managed to achieve their dual objectives: stability of domestic interest rates and stability of the peg. Our results are also consistent with, and are able to explain, the findings of Mitchener of Weidenmier (2015) who observed persistent spreads between the English rate and the domestic rate in the peripheral countries of the gold standard. It means that peripheral countries could use tools to mitigate the adverse short-term effects of capital flows on the domestic money supply but they had to keep higher interest rates.</w:t>
      </w:r>
    </w:p>
    <w:p w14:paraId="64BE70CB" w14:textId="23C96338" w:rsidR="00887F65" w:rsidRPr="00E6085D" w:rsidRDefault="00E6085D" w:rsidP="00E6085D">
      <w:pPr>
        <w:spacing w:line="360" w:lineRule="auto"/>
        <w:ind w:firstLine="720"/>
        <w:jc w:val="both"/>
        <w:rPr>
          <w:rFonts w:ascii="Garamond" w:hAnsi="Garamond"/>
        </w:rPr>
      </w:pPr>
      <w:r w:rsidRPr="00E6085D">
        <w:rPr>
          <w:rFonts w:ascii="Garamond" w:hAnsi="Garamond"/>
        </w:rPr>
        <w:t xml:space="preserve">The main message of this </w:t>
      </w:r>
      <w:r>
        <w:rPr>
          <w:rFonts w:ascii="Garamond" w:hAnsi="Garamond"/>
        </w:rPr>
        <w:t>paper</w:t>
      </w:r>
      <w:r w:rsidRPr="00E6085D">
        <w:rPr>
          <w:rFonts w:ascii="Garamond" w:hAnsi="Garamond"/>
        </w:rPr>
        <w:t xml:space="preserve"> - in the </w:t>
      </w:r>
      <w:r>
        <w:rPr>
          <w:rFonts w:ascii="Garamond" w:hAnsi="Garamond"/>
        </w:rPr>
        <w:t>spirit</w:t>
      </w:r>
      <w:r w:rsidRPr="00E6085D">
        <w:rPr>
          <w:rFonts w:ascii="Garamond" w:hAnsi="Garamond"/>
        </w:rPr>
        <w:t xml:space="preserve"> of Polanyi and Bloomfield - is that the gold standard was not a rigid framework and that its operation allowed central banks to use various tools to offset the short-term impact of international financial shocks. The sterilization of international shocks and capital controls (on gold convertibility) were so systematic in countries with a central bank that they c</w:t>
      </w:r>
      <w:r>
        <w:rPr>
          <w:rFonts w:ascii="Garamond" w:hAnsi="Garamond"/>
        </w:rPr>
        <w:t>an</w:t>
      </w:r>
      <w:r w:rsidRPr="00E6085D">
        <w:rPr>
          <w:rFonts w:ascii="Garamond" w:hAnsi="Garamond"/>
        </w:rPr>
        <w:t xml:space="preserve"> only be interpreted as the norm. By offsetting some of the potential negative effects of financial globalisation, these arrangements may have made a significant contribution to the stability and long life of the gold standard. It provides important lessons for today because it shows the key role that central banks can play in a globalised world, even if they face some general constraints due to fixed exchange rates and capital mobility. This lesson is particularly important for countries in a monetary union, as it shows how central banks can absorb asymmetric shocks by</w:t>
      </w:r>
      <w:r w:rsidR="008C0331">
        <w:rPr>
          <w:rFonts w:ascii="Garamond" w:hAnsi="Garamond"/>
        </w:rPr>
        <w:t xml:space="preserve"> using their balance sheets despite the fixity of the peg.</w:t>
      </w:r>
      <w:r w:rsidRPr="00E6085D">
        <w:rPr>
          <w:rFonts w:ascii="Garamond" w:hAnsi="Garamond"/>
        </w:rPr>
        <w:t xml:space="preserve"> It is valid for the euro area, where the </w:t>
      </w:r>
      <w:r>
        <w:rPr>
          <w:rFonts w:ascii="Garamond" w:hAnsi="Garamond"/>
        </w:rPr>
        <w:t>decentralised framework of the E</w:t>
      </w:r>
      <w:r w:rsidRPr="00E6085D">
        <w:rPr>
          <w:rFonts w:ascii="Garamond" w:hAnsi="Garamond"/>
        </w:rPr>
        <w:t xml:space="preserve">urosystem's monetary operations allows national central banks to increase credit in order to stabilise domestic interest rates in the event of a </w:t>
      </w:r>
      <w:r>
        <w:rPr>
          <w:rFonts w:ascii="Garamond" w:hAnsi="Garamond"/>
        </w:rPr>
        <w:t xml:space="preserve">negative financial </w:t>
      </w:r>
      <w:r w:rsidRPr="00E6085D">
        <w:rPr>
          <w:rFonts w:ascii="Garamond" w:hAnsi="Garamond"/>
        </w:rPr>
        <w:t>shock in a country (Bazot, Monnet, Morys 2019). However, as Eichengreen (1992) points out, the sterilization observed by Bloomfield was a response to short-term shocks</w:t>
      </w:r>
      <w:r w:rsidR="008C0331">
        <w:rPr>
          <w:rFonts w:ascii="Garamond" w:hAnsi="Garamond"/>
        </w:rPr>
        <w:t xml:space="preserve"> indeed</w:t>
      </w:r>
      <w:r w:rsidRPr="00E6085D">
        <w:rPr>
          <w:rFonts w:ascii="Garamond" w:hAnsi="Garamond"/>
        </w:rPr>
        <w:t xml:space="preserve">; persistent imbalances were not sustainable. Countries left the gold standard when their fiscal policy or war spending did not allow them to make anchoring credible (Bordo &amp; Kydland 1995). The way in which </w:t>
      </w:r>
      <w:r>
        <w:rPr>
          <w:rFonts w:ascii="Garamond" w:hAnsi="Garamond"/>
        </w:rPr>
        <w:t xml:space="preserve">systematic </w:t>
      </w:r>
      <w:r w:rsidRPr="00E6085D">
        <w:rPr>
          <w:rFonts w:ascii="Garamond" w:hAnsi="Garamond"/>
        </w:rPr>
        <w:t xml:space="preserve">short-term deviation from the </w:t>
      </w:r>
      <w:r>
        <w:rPr>
          <w:rFonts w:ascii="Garamond" w:hAnsi="Garamond"/>
        </w:rPr>
        <w:t>“</w:t>
      </w:r>
      <w:r w:rsidRPr="00E6085D">
        <w:rPr>
          <w:rFonts w:ascii="Garamond" w:hAnsi="Garamond"/>
        </w:rPr>
        <w:t>rules of the game</w:t>
      </w:r>
      <w:r>
        <w:rPr>
          <w:rFonts w:ascii="Garamond" w:hAnsi="Garamond"/>
        </w:rPr>
        <w:t>”</w:t>
      </w:r>
      <w:r w:rsidRPr="00E6085D">
        <w:rPr>
          <w:rFonts w:ascii="Garamond" w:hAnsi="Garamond"/>
        </w:rPr>
        <w:t xml:space="preserve"> interacted with compliance with fiscal a</w:t>
      </w:r>
      <w:r>
        <w:rPr>
          <w:rFonts w:ascii="Garamond" w:hAnsi="Garamond"/>
        </w:rPr>
        <w:t>nd monetary rules in the medium-</w:t>
      </w:r>
      <w:r w:rsidRPr="00E6085D">
        <w:rPr>
          <w:rFonts w:ascii="Garamond" w:hAnsi="Garamond"/>
        </w:rPr>
        <w:t>term should be further examined.</w:t>
      </w:r>
    </w:p>
    <w:p w14:paraId="3FD0A673" w14:textId="39D71383" w:rsidR="00A528E1" w:rsidRPr="004C5B23" w:rsidRDefault="00A528E1" w:rsidP="00CA2C7F">
      <w:pPr>
        <w:pStyle w:val="ListParagraph"/>
        <w:numPr>
          <w:ilvl w:val="0"/>
          <w:numId w:val="16"/>
        </w:numPr>
        <w:spacing w:line="360" w:lineRule="auto"/>
        <w:jc w:val="both"/>
        <w:rPr>
          <w:rFonts w:ascii="Garamond" w:hAnsi="Garamond"/>
          <w:b/>
        </w:rPr>
      </w:pPr>
      <w:r w:rsidRPr="004C5B23">
        <w:rPr>
          <w:rFonts w:ascii="Garamond" w:hAnsi="Garamond"/>
          <w:b/>
        </w:rPr>
        <w:br w:type="page"/>
      </w:r>
    </w:p>
    <w:p w14:paraId="727963AD" w14:textId="220DFBAD" w:rsidR="00CA2C7F" w:rsidRDefault="001F355B" w:rsidP="00711AA3">
      <w:pPr>
        <w:pStyle w:val="Heading1"/>
      </w:pPr>
      <w:bookmarkStart w:id="19" w:name="_Toc2521989"/>
      <w:r>
        <w:t xml:space="preserve">DATA </w:t>
      </w:r>
      <w:r w:rsidR="00CA2C7F">
        <w:t>APPENDIX</w:t>
      </w:r>
      <w:bookmarkEnd w:id="19"/>
    </w:p>
    <w:p w14:paraId="35F1D6F0" w14:textId="77777777" w:rsidR="00CA2C7F" w:rsidRDefault="00CA2C7F" w:rsidP="00CA2C7F">
      <w:pPr>
        <w:spacing w:line="360" w:lineRule="auto"/>
        <w:jc w:val="both"/>
        <w:rPr>
          <w:rFonts w:ascii="Garamond" w:hAnsi="Garamond"/>
          <w:b/>
        </w:rPr>
      </w:pPr>
    </w:p>
    <w:p w14:paraId="19CF8F07" w14:textId="77777777" w:rsidR="00CA2C7F" w:rsidRDefault="00CA2C7F" w:rsidP="00CA2C7F">
      <w:pPr>
        <w:spacing w:line="360" w:lineRule="auto"/>
        <w:jc w:val="both"/>
        <w:rPr>
          <w:rFonts w:ascii="Garamond" w:hAnsi="Garamond"/>
          <w:b/>
        </w:rPr>
      </w:pPr>
    </w:p>
    <w:p w14:paraId="5438C54E" w14:textId="28056827" w:rsidR="00724901" w:rsidRPr="004C5B23" w:rsidRDefault="00CA2C7F" w:rsidP="00CA2C7F">
      <w:pPr>
        <w:spacing w:line="360" w:lineRule="auto"/>
        <w:jc w:val="both"/>
        <w:rPr>
          <w:rFonts w:ascii="Garamond" w:hAnsi="Garamond"/>
          <w:b/>
        </w:rPr>
      </w:pPr>
      <w:r>
        <w:rPr>
          <w:rFonts w:ascii="Garamond" w:hAnsi="Garamond"/>
          <w:b/>
        </w:rPr>
        <w:t>Description</w:t>
      </w:r>
      <w:r w:rsidR="00724901" w:rsidRPr="004C5B23">
        <w:rPr>
          <w:rFonts w:ascii="Garamond" w:hAnsi="Garamond"/>
          <w:b/>
        </w:rPr>
        <w:t xml:space="preserve"> of balance sheet data found in the Banque de France arc</w:t>
      </w:r>
      <w:r w:rsidR="006D4B7C" w:rsidRPr="004C5B23">
        <w:rPr>
          <w:rFonts w:ascii="Garamond" w:hAnsi="Garamond"/>
          <w:b/>
        </w:rPr>
        <w:t>h</w:t>
      </w:r>
      <w:r w:rsidR="00724901" w:rsidRPr="004C5B23">
        <w:rPr>
          <w:rFonts w:ascii="Garamond" w:hAnsi="Garamond"/>
          <w:b/>
        </w:rPr>
        <w:t>ives</w:t>
      </w:r>
    </w:p>
    <w:p w14:paraId="20F61DA6" w14:textId="524C3676" w:rsidR="00724901" w:rsidRPr="004C5B23" w:rsidRDefault="006D4B7C" w:rsidP="00CA2C7F">
      <w:pPr>
        <w:spacing w:line="360" w:lineRule="auto"/>
        <w:jc w:val="both"/>
        <w:rPr>
          <w:rFonts w:ascii="Garamond" w:hAnsi="Garamond"/>
        </w:rPr>
      </w:pPr>
      <w:r w:rsidRPr="004C5B23">
        <w:rPr>
          <w:rFonts w:ascii="Garamond" w:hAnsi="Garamond"/>
        </w:rPr>
        <w:t>T</w:t>
      </w:r>
      <w:r w:rsidR="00724901" w:rsidRPr="004C5B23">
        <w:rPr>
          <w:rFonts w:ascii="Garamond" w:hAnsi="Garamond"/>
        </w:rPr>
        <w:t>he harmonized balance sheet provided by the source helped us to build those series. We assembled five major series in this respect: (1) metallic reserves (gold plus silver); (2) foreign papers; (3) foreign funds available into banks’ correspondents; (4) discount portfolio of domestic papers; (5) short term advances on securities and other collaterals. (1), (2), and (3) constitutes the international portfolio while (4) and (5) captures the domestic portfolio.</w:t>
      </w:r>
    </w:p>
    <w:p w14:paraId="1CDC3AC1" w14:textId="77777777" w:rsidR="00724901" w:rsidRPr="004C5B23" w:rsidRDefault="00724901" w:rsidP="00CA2C7F">
      <w:pPr>
        <w:spacing w:line="360" w:lineRule="auto"/>
        <w:ind w:firstLine="720"/>
        <w:jc w:val="both"/>
        <w:rPr>
          <w:rFonts w:ascii="Garamond" w:hAnsi="Garamond"/>
        </w:rPr>
      </w:pPr>
      <w:r w:rsidRPr="004C5B23">
        <w:rPr>
          <w:rFonts w:ascii="Garamond" w:hAnsi="Garamond"/>
        </w:rPr>
        <w:t>In describing the data below, we will also provide the French terminology based on the monthly, quarterly and annual publications of the Bank of France we rely on. Some of the notions do not lend themselves to a straightforward translation into English. This largely reflects the fact that the Bank of England followed a unique classification due its separation of an issuance and a banking department (1844 Bank Act); and that the U.S. did not have a central bank at all until the establishment of the Federal Reserve in 1913. By contrast, continental European terminology and classification is often rather similar to French practice, as evidenced by country-specific balance sheet data which we have consulted on various occasions to double-check specific issues. We therefore provide below the German equivalent of a French term in some instances.</w:t>
      </w:r>
    </w:p>
    <w:p w14:paraId="47C6C299" w14:textId="77777777" w:rsidR="00724901" w:rsidRPr="004C5B23" w:rsidRDefault="00724901" w:rsidP="00CA2C7F">
      <w:pPr>
        <w:spacing w:line="360" w:lineRule="auto"/>
        <w:jc w:val="both"/>
        <w:rPr>
          <w:rFonts w:ascii="Garamond" w:hAnsi="Garamond"/>
          <w:b/>
        </w:rPr>
      </w:pPr>
    </w:p>
    <w:p w14:paraId="2F24422C" w14:textId="77777777" w:rsidR="00724901" w:rsidRPr="004C5B23" w:rsidRDefault="00724901" w:rsidP="00CA2C7F">
      <w:pPr>
        <w:spacing w:line="360" w:lineRule="auto"/>
        <w:jc w:val="both"/>
        <w:rPr>
          <w:rFonts w:ascii="Garamond" w:hAnsi="Garamond"/>
          <w:b/>
          <w:lang w:val="de-DE"/>
        </w:rPr>
      </w:pPr>
      <w:r w:rsidRPr="004C5B23">
        <w:rPr>
          <w:rFonts w:ascii="Garamond" w:hAnsi="Garamond"/>
          <w:b/>
          <w:lang w:val="de-DE"/>
        </w:rPr>
        <w:t>International portfolio</w:t>
      </w:r>
    </w:p>
    <w:p w14:paraId="1D0B5C9E" w14:textId="77777777" w:rsidR="00724901" w:rsidRPr="004C5B23" w:rsidRDefault="00724901" w:rsidP="00CA2C7F">
      <w:pPr>
        <w:spacing w:line="360" w:lineRule="auto"/>
        <w:jc w:val="both"/>
        <w:rPr>
          <w:rFonts w:ascii="Garamond" w:hAnsi="Garamond"/>
          <w:lang w:val="de-DE"/>
        </w:rPr>
      </w:pPr>
    </w:p>
    <w:p w14:paraId="57ECC994" w14:textId="77777777" w:rsidR="00724901" w:rsidRPr="004C5B23" w:rsidRDefault="00724901" w:rsidP="00CA2C7F">
      <w:pPr>
        <w:spacing w:line="360" w:lineRule="auto"/>
        <w:jc w:val="both"/>
        <w:rPr>
          <w:rFonts w:ascii="Garamond" w:hAnsi="Garamond"/>
          <w:b/>
          <w:lang w:val="de-DE"/>
        </w:rPr>
      </w:pPr>
      <w:r w:rsidRPr="004C5B23">
        <w:rPr>
          <w:rFonts w:ascii="Garamond" w:hAnsi="Garamond"/>
          <w:b/>
          <w:lang w:val="de-DE"/>
        </w:rPr>
        <w:t>1. metallic reserves / “en caisse” / “Barvorrat”</w:t>
      </w:r>
    </w:p>
    <w:p w14:paraId="31FE04BD" w14:textId="77777777" w:rsidR="00724901" w:rsidRPr="004C5B23" w:rsidRDefault="00724901" w:rsidP="00CA2C7F">
      <w:pPr>
        <w:spacing w:line="360" w:lineRule="auto"/>
        <w:jc w:val="both"/>
        <w:rPr>
          <w:rFonts w:ascii="Garamond" w:hAnsi="Garamond"/>
        </w:rPr>
      </w:pPr>
      <w:r w:rsidRPr="004C5B23">
        <w:rPr>
          <w:rFonts w:ascii="Garamond" w:hAnsi="Garamond"/>
        </w:rPr>
        <w:t>Time series #1 consists for the most part of gold coin and gold bullion. It occasionally also contains silver and other specie (e.g., copper and bronze in the case of Sweden). The proportion of silver is typically large only when silver coin retained its legal tender status after the country switched to gold at some point in the 1870s. This was often the case in countries of the so-called limping gold standard (also referred to as limping bimetallism) which preserved silver as legal tender up to a certain amount. Contemporary sources refer to the entirety of specie as „metallic reserves“ (e.g., „Metallvorrat“ for the Reichsbank).</w:t>
      </w:r>
    </w:p>
    <w:p w14:paraId="7908958E" w14:textId="77777777" w:rsidR="00724901" w:rsidRPr="004C5B23" w:rsidRDefault="00724901" w:rsidP="00CA2C7F">
      <w:pPr>
        <w:spacing w:line="360" w:lineRule="auto"/>
        <w:jc w:val="both"/>
        <w:rPr>
          <w:rFonts w:ascii="Garamond" w:hAnsi="Garamond"/>
        </w:rPr>
      </w:pPr>
      <w:r w:rsidRPr="004C5B23">
        <w:rPr>
          <w:rFonts w:ascii="Garamond" w:hAnsi="Garamond"/>
        </w:rPr>
        <w:tab/>
        <w:t xml:space="preserve">For some banks of note issue, “reserves” (Reichsbank: “Barvorrat”) are a slightly broader concept than “metallic reserves” (Reichsbank: “Metallvorrat”). In the cases of multiple banks of note issue (Germany, Italy and Sweden in our case), the category „en caisse“ / „Barvorrat“ also encompasses bank notes issued by other (domestic) banks of note issue. The Reichsbank, for instance, was allowed to include bank notes issued by other German banks of note issue on the grounds that such notes enjoyed metallic backing by their respective issuing bank. We follow this practice, not least because the Bank of France statisticians fully subscribed to it despite coming from a single bank of note issue system. </w:t>
      </w:r>
    </w:p>
    <w:p w14:paraId="595E730D" w14:textId="77777777" w:rsidR="00724901" w:rsidRPr="004C5B23" w:rsidRDefault="00724901" w:rsidP="00CA2C7F">
      <w:pPr>
        <w:spacing w:line="360" w:lineRule="auto"/>
        <w:jc w:val="both"/>
        <w:rPr>
          <w:rFonts w:ascii="Garamond" w:hAnsi="Garamond"/>
        </w:rPr>
      </w:pPr>
      <w:r w:rsidRPr="004C5B23">
        <w:rPr>
          <w:rFonts w:ascii="Garamond" w:hAnsi="Garamond"/>
        </w:rPr>
        <w:tab/>
        <w:t>In the cases of the Reichsbank and the three Italian banks of note issue (National Bank of the Kingdom of Italy, Bank of Naples, Bank of Sicily), we add – in line with domestic and French practice at the time – short-term treasury notes („Reichskassenscheine“ for the Reichsbank and „billets et bons de caisse de l‘Etat“ for the three Italian banks). These were highly liquid debt instruments and the four banks were allowed to include them into their note cover. It remains unclear why only these four banks of note issue include such notes into their note cover, and whether there is a connection to the system of multiple banks of note issue prevalent in Germany and Italy.</w:t>
      </w:r>
    </w:p>
    <w:p w14:paraId="1770AD57" w14:textId="77777777" w:rsidR="00724901" w:rsidRPr="004C5B23" w:rsidRDefault="00724901" w:rsidP="00CA2C7F">
      <w:pPr>
        <w:spacing w:line="360" w:lineRule="auto"/>
        <w:jc w:val="both"/>
        <w:rPr>
          <w:rFonts w:ascii="Garamond" w:hAnsi="Garamond"/>
        </w:rPr>
      </w:pPr>
      <w:r w:rsidRPr="004C5B23">
        <w:rPr>
          <w:rFonts w:ascii="Garamond" w:hAnsi="Garamond"/>
        </w:rPr>
        <w:tab/>
        <w:t xml:space="preserve">The items described in the two paragraphs above were typically very small. E.g., in the case of the Reichsbank, they accounted for approximately 5% of total reserves. </w:t>
      </w:r>
    </w:p>
    <w:p w14:paraId="0669436C" w14:textId="2F9D045F" w:rsidR="00804511" w:rsidRPr="004C5B23" w:rsidRDefault="00804511" w:rsidP="00CA2C7F">
      <w:pPr>
        <w:spacing w:line="360" w:lineRule="auto"/>
        <w:jc w:val="both"/>
        <w:rPr>
          <w:rFonts w:ascii="Garamond" w:hAnsi="Garamond"/>
          <w:b/>
          <w:lang w:val="de-DE"/>
        </w:rPr>
      </w:pPr>
    </w:p>
    <w:p w14:paraId="71380352" w14:textId="2A51279C" w:rsidR="00724901" w:rsidRPr="004C5B23" w:rsidRDefault="00724901" w:rsidP="00CA2C7F">
      <w:pPr>
        <w:spacing w:line="360" w:lineRule="auto"/>
        <w:jc w:val="both"/>
        <w:rPr>
          <w:rFonts w:ascii="Garamond" w:hAnsi="Garamond"/>
          <w:b/>
          <w:lang w:val="de-DE"/>
        </w:rPr>
      </w:pPr>
      <w:r w:rsidRPr="004C5B23">
        <w:rPr>
          <w:rFonts w:ascii="Garamond" w:hAnsi="Garamond"/>
          <w:b/>
          <w:lang w:val="de-DE"/>
        </w:rPr>
        <w:t>2. foreign paper / “portefeuille commercial – papier étranger” / “auswärtige Wechsel”</w:t>
      </w:r>
    </w:p>
    <w:p w14:paraId="0CE4632B" w14:textId="77777777" w:rsidR="00724901" w:rsidRPr="004C5B23" w:rsidRDefault="00724901" w:rsidP="00CA2C7F">
      <w:pPr>
        <w:spacing w:line="360" w:lineRule="auto"/>
        <w:jc w:val="both"/>
        <w:rPr>
          <w:rFonts w:ascii="Garamond" w:hAnsi="Garamond"/>
        </w:rPr>
      </w:pPr>
      <w:r w:rsidRPr="004C5B23">
        <w:rPr>
          <w:rFonts w:ascii="Garamond" w:hAnsi="Garamond"/>
        </w:rPr>
        <w:t>Time series #2 consists of bills of exchange drawn on foreign places. Such a series is recorded for all 21 banks in our sample, even if values are very small (Russia, Serbia), a monthly series is reported but begins relatively late (France in 1906) or the reported series only constitutes a lower-bound estimate (Romania). In the cases of Germany and Portugal, such data are only available on a yearly basis and are of very small value.</w:t>
      </w:r>
    </w:p>
    <w:p w14:paraId="30BD1E32" w14:textId="77777777" w:rsidR="00724901" w:rsidRPr="004C5B23" w:rsidRDefault="00724901" w:rsidP="00CA2C7F">
      <w:pPr>
        <w:spacing w:line="360" w:lineRule="auto"/>
        <w:jc w:val="both"/>
        <w:rPr>
          <w:rFonts w:ascii="Garamond" w:hAnsi="Garamond"/>
        </w:rPr>
      </w:pPr>
      <w:r w:rsidRPr="004C5B23">
        <w:rPr>
          <w:rFonts w:ascii="Garamond" w:hAnsi="Garamond"/>
        </w:rPr>
        <w:tab/>
        <w:t>The very low numbers for France and Germany suggest that central banks in mature money markets bought such bills infrequently and left this business to specialised banks and brokerage firms. By contrast, central banks in peripheral countries acquired an important share of the market for the lack of strong competitors; in some situations, they have well have constituted the only domestic buyer of bills of exchange drawn on foreign places.</w:t>
      </w:r>
    </w:p>
    <w:p w14:paraId="623C3922" w14:textId="77777777" w:rsidR="00724901" w:rsidRPr="004C5B23" w:rsidRDefault="00724901" w:rsidP="00CA2C7F">
      <w:pPr>
        <w:spacing w:line="360" w:lineRule="auto"/>
        <w:jc w:val="both"/>
        <w:rPr>
          <w:rFonts w:ascii="Garamond" w:hAnsi="Garamond"/>
        </w:rPr>
      </w:pPr>
      <w:r w:rsidRPr="004C5B23">
        <w:rPr>
          <w:rFonts w:ascii="Garamond" w:hAnsi="Garamond"/>
        </w:rPr>
        <w:tab/>
        <w:t xml:space="preserve">We acknowledge that the cases of Portugal, Russia and Serbia are difficult to square with this explanation. Yet the very low numbers in these three cases might reflect country-specific idiosyncrasies. In the case of Russia, the treasury – and not the bank of note issue which we study – managed foreign bills. Portugal was not on gold in the time period under investigation. The case of Serbia might be similar to the Portuguese case. We have positive knowledge of no foreign bills until 1904 (when the country was on a fiat standard), but cannot be entirely certain for the period thereafter (data for 1905-1013 only report “portefeuille commercial” without distinguishing between foreign and domestic) which roughly coincides with the country’s de facto adherence to gold (1904-1912).   </w:t>
      </w:r>
    </w:p>
    <w:p w14:paraId="3B68A671" w14:textId="77777777" w:rsidR="00724901" w:rsidRPr="004C5B23" w:rsidRDefault="00724901" w:rsidP="00CA2C7F">
      <w:pPr>
        <w:spacing w:line="360" w:lineRule="auto"/>
        <w:jc w:val="both"/>
        <w:rPr>
          <w:rFonts w:ascii="Garamond" w:hAnsi="Garamond"/>
        </w:rPr>
      </w:pPr>
    </w:p>
    <w:p w14:paraId="38C615C4" w14:textId="77777777" w:rsidR="00724901" w:rsidRPr="004C5B23" w:rsidRDefault="00724901" w:rsidP="00CA2C7F">
      <w:pPr>
        <w:spacing w:line="360" w:lineRule="auto"/>
        <w:jc w:val="both"/>
        <w:rPr>
          <w:rFonts w:ascii="Garamond" w:hAnsi="Garamond"/>
        </w:rPr>
      </w:pPr>
    </w:p>
    <w:p w14:paraId="223DDC71" w14:textId="77777777" w:rsidR="00724901" w:rsidRPr="004C5B23" w:rsidRDefault="00724901" w:rsidP="00CA2C7F">
      <w:pPr>
        <w:spacing w:line="360" w:lineRule="auto"/>
        <w:jc w:val="both"/>
        <w:rPr>
          <w:rFonts w:ascii="Garamond" w:hAnsi="Garamond"/>
          <w:b/>
        </w:rPr>
      </w:pPr>
      <w:r w:rsidRPr="004C5B23">
        <w:rPr>
          <w:rFonts w:ascii="Garamond" w:hAnsi="Garamond"/>
          <w:b/>
        </w:rPr>
        <w:t>3. foreign funds / „fonds à l’étranger“ / „Auslandsguthaben“</w:t>
      </w:r>
    </w:p>
    <w:p w14:paraId="3A3EA588" w14:textId="77777777" w:rsidR="00724901" w:rsidRPr="004C5B23" w:rsidRDefault="00724901" w:rsidP="00CA2C7F">
      <w:pPr>
        <w:spacing w:line="360" w:lineRule="auto"/>
        <w:jc w:val="both"/>
        <w:rPr>
          <w:rFonts w:ascii="Garamond" w:hAnsi="Garamond"/>
        </w:rPr>
      </w:pPr>
      <w:r w:rsidRPr="004C5B23">
        <w:rPr>
          <w:rFonts w:ascii="Garamond" w:hAnsi="Garamond"/>
        </w:rPr>
        <w:t>Time series #3 consists of funds held abroad. Such funds were usually held by so-called foreign correspondents, i.e., typically a foreign commercial bank with whom the bank of note issue was in regular contact. In many cases, fund held abroad reflect bills of exchange drawn on foreign places after reaching maturity. Such bills are classified as time series #2 before the settlement date and as time series #3 thereafter.</w:t>
      </w:r>
    </w:p>
    <w:p w14:paraId="10611B04" w14:textId="77777777" w:rsidR="00724901" w:rsidRPr="004C5B23" w:rsidRDefault="00724901" w:rsidP="00CA2C7F">
      <w:pPr>
        <w:spacing w:line="360" w:lineRule="auto"/>
        <w:jc w:val="both"/>
        <w:rPr>
          <w:rFonts w:ascii="Garamond" w:hAnsi="Garamond"/>
        </w:rPr>
      </w:pPr>
      <w:r w:rsidRPr="004C5B23">
        <w:rPr>
          <w:rFonts w:ascii="Garamond" w:hAnsi="Garamond"/>
        </w:rPr>
        <w:tab/>
        <w:t xml:space="preserve">None of the five core countries (Britain, France, Germany, Belgium and the Netherlands) report such a series, but all other countries do with the exception of Japan, Portugal and Romania. We hypothesize that core countries stabilised their exchange-rate in the currency market located in their own country, thereby avoiding the need to hold foreign funds abroad; such exchange-rate stabilisation policies pursued domestically were probably carried out by selling bills of exchange drawn on foreign places (time series #2). Such purely domestic intervention was not possible for all other countries where currency trading took place abroad rather than at home. </w:t>
      </w:r>
    </w:p>
    <w:p w14:paraId="78561C4D" w14:textId="669EB028" w:rsidR="00724901" w:rsidRPr="004C5B23" w:rsidRDefault="00724901" w:rsidP="00CA2C7F">
      <w:pPr>
        <w:spacing w:line="360" w:lineRule="auto"/>
        <w:jc w:val="both"/>
        <w:rPr>
          <w:rFonts w:ascii="Garamond" w:hAnsi="Garamond"/>
        </w:rPr>
      </w:pPr>
      <w:r w:rsidRPr="004C5B23">
        <w:rPr>
          <w:rFonts w:ascii="Garamond" w:hAnsi="Garamond"/>
        </w:rPr>
        <w:tab/>
        <w:t xml:space="preserve">Japan, Portugal and Romania are the only peripheral countries to not report such a series. In the case of Portugal, the absence might be explained by the country being off gold at the time (similar to the absence of time series #2, cf. above). </w:t>
      </w:r>
      <w:r w:rsidR="00B27B20" w:rsidRPr="004C5B23">
        <w:rPr>
          <w:rFonts w:ascii="Garamond" w:hAnsi="Garamond"/>
        </w:rPr>
        <w:t>The annual balance sheet of the Bank of Portugal report</w:t>
      </w:r>
      <w:r w:rsidR="00DB36B9" w:rsidRPr="004C5B23">
        <w:rPr>
          <w:rFonts w:ascii="Garamond" w:hAnsi="Garamond"/>
        </w:rPr>
        <w:t>s</w:t>
      </w:r>
      <w:r w:rsidR="00B27B20" w:rsidRPr="004C5B23">
        <w:rPr>
          <w:rFonts w:ascii="Garamond" w:hAnsi="Garamond"/>
        </w:rPr>
        <w:t xml:space="preserve"> a very little amount of foreign bills (</w:t>
      </w:r>
      <w:r w:rsidR="00DB36B9" w:rsidRPr="004C5B23">
        <w:rPr>
          <w:rFonts w:ascii="Garamond" w:hAnsi="Garamond"/>
        </w:rPr>
        <w:t>less than 1% of total discounts portfolio).</w:t>
      </w:r>
      <w:r w:rsidR="00B27B20" w:rsidRPr="004C5B23">
        <w:rPr>
          <w:rFonts w:ascii="Garamond" w:hAnsi="Garamond"/>
        </w:rPr>
        <w:t xml:space="preserve"> </w:t>
      </w:r>
      <w:r w:rsidRPr="004C5B23">
        <w:rPr>
          <w:rFonts w:ascii="Garamond" w:hAnsi="Garamond"/>
        </w:rPr>
        <w:t>The Romanian case might be similar to the Austro-Hungarian case where, if only relying on published documents at the time, we would only have a lower bound estimate for time series #2 and no data at all for time series #3 (Jobst&amp;Scheiber 2014 for Austria-Hungary vs. Stoenescu et al. 2014 for Romania). The Japanese case awaits further investigation.</w:t>
      </w:r>
    </w:p>
    <w:p w14:paraId="08014246" w14:textId="35BD7EBD" w:rsidR="00724901" w:rsidRPr="004C5B23" w:rsidRDefault="00724901" w:rsidP="00CA2C7F">
      <w:pPr>
        <w:spacing w:line="360" w:lineRule="auto"/>
        <w:jc w:val="both"/>
        <w:rPr>
          <w:rFonts w:ascii="Garamond" w:hAnsi="Garamond"/>
        </w:rPr>
      </w:pPr>
    </w:p>
    <w:p w14:paraId="33582822" w14:textId="77777777" w:rsidR="00724901" w:rsidRPr="004C5B23" w:rsidRDefault="00724901" w:rsidP="00CA2C7F">
      <w:pPr>
        <w:spacing w:line="360" w:lineRule="auto"/>
        <w:jc w:val="both"/>
        <w:rPr>
          <w:rFonts w:ascii="Garamond" w:hAnsi="Garamond"/>
          <w:b/>
        </w:rPr>
      </w:pPr>
      <w:r w:rsidRPr="004C5B23">
        <w:rPr>
          <w:rFonts w:ascii="Garamond" w:hAnsi="Garamond"/>
          <w:b/>
        </w:rPr>
        <w:t>Comment on the relative sizes of time series ##1, 2, 3</w:t>
      </w:r>
    </w:p>
    <w:p w14:paraId="58087CBD" w14:textId="77777777" w:rsidR="00724901" w:rsidRPr="004C5B23" w:rsidRDefault="00724901" w:rsidP="00CA2C7F">
      <w:pPr>
        <w:spacing w:line="360" w:lineRule="auto"/>
        <w:jc w:val="both"/>
        <w:rPr>
          <w:rFonts w:ascii="Garamond" w:hAnsi="Garamond"/>
          <w:i/>
        </w:rPr>
      </w:pPr>
      <w:r w:rsidRPr="004C5B23">
        <w:rPr>
          <w:rFonts w:ascii="Garamond" w:hAnsi="Garamond"/>
          <w:i/>
        </w:rPr>
        <w:t>Exceptions to #1 &gt; &gt; #2 + #3</w:t>
      </w:r>
    </w:p>
    <w:p w14:paraId="58A63713" w14:textId="77777777" w:rsidR="00724901" w:rsidRPr="004C5B23" w:rsidRDefault="00724901" w:rsidP="00CA2C7F">
      <w:pPr>
        <w:spacing w:line="360" w:lineRule="auto"/>
        <w:jc w:val="both"/>
        <w:rPr>
          <w:rFonts w:ascii="Garamond" w:hAnsi="Garamond"/>
        </w:rPr>
      </w:pPr>
      <w:r w:rsidRPr="004C5B23">
        <w:rPr>
          <w:rFonts w:ascii="Garamond" w:hAnsi="Garamond"/>
        </w:rPr>
        <w:t xml:space="preserve">Time series #1 is typically much larger than time series ##2 and 3 combined. The Classical Gold Standard (1870s-1914) was a specie standard at its heart and a larger role for foreign exchange was left to the interwar period. </w:t>
      </w:r>
    </w:p>
    <w:p w14:paraId="7B9BBAA0" w14:textId="77777777" w:rsidR="00724901" w:rsidRPr="004C5B23" w:rsidRDefault="00724901" w:rsidP="00CA2C7F">
      <w:pPr>
        <w:spacing w:line="360" w:lineRule="auto"/>
        <w:jc w:val="both"/>
        <w:rPr>
          <w:rFonts w:ascii="Garamond" w:hAnsi="Garamond"/>
        </w:rPr>
      </w:pPr>
      <w:r w:rsidRPr="004C5B23">
        <w:rPr>
          <w:rFonts w:ascii="Garamond" w:hAnsi="Garamond"/>
        </w:rPr>
        <w:tab/>
        <w:t>Yet the gold exchange standard of the 1920s finds some precedents among late-stabilizing countries on the European periphery, namely Bulgaria (stabilises in 1906) and Greece in particular. In the case of Greece, foreign funds account for the largest share of the international portfolio; foreign funds exceed metallic reserves by factor 7 at the time of currency stabilisation in 1910 and by factor 10 at the end of our period.</w:t>
      </w:r>
    </w:p>
    <w:p w14:paraId="32D9B2EE" w14:textId="47FBD124" w:rsidR="00724901" w:rsidRPr="00CA2C7F" w:rsidRDefault="00724901" w:rsidP="00CA2C7F">
      <w:pPr>
        <w:spacing w:line="360" w:lineRule="auto"/>
        <w:jc w:val="both"/>
        <w:rPr>
          <w:rFonts w:ascii="Garamond" w:hAnsi="Garamond"/>
        </w:rPr>
      </w:pPr>
      <w:r w:rsidRPr="004C5B23">
        <w:rPr>
          <w:rFonts w:ascii="Garamond" w:hAnsi="Garamond"/>
        </w:rPr>
        <w:tab/>
        <w:t xml:space="preserve">The other exception to the rule </w:t>
      </w:r>
      <w:r w:rsidRPr="004C5B23">
        <w:rPr>
          <w:rFonts w:ascii="Garamond" w:hAnsi="Garamond"/>
          <w:i/>
        </w:rPr>
        <w:t xml:space="preserve">#1 &gt; &gt; #2 + #3 </w:t>
      </w:r>
      <w:r w:rsidRPr="004C5B23">
        <w:rPr>
          <w:rFonts w:ascii="Garamond" w:hAnsi="Garamond"/>
        </w:rPr>
        <w:t xml:space="preserve">were the Nordic countries of Finland, Norway and Sweden (though not Denmark). The combined of ##2 and 3 are often larger than #1, and foreign funds in particular played an important role. This reflects the fact that these three countries were allowed, as members of the Scandinavian Monetary Union, to include foreign funds held at the banks of note issue of the other members countries as part of their note cover (and hence as international portfolio in our terminology) </w:t>
      </w:r>
      <w:r w:rsidR="00DB36B9" w:rsidRPr="00CA2C7F">
        <w:rPr>
          <w:rFonts w:ascii="Garamond" w:hAnsi="Garamond"/>
        </w:rPr>
        <w:t>See Sumner et al. (1896), Lévy (1911), Conant (1915).</w:t>
      </w:r>
    </w:p>
    <w:p w14:paraId="64B22010" w14:textId="77777777" w:rsidR="00724901" w:rsidRPr="00CA2C7F" w:rsidRDefault="00724901" w:rsidP="00CA2C7F">
      <w:pPr>
        <w:spacing w:line="360" w:lineRule="auto"/>
        <w:jc w:val="both"/>
        <w:rPr>
          <w:rFonts w:ascii="Garamond" w:hAnsi="Garamond"/>
          <w:i/>
        </w:rPr>
      </w:pPr>
      <w:r w:rsidRPr="00CA2C7F">
        <w:rPr>
          <w:rFonts w:ascii="Garamond" w:hAnsi="Garamond"/>
          <w:i/>
        </w:rPr>
        <w:t>Exceptions to #2 &gt; #3</w:t>
      </w:r>
    </w:p>
    <w:p w14:paraId="2084EA38" w14:textId="77777777" w:rsidR="00724901" w:rsidRPr="004C5B23" w:rsidRDefault="00724901" w:rsidP="00CA2C7F">
      <w:pPr>
        <w:spacing w:line="360" w:lineRule="auto"/>
        <w:jc w:val="both"/>
        <w:rPr>
          <w:rFonts w:ascii="Garamond" w:hAnsi="Garamond"/>
        </w:rPr>
      </w:pPr>
      <w:r w:rsidRPr="004C5B23">
        <w:rPr>
          <w:rFonts w:ascii="Garamond" w:hAnsi="Garamond"/>
        </w:rPr>
        <w:t xml:space="preserve">There are typically more bills of exchange drawn on foreign places than foreign funds. Banks of note issue are typically last buyers (and in peripheral countries often first buyers) of such bills in the domestic market. We note that the only cases in which foreign exchange is typically larger than bills of foreign exchange are the four Nordic countries, Bulgaria and Greece. In the Nordic countries, this probably reflects the privileged situation which foreign funds enjoyed due to the rules of the Scandinavian Monetary Union referred to in the paragraph above. In the other two cases, it might reflect the mechanics of late stabilisation (in the case of Greece, we cannot even identify a separate time series #2, even though the data description of time series #3 in Lazaretou (2014) leaves open the possibility that some of the foreign funds were actually foreign bills of exchange). </w:t>
      </w:r>
    </w:p>
    <w:p w14:paraId="432D3E74" w14:textId="24FD8E41" w:rsidR="00724901" w:rsidRPr="004C5B23" w:rsidRDefault="00724901" w:rsidP="00CA2C7F">
      <w:pPr>
        <w:spacing w:line="360" w:lineRule="auto"/>
        <w:jc w:val="both"/>
        <w:rPr>
          <w:rFonts w:ascii="Garamond" w:hAnsi="Garamond"/>
        </w:rPr>
      </w:pPr>
    </w:p>
    <w:p w14:paraId="2E470C7C" w14:textId="77777777" w:rsidR="00804511" w:rsidRPr="004C5B23" w:rsidRDefault="00804511" w:rsidP="00CA2C7F">
      <w:pPr>
        <w:spacing w:line="360" w:lineRule="auto"/>
        <w:jc w:val="both"/>
        <w:rPr>
          <w:rFonts w:ascii="Garamond" w:hAnsi="Garamond"/>
        </w:rPr>
      </w:pPr>
    </w:p>
    <w:p w14:paraId="39C1B611" w14:textId="77777777" w:rsidR="00724901" w:rsidRPr="004C5B23" w:rsidRDefault="00724901" w:rsidP="00CA2C7F">
      <w:pPr>
        <w:spacing w:line="360" w:lineRule="auto"/>
        <w:jc w:val="both"/>
        <w:rPr>
          <w:rFonts w:ascii="Garamond" w:hAnsi="Garamond"/>
          <w:b/>
        </w:rPr>
      </w:pPr>
      <w:r w:rsidRPr="004C5B23">
        <w:rPr>
          <w:rFonts w:ascii="Garamond" w:hAnsi="Garamond"/>
          <w:b/>
        </w:rPr>
        <w:t>Domestic portfolio</w:t>
      </w:r>
    </w:p>
    <w:p w14:paraId="5EB56555" w14:textId="77777777" w:rsidR="00724901" w:rsidRPr="004C5B23" w:rsidRDefault="00724901" w:rsidP="00CA2C7F">
      <w:pPr>
        <w:spacing w:line="360" w:lineRule="auto"/>
        <w:jc w:val="both"/>
        <w:rPr>
          <w:rFonts w:ascii="Garamond" w:hAnsi="Garamond"/>
          <w:b/>
        </w:rPr>
      </w:pPr>
    </w:p>
    <w:p w14:paraId="6FFD4D43" w14:textId="77777777" w:rsidR="00724901" w:rsidRPr="009920A6" w:rsidRDefault="00724901" w:rsidP="00CA2C7F">
      <w:pPr>
        <w:spacing w:line="360" w:lineRule="auto"/>
        <w:jc w:val="both"/>
        <w:rPr>
          <w:rFonts w:ascii="Garamond" w:hAnsi="Garamond"/>
          <w:b/>
          <w:lang w:val="fr-FR"/>
        </w:rPr>
      </w:pPr>
      <w:r w:rsidRPr="009920A6">
        <w:rPr>
          <w:rFonts w:ascii="Garamond" w:hAnsi="Garamond"/>
          <w:b/>
          <w:lang w:val="fr-FR"/>
        </w:rPr>
        <w:t>4. domestic paper / “portefeuille commercial – papier indigène” / „Diskontdarlehen“ or „Wechsel“</w:t>
      </w:r>
    </w:p>
    <w:p w14:paraId="6389E5F2" w14:textId="77777777" w:rsidR="00724901" w:rsidRPr="004C5B23" w:rsidRDefault="00724901" w:rsidP="00CA2C7F">
      <w:pPr>
        <w:spacing w:line="360" w:lineRule="auto"/>
        <w:jc w:val="both"/>
        <w:rPr>
          <w:rFonts w:ascii="Garamond" w:hAnsi="Garamond"/>
        </w:rPr>
      </w:pPr>
      <w:r w:rsidRPr="004C5B23">
        <w:rPr>
          <w:rFonts w:ascii="Garamond" w:hAnsi="Garamond"/>
        </w:rPr>
        <w:t>Time series #4 consists of bills of exchange drawn on domestic places and typically accounts for the majority of the domestic portfolio. (Re-)discounting bills of exchange was at the heart of central bank lending at the time (Bloomfield 1959 is particularly clear on this issue).</w:t>
      </w:r>
    </w:p>
    <w:p w14:paraId="3C475041" w14:textId="77777777" w:rsidR="00724901" w:rsidRPr="004C5B23" w:rsidRDefault="00724901" w:rsidP="00CA2C7F">
      <w:pPr>
        <w:spacing w:line="360" w:lineRule="auto"/>
        <w:jc w:val="both"/>
        <w:rPr>
          <w:rFonts w:ascii="Garamond" w:hAnsi="Garamond"/>
        </w:rPr>
      </w:pPr>
      <w:r w:rsidRPr="004C5B23">
        <w:rPr>
          <w:rFonts w:ascii="Garamond" w:hAnsi="Garamond"/>
        </w:rPr>
        <w:tab/>
        <w:t>In a limited number of cases, time series #4 potentially includes a certain amount of foreign bills of exchange (Germany, Portugal). Yet we do know from the Bank of France Annual Data that these amounts were very small compared to domestic bills of exchange. End-of-year comparisons for Portugal and Germany suggest that foreign bills accounted for less than 1% and 10%, respectively.</w:t>
      </w:r>
      <w:r w:rsidRPr="004C5B23">
        <w:rPr>
          <w:rFonts w:ascii="Garamond" w:hAnsi="Garamond"/>
        </w:rPr>
        <w:tab/>
      </w:r>
    </w:p>
    <w:p w14:paraId="7021D16C" w14:textId="51FDA474" w:rsidR="00724901" w:rsidRPr="004C5B23" w:rsidRDefault="00724901" w:rsidP="00CA2C7F">
      <w:pPr>
        <w:spacing w:line="360" w:lineRule="auto"/>
        <w:jc w:val="both"/>
        <w:rPr>
          <w:rFonts w:ascii="Garamond" w:hAnsi="Garamond"/>
          <w:b/>
        </w:rPr>
      </w:pPr>
    </w:p>
    <w:p w14:paraId="0A9AC4E5" w14:textId="77777777" w:rsidR="00804511" w:rsidRPr="004C5B23" w:rsidRDefault="00804511" w:rsidP="00CA2C7F">
      <w:pPr>
        <w:spacing w:line="360" w:lineRule="auto"/>
        <w:jc w:val="both"/>
        <w:rPr>
          <w:rFonts w:ascii="Garamond" w:hAnsi="Garamond"/>
          <w:b/>
        </w:rPr>
      </w:pPr>
    </w:p>
    <w:p w14:paraId="5C6C14A5" w14:textId="77777777" w:rsidR="00724901" w:rsidRPr="004C5B23" w:rsidRDefault="00724901" w:rsidP="00CA2C7F">
      <w:pPr>
        <w:spacing w:line="360" w:lineRule="auto"/>
        <w:jc w:val="both"/>
        <w:rPr>
          <w:rFonts w:ascii="Garamond" w:hAnsi="Garamond"/>
          <w:b/>
        </w:rPr>
      </w:pPr>
      <w:r w:rsidRPr="004C5B23">
        <w:rPr>
          <w:rFonts w:ascii="Garamond" w:hAnsi="Garamond"/>
          <w:b/>
        </w:rPr>
        <w:t>5. advances on collateral / „avances“ / „Lombarddarlehen“</w:t>
      </w:r>
    </w:p>
    <w:p w14:paraId="3960D3E3" w14:textId="77777777" w:rsidR="00724901" w:rsidRPr="004C5B23" w:rsidRDefault="00724901" w:rsidP="00CA2C7F">
      <w:pPr>
        <w:spacing w:line="360" w:lineRule="auto"/>
        <w:jc w:val="both"/>
        <w:rPr>
          <w:rFonts w:ascii="Garamond" w:hAnsi="Garamond"/>
        </w:rPr>
      </w:pPr>
      <w:r w:rsidRPr="004C5B23">
        <w:rPr>
          <w:rFonts w:ascii="Garamond" w:hAnsi="Garamond"/>
        </w:rPr>
        <w:t>Time series #5 consists of advances. Such advances were typically made available against safe and liquid assets such as government bonds. Yet practice varied with local conditions and we witness a confusing variety of what exactly classifies as an advance. For most countries, a careful comparison of the monthly, quarterly and annual data of the Bank of France delivered the same result. Advances were only made available against safe and liquid assets and their size was small compared to discounted bills of exchange (typically a quarter).</w:t>
      </w:r>
    </w:p>
    <w:p w14:paraId="52AD6C0D" w14:textId="77777777" w:rsidR="00724901" w:rsidRPr="004C5B23" w:rsidRDefault="00724901" w:rsidP="00CA2C7F">
      <w:pPr>
        <w:spacing w:line="360" w:lineRule="auto"/>
        <w:jc w:val="both"/>
        <w:rPr>
          <w:rFonts w:ascii="Garamond" w:hAnsi="Garamond"/>
        </w:rPr>
      </w:pPr>
      <w:r w:rsidRPr="004C5B23">
        <w:rPr>
          <w:rFonts w:ascii="Garamond" w:hAnsi="Garamond"/>
        </w:rPr>
        <w:tab/>
        <w:t>Only the cases of Bulgaria, Denmark, Greece, Norway, Russia, Serbia and Sweden posed specific problems. Incidentally, these seven countries were also the cases where time series #5 was large relative to time series #4 and in some cases even exceeded it. Given the economically backward nature of these countries (with the possible exception of Denmark and Sweden), we view these data problems as pointing to a more fundamental problem on the European periphery: how to enable short-term lending in the absence of sufficient bills of exchange (discount lending) or a scarcity of good collateral (conventional advances)?</w:t>
      </w:r>
    </w:p>
    <w:p w14:paraId="62171E97" w14:textId="77777777" w:rsidR="00724901" w:rsidRPr="004C5B23" w:rsidRDefault="00724901" w:rsidP="00CA2C7F">
      <w:pPr>
        <w:spacing w:line="360" w:lineRule="auto"/>
        <w:jc w:val="both"/>
        <w:rPr>
          <w:rFonts w:ascii="Garamond" w:hAnsi="Garamond"/>
        </w:rPr>
      </w:pPr>
      <w:r w:rsidRPr="004C5B23">
        <w:rPr>
          <w:rFonts w:ascii="Garamond" w:hAnsi="Garamond"/>
        </w:rPr>
        <w:tab/>
        <w:t xml:space="preserve">In these seven cases, unsecured lending, lending against commodities (e.g., iron in the case of Sweden) and lending against real-estate played an important role. We have included all three categories as long as there was sufficient evidence that the lending was short-term. </w:t>
      </w:r>
    </w:p>
    <w:p w14:paraId="338A31CB" w14:textId="77777777" w:rsidR="00724901" w:rsidRPr="004C5B23" w:rsidRDefault="00724901" w:rsidP="00CA2C7F">
      <w:pPr>
        <w:spacing w:line="360" w:lineRule="auto"/>
        <w:jc w:val="both"/>
        <w:rPr>
          <w:rFonts w:ascii="Garamond" w:hAnsi="Garamond"/>
          <w:b/>
        </w:rPr>
      </w:pPr>
    </w:p>
    <w:p w14:paraId="57A50206" w14:textId="77777777" w:rsidR="00724901" w:rsidRPr="004C5B23" w:rsidRDefault="00724901" w:rsidP="00CA2C7F">
      <w:pPr>
        <w:spacing w:line="360" w:lineRule="auto"/>
        <w:jc w:val="both"/>
        <w:rPr>
          <w:rFonts w:ascii="Garamond" w:hAnsi="Garamond"/>
          <w:b/>
        </w:rPr>
      </w:pPr>
      <w:r w:rsidRPr="004C5B23">
        <w:rPr>
          <w:rFonts w:ascii="Garamond" w:hAnsi="Garamond"/>
          <w:b/>
        </w:rPr>
        <w:t>Comment on the relative sizes of time series ##4, 5</w:t>
      </w:r>
    </w:p>
    <w:p w14:paraId="704B92BE" w14:textId="77777777" w:rsidR="00724901" w:rsidRPr="004C5B23" w:rsidRDefault="00724901" w:rsidP="00CA2C7F">
      <w:pPr>
        <w:spacing w:line="360" w:lineRule="auto"/>
        <w:jc w:val="both"/>
        <w:rPr>
          <w:rFonts w:ascii="Garamond" w:hAnsi="Garamond"/>
          <w:b/>
        </w:rPr>
      </w:pPr>
    </w:p>
    <w:p w14:paraId="1E4978D0" w14:textId="77777777" w:rsidR="00724901" w:rsidRPr="004C5B23" w:rsidRDefault="00724901" w:rsidP="00CA2C7F">
      <w:pPr>
        <w:spacing w:line="360" w:lineRule="auto"/>
        <w:jc w:val="both"/>
        <w:rPr>
          <w:rFonts w:ascii="Garamond" w:hAnsi="Garamond"/>
          <w:i/>
        </w:rPr>
      </w:pPr>
      <w:r w:rsidRPr="004C5B23">
        <w:rPr>
          <w:rFonts w:ascii="Garamond" w:hAnsi="Garamond"/>
          <w:i/>
        </w:rPr>
        <w:t>Exceptions to #4 &gt;&gt; #5</w:t>
      </w:r>
    </w:p>
    <w:p w14:paraId="03AC8BB9" w14:textId="77777777" w:rsidR="00724901" w:rsidRPr="004C5B23" w:rsidRDefault="00724901" w:rsidP="00CA2C7F">
      <w:pPr>
        <w:spacing w:line="360" w:lineRule="auto"/>
        <w:jc w:val="both"/>
        <w:rPr>
          <w:rFonts w:ascii="Garamond" w:hAnsi="Garamond"/>
        </w:rPr>
      </w:pPr>
      <w:r w:rsidRPr="004C5B23">
        <w:rPr>
          <w:rFonts w:ascii="Garamond" w:hAnsi="Garamond"/>
        </w:rPr>
        <w:t>Typically, there were many more bills of exchange than advances; a predominance captured in some languages even today when a central bank’s main lending rate is referred to as „discount rate“ (e.g., “Diskontsatz” in German). In the cases of Denmark, Norway, and Sweden, #4 remains larger than #5 even if we include marginal balance sheet items such as lending against iron (cf. our description of time series #5 above). The only exceptions are found in Bulgaria, Greece, Russia and Serbia. This dichotomy between the Balkans (and possibly Russia) on the one hand, and all other peripherals countries on the other hand, is consistent with recent interpretations that South-East Europe (and Russia) were particularly backward even when compared to other peripheral countries, resulting in the development of a distinctively different monetary system (Morys&amp;Ivanonv 2015, Morys 2017).</w:t>
      </w:r>
    </w:p>
    <w:p w14:paraId="5DA7E938" w14:textId="41B3E46A" w:rsidR="00724901" w:rsidRPr="004C5B23" w:rsidRDefault="00724901" w:rsidP="00CA2C7F">
      <w:pPr>
        <w:spacing w:line="360" w:lineRule="auto"/>
        <w:jc w:val="both"/>
        <w:rPr>
          <w:rFonts w:ascii="Garamond" w:hAnsi="Garamond"/>
        </w:rPr>
      </w:pPr>
    </w:p>
    <w:p w14:paraId="741602FD" w14:textId="77777777" w:rsidR="00724901" w:rsidRPr="004C5B23" w:rsidRDefault="00724901" w:rsidP="00CA2C7F">
      <w:pPr>
        <w:spacing w:line="360" w:lineRule="auto"/>
        <w:ind w:firstLine="720"/>
        <w:jc w:val="both"/>
        <w:rPr>
          <w:rFonts w:ascii="Garamond" w:hAnsi="Garamond"/>
        </w:rPr>
      </w:pPr>
    </w:p>
    <w:p w14:paraId="2A10E937" w14:textId="77777777" w:rsidR="00711AA3" w:rsidRPr="00D53CB9" w:rsidRDefault="00711AA3" w:rsidP="00711AA3">
      <w:pPr>
        <w:spacing w:after="200" w:line="276" w:lineRule="auto"/>
        <w:rPr>
          <w:b/>
          <w:sz w:val="16"/>
          <w:szCs w:val="16"/>
        </w:rPr>
      </w:pPr>
    </w:p>
    <w:p w14:paraId="65CFA3A4" w14:textId="77777777" w:rsidR="00711AA3" w:rsidRPr="00D53CB9" w:rsidRDefault="00711AA3" w:rsidP="00711AA3">
      <w:pPr>
        <w:spacing w:after="200" w:line="276" w:lineRule="auto"/>
        <w:rPr>
          <w:b/>
          <w:sz w:val="16"/>
          <w:szCs w:val="16"/>
        </w:rPr>
      </w:pPr>
    </w:p>
    <w:p w14:paraId="69C5C16A" w14:textId="57E6EECB" w:rsidR="00711AA3" w:rsidRPr="00711AA3" w:rsidRDefault="00AC0A94" w:rsidP="00AC0A94">
      <w:pPr>
        <w:pStyle w:val="Heading2"/>
        <w:spacing w:after="240"/>
        <w:jc w:val="center"/>
        <w:rPr>
          <w:sz w:val="28"/>
          <w:szCs w:val="28"/>
        </w:rPr>
      </w:pPr>
      <w:bookmarkStart w:id="20" w:name="_Toc2521990"/>
      <w:r>
        <w:rPr>
          <w:sz w:val="28"/>
          <w:szCs w:val="28"/>
        </w:rPr>
        <w:t xml:space="preserve">Table A1 </w:t>
      </w:r>
      <w:r w:rsidR="00711AA3" w:rsidRPr="00711AA3">
        <w:rPr>
          <w:sz w:val="28"/>
          <w:szCs w:val="28"/>
        </w:rPr>
        <w:t>Summary statistics</w:t>
      </w:r>
      <w:bookmarkEnd w:id="20"/>
    </w:p>
    <w:tbl>
      <w:tblPr>
        <w:tblW w:w="9017" w:type="dxa"/>
        <w:tblCellMar>
          <w:left w:w="70" w:type="dxa"/>
          <w:right w:w="70" w:type="dxa"/>
        </w:tblCellMar>
        <w:tblLook w:val="04A0" w:firstRow="1" w:lastRow="0" w:firstColumn="1" w:lastColumn="0" w:noHBand="0" w:noVBand="1"/>
      </w:tblPr>
      <w:tblGrid>
        <w:gridCol w:w="1769"/>
        <w:gridCol w:w="674"/>
        <w:gridCol w:w="391"/>
        <w:gridCol w:w="598"/>
        <w:gridCol w:w="98"/>
        <w:gridCol w:w="619"/>
        <w:gridCol w:w="45"/>
        <w:gridCol w:w="583"/>
        <w:gridCol w:w="200"/>
        <w:gridCol w:w="513"/>
        <w:gridCol w:w="109"/>
        <w:gridCol w:w="732"/>
        <w:gridCol w:w="263"/>
        <w:gridCol w:w="704"/>
        <w:gridCol w:w="916"/>
        <w:gridCol w:w="691"/>
        <w:gridCol w:w="112"/>
      </w:tblGrid>
      <w:tr w:rsidR="00711AA3" w:rsidRPr="00D53CB9" w14:paraId="165E40E9" w14:textId="77777777" w:rsidTr="00AC0A94">
        <w:trPr>
          <w:gridAfter w:val="3"/>
          <w:wAfter w:w="1735" w:type="dxa"/>
          <w:trHeight w:val="342"/>
        </w:trPr>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6299DC7E" w14:textId="77777777" w:rsidR="00711AA3" w:rsidRPr="00D53CB9" w:rsidRDefault="00711AA3" w:rsidP="00711AA3">
            <w:pPr>
              <w:spacing w:after="200" w:line="276" w:lineRule="auto"/>
              <w:rPr>
                <w:sz w:val="16"/>
                <w:szCs w:val="16"/>
              </w:rPr>
            </w:pPr>
            <w:r w:rsidRPr="00D53CB9">
              <w:rPr>
                <w:sz w:val="16"/>
                <w:szCs w:val="16"/>
              </w:rPr>
              <w:t> </w:t>
            </w:r>
          </w:p>
        </w:tc>
        <w:tc>
          <w:tcPr>
            <w:tcW w:w="659" w:type="dxa"/>
            <w:tcBorders>
              <w:top w:val="single" w:sz="4" w:space="0" w:color="auto"/>
              <w:left w:val="nil"/>
              <w:bottom w:val="single" w:sz="4" w:space="0" w:color="auto"/>
              <w:right w:val="nil"/>
            </w:tcBorders>
            <w:shd w:val="clear" w:color="auto" w:fill="auto"/>
            <w:noWrap/>
            <w:vAlign w:val="bottom"/>
            <w:hideMark/>
          </w:tcPr>
          <w:p w14:paraId="43ACB793" w14:textId="77777777" w:rsidR="00711AA3" w:rsidRPr="00D53CB9" w:rsidRDefault="00711AA3" w:rsidP="00711AA3">
            <w:pPr>
              <w:spacing w:after="200" w:line="276" w:lineRule="auto"/>
              <w:rPr>
                <w:sz w:val="16"/>
                <w:szCs w:val="16"/>
              </w:rPr>
            </w:pPr>
            <w:r w:rsidRPr="00D53CB9">
              <w:rPr>
                <w:sz w:val="16"/>
                <w:szCs w:val="16"/>
              </w:rPr>
              <w:t>England</w:t>
            </w:r>
          </w:p>
        </w:tc>
        <w:tc>
          <w:tcPr>
            <w:tcW w:w="989" w:type="dxa"/>
            <w:gridSpan w:val="2"/>
            <w:tcBorders>
              <w:top w:val="single" w:sz="4" w:space="0" w:color="auto"/>
              <w:left w:val="nil"/>
              <w:bottom w:val="single" w:sz="4" w:space="0" w:color="auto"/>
              <w:right w:val="nil"/>
            </w:tcBorders>
            <w:shd w:val="clear" w:color="auto" w:fill="auto"/>
            <w:noWrap/>
            <w:vAlign w:val="bottom"/>
            <w:hideMark/>
          </w:tcPr>
          <w:p w14:paraId="540B4829" w14:textId="77777777" w:rsidR="00711AA3" w:rsidRPr="00D53CB9" w:rsidRDefault="00711AA3" w:rsidP="00711AA3">
            <w:pPr>
              <w:spacing w:after="200" w:line="276" w:lineRule="auto"/>
              <w:rPr>
                <w:sz w:val="16"/>
                <w:szCs w:val="16"/>
              </w:rPr>
            </w:pPr>
            <w:r w:rsidRPr="00D53CB9">
              <w:rPr>
                <w:sz w:val="16"/>
                <w:szCs w:val="16"/>
              </w:rPr>
              <w:t>Austria</w:t>
            </w:r>
          </w:p>
        </w:tc>
        <w:tc>
          <w:tcPr>
            <w:tcW w:w="762" w:type="dxa"/>
            <w:gridSpan w:val="3"/>
            <w:tcBorders>
              <w:top w:val="single" w:sz="4" w:space="0" w:color="auto"/>
              <w:left w:val="nil"/>
              <w:bottom w:val="single" w:sz="4" w:space="0" w:color="auto"/>
              <w:right w:val="nil"/>
            </w:tcBorders>
            <w:shd w:val="clear" w:color="auto" w:fill="auto"/>
            <w:noWrap/>
            <w:vAlign w:val="bottom"/>
            <w:hideMark/>
          </w:tcPr>
          <w:p w14:paraId="4FDC2ADB" w14:textId="77777777" w:rsidR="00711AA3" w:rsidRPr="00D53CB9" w:rsidRDefault="00711AA3" w:rsidP="00711AA3">
            <w:pPr>
              <w:spacing w:after="200" w:line="276" w:lineRule="auto"/>
              <w:rPr>
                <w:sz w:val="16"/>
                <w:szCs w:val="16"/>
              </w:rPr>
            </w:pPr>
            <w:r w:rsidRPr="00D53CB9">
              <w:rPr>
                <w:sz w:val="16"/>
                <w:szCs w:val="16"/>
              </w:rPr>
              <w:t>Belgium</w:t>
            </w:r>
          </w:p>
        </w:tc>
        <w:tc>
          <w:tcPr>
            <w:tcW w:w="783" w:type="dxa"/>
            <w:gridSpan w:val="2"/>
            <w:tcBorders>
              <w:top w:val="single" w:sz="4" w:space="0" w:color="auto"/>
              <w:left w:val="nil"/>
              <w:bottom w:val="single" w:sz="4" w:space="0" w:color="auto"/>
              <w:right w:val="nil"/>
            </w:tcBorders>
            <w:shd w:val="clear" w:color="auto" w:fill="auto"/>
            <w:noWrap/>
            <w:vAlign w:val="bottom"/>
            <w:hideMark/>
          </w:tcPr>
          <w:p w14:paraId="4C64E4DB" w14:textId="77777777" w:rsidR="00711AA3" w:rsidRPr="00D53CB9" w:rsidRDefault="00711AA3" w:rsidP="00711AA3">
            <w:pPr>
              <w:spacing w:after="200" w:line="276" w:lineRule="auto"/>
              <w:rPr>
                <w:sz w:val="16"/>
                <w:szCs w:val="16"/>
              </w:rPr>
            </w:pPr>
            <w:r w:rsidRPr="00D53CB9">
              <w:rPr>
                <w:sz w:val="16"/>
                <w:szCs w:val="16"/>
              </w:rPr>
              <w:t>Germany</w:t>
            </w:r>
          </w:p>
        </w:tc>
        <w:tc>
          <w:tcPr>
            <w:tcW w:w="622" w:type="dxa"/>
            <w:gridSpan w:val="2"/>
            <w:tcBorders>
              <w:top w:val="single" w:sz="4" w:space="0" w:color="auto"/>
              <w:left w:val="nil"/>
              <w:bottom w:val="single" w:sz="4" w:space="0" w:color="auto"/>
              <w:right w:val="nil"/>
            </w:tcBorders>
            <w:shd w:val="clear" w:color="auto" w:fill="auto"/>
            <w:noWrap/>
            <w:vAlign w:val="bottom"/>
            <w:hideMark/>
          </w:tcPr>
          <w:p w14:paraId="55AC8278" w14:textId="77777777" w:rsidR="00711AA3" w:rsidRPr="00D53CB9" w:rsidRDefault="00711AA3" w:rsidP="00711AA3">
            <w:pPr>
              <w:spacing w:after="200" w:line="276" w:lineRule="auto"/>
              <w:rPr>
                <w:sz w:val="16"/>
                <w:szCs w:val="16"/>
              </w:rPr>
            </w:pPr>
            <w:r w:rsidRPr="00D53CB9">
              <w:rPr>
                <w:sz w:val="16"/>
                <w:szCs w:val="16"/>
              </w:rPr>
              <w:t>France</w:t>
            </w:r>
          </w:p>
        </w:tc>
        <w:tc>
          <w:tcPr>
            <w:tcW w:w="995" w:type="dxa"/>
            <w:gridSpan w:val="2"/>
            <w:tcBorders>
              <w:top w:val="single" w:sz="4" w:space="0" w:color="auto"/>
              <w:left w:val="nil"/>
              <w:bottom w:val="single" w:sz="4" w:space="0" w:color="auto"/>
              <w:right w:val="nil"/>
            </w:tcBorders>
            <w:shd w:val="clear" w:color="auto" w:fill="auto"/>
            <w:noWrap/>
            <w:vAlign w:val="bottom"/>
            <w:hideMark/>
          </w:tcPr>
          <w:p w14:paraId="5616186C" w14:textId="77777777" w:rsidR="00711AA3" w:rsidRPr="00D53CB9" w:rsidRDefault="00711AA3" w:rsidP="00711AA3">
            <w:pPr>
              <w:spacing w:after="200" w:line="276" w:lineRule="auto"/>
              <w:rPr>
                <w:sz w:val="16"/>
                <w:szCs w:val="16"/>
              </w:rPr>
            </w:pPr>
            <w:r w:rsidRPr="00D53CB9">
              <w:rPr>
                <w:sz w:val="16"/>
                <w:szCs w:val="16"/>
              </w:rPr>
              <w:t>Netherlands</w:t>
            </w:r>
          </w:p>
        </w:tc>
        <w:tc>
          <w:tcPr>
            <w:tcW w:w="703" w:type="dxa"/>
            <w:tcBorders>
              <w:top w:val="single" w:sz="4" w:space="0" w:color="auto"/>
              <w:left w:val="nil"/>
              <w:bottom w:val="single" w:sz="4" w:space="0" w:color="auto"/>
              <w:right w:val="nil"/>
            </w:tcBorders>
            <w:shd w:val="clear" w:color="auto" w:fill="auto"/>
            <w:noWrap/>
            <w:vAlign w:val="bottom"/>
            <w:hideMark/>
          </w:tcPr>
          <w:p w14:paraId="28B3D77B" w14:textId="77777777" w:rsidR="00711AA3" w:rsidRPr="00D53CB9" w:rsidRDefault="00711AA3" w:rsidP="00711AA3">
            <w:pPr>
              <w:spacing w:after="200" w:line="276" w:lineRule="auto"/>
              <w:rPr>
                <w:sz w:val="16"/>
                <w:szCs w:val="16"/>
              </w:rPr>
            </w:pPr>
            <w:r w:rsidRPr="00D53CB9">
              <w:rPr>
                <w:sz w:val="16"/>
                <w:szCs w:val="16"/>
              </w:rPr>
              <w:t>Sweden</w:t>
            </w:r>
          </w:p>
        </w:tc>
      </w:tr>
      <w:tr w:rsidR="00711AA3" w:rsidRPr="00D53CB9" w14:paraId="40AFFF47" w14:textId="77777777" w:rsidTr="00AC0A94">
        <w:trPr>
          <w:gridAfter w:val="3"/>
          <w:wAfter w:w="1735" w:type="dxa"/>
          <w:trHeight w:val="185"/>
        </w:trPr>
        <w:tc>
          <w:tcPr>
            <w:tcW w:w="1769" w:type="dxa"/>
            <w:tcBorders>
              <w:top w:val="nil"/>
              <w:left w:val="nil"/>
              <w:bottom w:val="nil"/>
              <w:right w:val="single" w:sz="4" w:space="0" w:color="auto"/>
            </w:tcBorders>
            <w:shd w:val="clear" w:color="auto" w:fill="auto"/>
            <w:noWrap/>
            <w:vAlign w:val="bottom"/>
            <w:hideMark/>
          </w:tcPr>
          <w:p w14:paraId="38ECD91A" w14:textId="77777777" w:rsidR="00711AA3" w:rsidRPr="00D53CB9" w:rsidRDefault="00711AA3" w:rsidP="00711AA3">
            <w:pPr>
              <w:spacing w:after="200" w:line="276" w:lineRule="auto"/>
              <w:rPr>
                <w:sz w:val="16"/>
                <w:szCs w:val="16"/>
              </w:rPr>
            </w:pPr>
            <w:r w:rsidRPr="00D53CB9">
              <w:rPr>
                <w:sz w:val="16"/>
                <w:szCs w:val="16"/>
              </w:rPr>
              <w:t>Share metalic reserves</w:t>
            </w:r>
          </w:p>
        </w:tc>
        <w:tc>
          <w:tcPr>
            <w:tcW w:w="659" w:type="dxa"/>
            <w:tcBorders>
              <w:top w:val="nil"/>
              <w:left w:val="nil"/>
              <w:bottom w:val="nil"/>
              <w:right w:val="nil"/>
            </w:tcBorders>
            <w:shd w:val="clear" w:color="auto" w:fill="auto"/>
            <w:noWrap/>
            <w:vAlign w:val="bottom"/>
            <w:hideMark/>
          </w:tcPr>
          <w:p w14:paraId="71518599" w14:textId="77777777" w:rsidR="00711AA3" w:rsidRPr="00D53CB9" w:rsidRDefault="00711AA3" w:rsidP="00711AA3">
            <w:pPr>
              <w:spacing w:after="200" w:line="276" w:lineRule="auto"/>
              <w:rPr>
                <w:sz w:val="16"/>
                <w:szCs w:val="16"/>
              </w:rPr>
            </w:pPr>
            <w:r w:rsidRPr="00D53CB9">
              <w:rPr>
                <w:sz w:val="16"/>
                <w:szCs w:val="16"/>
              </w:rPr>
              <w:t>1</w:t>
            </w:r>
          </w:p>
        </w:tc>
        <w:tc>
          <w:tcPr>
            <w:tcW w:w="989" w:type="dxa"/>
            <w:gridSpan w:val="2"/>
            <w:tcBorders>
              <w:top w:val="nil"/>
              <w:left w:val="nil"/>
              <w:bottom w:val="nil"/>
              <w:right w:val="nil"/>
            </w:tcBorders>
            <w:shd w:val="clear" w:color="auto" w:fill="auto"/>
            <w:noWrap/>
            <w:vAlign w:val="bottom"/>
            <w:hideMark/>
          </w:tcPr>
          <w:p w14:paraId="5F7F1F8A" w14:textId="77777777" w:rsidR="00711AA3" w:rsidRPr="00D53CB9" w:rsidRDefault="00711AA3" w:rsidP="00711AA3">
            <w:pPr>
              <w:spacing w:after="200" w:line="276" w:lineRule="auto"/>
              <w:rPr>
                <w:sz w:val="16"/>
                <w:szCs w:val="16"/>
              </w:rPr>
            </w:pPr>
            <w:r w:rsidRPr="00D53CB9">
              <w:rPr>
                <w:sz w:val="16"/>
                <w:szCs w:val="16"/>
              </w:rPr>
              <w:t>0,9169</w:t>
            </w:r>
          </w:p>
        </w:tc>
        <w:tc>
          <w:tcPr>
            <w:tcW w:w="762" w:type="dxa"/>
            <w:gridSpan w:val="3"/>
            <w:tcBorders>
              <w:top w:val="nil"/>
              <w:left w:val="nil"/>
              <w:bottom w:val="nil"/>
              <w:right w:val="nil"/>
            </w:tcBorders>
            <w:shd w:val="clear" w:color="auto" w:fill="auto"/>
            <w:noWrap/>
            <w:vAlign w:val="bottom"/>
            <w:hideMark/>
          </w:tcPr>
          <w:p w14:paraId="2AE9CCC6" w14:textId="77777777" w:rsidR="00711AA3" w:rsidRPr="00D53CB9" w:rsidRDefault="00711AA3" w:rsidP="00711AA3">
            <w:pPr>
              <w:spacing w:after="200" w:line="276" w:lineRule="auto"/>
              <w:rPr>
                <w:sz w:val="16"/>
                <w:szCs w:val="16"/>
              </w:rPr>
            </w:pPr>
            <w:r w:rsidRPr="00D53CB9">
              <w:rPr>
                <w:sz w:val="16"/>
                <w:szCs w:val="16"/>
              </w:rPr>
              <w:t>0,4974</w:t>
            </w:r>
          </w:p>
        </w:tc>
        <w:tc>
          <w:tcPr>
            <w:tcW w:w="783" w:type="dxa"/>
            <w:gridSpan w:val="2"/>
            <w:tcBorders>
              <w:top w:val="nil"/>
              <w:left w:val="nil"/>
              <w:bottom w:val="nil"/>
              <w:right w:val="nil"/>
            </w:tcBorders>
            <w:shd w:val="clear" w:color="auto" w:fill="auto"/>
            <w:noWrap/>
            <w:vAlign w:val="bottom"/>
            <w:hideMark/>
          </w:tcPr>
          <w:p w14:paraId="66618106" w14:textId="77777777" w:rsidR="00711AA3" w:rsidRPr="00D53CB9" w:rsidRDefault="00711AA3" w:rsidP="00711AA3">
            <w:pPr>
              <w:spacing w:after="200" w:line="276" w:lineRule="auto"/>
              <w:rPr>
                <w:sz w:val="16"/>
                <w:szCs w:val="16"/>
              </w:rPr>
            </w:pPr>
            <w:r w:rsidRPr="00D53CB9">
              <w:rPr>
                <w:sz w:val="16"/>
                <w:szCs w:val="16"/>
              </w:rPr>
              <w:t>1</w:t>
            </w:r>
          </w:p>
        </w:tc>
        <w:tc>
          <w:tcPr>
            <w:tcW w:w="622" w:type="dxa"/>
            <w:gridSpan w:val="2"/>
            <w:tcBorders>
              <w:top w:val="nil"/>
              <w:left w:val="nil"/>
              <w:bottom w:val="nil"/>
              <w:right w:val="nil"/>
            </w:tcBorders>
            <w:shd w:val="clear" w:color="auto" w:fill="auto"/>
            <w:noWrap/>
            <w:vAlign w:val="bottom"/>
            <w:hideMark/>
          </w:tcPr>
          <w:p w14:paraId="459FACC1" w14:textId="77777777" w:rsidR="00711AA3" w:rsidRPr="00D53CB9" w:rsidRDefault="00711AA3" w:rsidP="00711AA3">
            <w:pPr>
              <w:spacing w:after="200" w:line="276" w:lineRule="auto"/>
              <w:rPr>
                <w:sz w:val="16"/>
                <w:szCs w:val="16"/>
              </w:rPr>
            </w:pPr>
            <w:r w:rsidRPr="00D53CB9">
              <w:rPr>
                <w:sz w:val="16"/>
                <w:szCs w:val="16"/>
              </w:rPr>
              <w:t>0,9986</w:t>
            </w:r>
          </w:p>
        </w:tc>
        <w:tc>
          <w:tcPr>
            <w:tcW w:w="995" w:type="dxa"/>
            <w:gridSpan w:val="2"/>
            <w:tcBorders>
              <w:top w:val="nil"/>
              <w:left w:val="nil"/>
              <w:bottom w:val="nil"/>
              <w:right w:val="nil"/>
            </w:tcBorders>
            <w:shd w:val="clear" w:color="auto" w:fill="auto"/>
            <w:noWrap/>
            <w:vAlign w:val="bottom"/>
            <w:hideMark/>
          </w:tcPr>
          <w:p w14:paraId="19B33F55" w14:textId="77777777" w:rsidR="00711AA3" w:rsidRPr="00D53CB9" w:rsidRDefault="00711AA3" w:rsidP="00711AA3">
            <w:pPr>
              <w:spacing w:after="200" w:line="276" w:lineRule="auto"/>
              <w:rPr>
                <w:sz w:val="16"/>
                <w:szCs w:val="16"/>
              </w:rPr>
            </w:pPr>
            <w:r w:rsidRPr="00D53CB9">
              <w:rPr>
                <w:sz w:val="16"/>
                <w:szCs w:val="16"/>
              </w:rPr>
              <w:t>0,9079</w:t>
            </w:r>
          </w:p>
        </w:tc>
        <w:tc>
          <w:tcPr>
            <w:tcW w:w="703" w:type="dxa"/>
            <w:tcBorders>
              <w:top w:val="nil"/>
              <w:left w:val="nil"/>
              <w:bottom w:val="nil"/>
              <w:right w:val="nil"/>
            </w:tcBorders>
            <w:shd w:val="clear" w:color="auto" w:fill="auto"/>
            <w:noWrap/>
            <w:vAlign w:val="bottom"/>
            <w:hideMark/>
          </w:tcPr>
          <w:p w14:paraId="0C9163D8" w14:textId="77777777" w:rsidR="00711AA3" w:rsidRPr="00D53CB9" w:rsidRDefault="00711AA3" w:rsidP="00711AA3">
            <w:pPr>
              <w:spacing w:after="200" w:line="276" w:lineRule="auto"/>
              <w:rPr>
                <w:sz w:val="16"/>
                <w:szCs w:val="16"/>
              </w:rPr>
            </w:pPr>
            <w:r w:rsidRPr="00D53CB9">
              <w:rPr>
                <w:sz w:val="16"/>
                <w:szCs w:val="16"/>
              </w:rPr>
              <w:t>0,5849</w:t>
            </w:r>
          </w:p>
        </w:tc>
      </w:tr>
      <w:tr w:rsidR="00711AA3" w:rsidRPr="00D53CB9" w14:paraId="79EC9C6A" w14:textId="77777777" w:rsidTr="00AC0A94">
        <w:trPr>
          <w:gridAfter w:val="3"/>
          <w:wAfter w:w="1735" w:type="dxa"/>
          <w:trHeight w:val="185"/>
        </w:trPr>
        <w:tc>
          <w:tcPr>
            <w:tcW w:w="1769" w:type="dxa"/>
            <w:tcBorders>
              <w:top w:val="nil"/>
              <w:left w:val="nil"/>
              <w:bottom w:val="nil"/>
              <w:right w:val="single" w:sz="4" w:space="0" w:color="auto"/>
            </w:tcBorders>
            <w:shd w:val="clear" w:color="auto" w:fill="auto"/>
            <w:noWrap/>
            <w:vAlign w:val="bottom"/>
            <w:hideMark/>
          </w:tcPr>
          <w:p w14:paraId="3AE12E45" w14:textId="77777777" w:rsidR="00711AA3" w:rsidRPr="00D53CB9" w:rsidRDefault="00711AA3" w:rsidP="00711AA3">
            <w:pPr>
              <w:spacing w:after="200" w:line="276" w:lineRule="auto"/>
              <w:rPr>
                <w:sz w:val="16"/>
                <w:szCs w:val="16"/>
              </w:rPr>
            </w:pPr>
            <w:r w:rsidRPr="00D53CB9">
              <w:rPr>
                <w:sz w:val="16"/>
                <w:szCs w:val="16"/>
              </w:rPr>
              <w:t>share foreign bills</w:t>
            </w:r>
          </w:p>
        </w:tc>
        <w:tc>
          <w:tcPr>
            <w:tcW w:w="659" w:type="dxa"/>
            <w:tcBorders>
              <w:top w:val="nil"/>
              <w:left w:val="nil"/>
              <w:bottom w:val="nil"/>
              <w:right w:val="nil"/>
            </w:tcBorders>
            <w:shd w:val="clear" w:color="auto" w:fill="auto"/>
            <w:noWrap/>
            <w:vAlign w:val="bottom"/>
            <w:hideMark/>
          </w:tcPr>
          <w:p w14:paraId="6BB8E0FC" w14:textId="77777777" w:rsidR="00711AA3" w:rsidRPr="00D53CB9" w:rsidRDefault="00711AA3" w:rsidP="00711AA3">
            <w:pPr>
              <w:spacing w:after="200" w:line="276" w:lineRule="auto"/>
              <w:rPr>
                <w:sz w:val="16"/>
                <w:szCs w:val="16"/>
              </w:rPr>
            </w:pPr>
            <w:r w:rsidRPr="00D53CB9">
              <w:rPr>
                <w:sz w:val="16"/>
                <w:szCs w:val="16"/>
              </w:rPr>
              <w:t>0</w:t>
            </w:r>
          </w:p>
        </w:tc>
        <w:tc>
          <w:tcPr>
            <w:tcW w:w="989" w:type="dxa"/>
            <w:gridSpan w:val="2"/>
            <w:tcBorders>
              <w:top w:val="nil"/>
              <w:left w:val="nil"/>
              <w:bottom w:val="nil"/>
              <w:right w:val="nil"/>
            </w:tcBorders>
            <w:shd w:val="clear" w:color="auto" w:fill="auto"/>
            <w:noWrap/>
            <w:vAlign w:val="bottom"/>
            <w:hideMark/>
          </w:tcPr>
          <w:p w14:paraId="2E9C0E2C" w14:textId="77777777" w:rsidR="00711AA3" w:rsidRPr="00D53CB9" w:rsidRDefault="00711AA3" w:rsidP="00711AA3">
            <w:pPr>
              <w:spacing w:after="200" w:line="276" w:lineRule="auto"/>
              <w:rPr>
                <w:sz w:val="16"/>
                <w:szCs w:val="16"/>
              </w:rPr>
            </w:pPr>
            <w:r w:rsidRPr="00D53CB9">
              <w:rPr>
                <w:sz w:val="16"/>
                <w:szCs w:val="16"/>
              </w:rPr>
              <w:t>0,0593</w:t>
            </w:r>
          </w:p>
        </w:tc>
        <w:tc>
          <w:tcPr>
            <w:tcW w:w="762" w:type="dxa"/>
            <w:gridSpan w:val="3"/>
            <w:tcBorders>
              <w:top w:val="nil"/>
              <w:left w:val="nil"/>
              <w:bottom w:val="nil"/>
              <w:right w:val="nil"/>
            </w:tcBorders>
            <w:shd w:val="clear" w:color="auto" w:fill="auto"/>
            <w:noWrap/>
            <w:vAlign w:val="bottom"/>
            <w:hideMark/>
          </w:tcPr>
          <w:p w14:paraId="33D873BE" w14:textId="77777777" w:rsidR="00711AA3" w:rsidRPr="00D53CB9" w:rsidRDefault="00711AA3" w:rsidP="00711AA3">
            <w:pPr>
              <w:spacing w:after="200" w:line="276" w:lineRule="auto"/>
              <w:rPr>
                <w:sz w:val="16"/>
                <w:szCs w:val="16"/>
              </w:rPr>
            </w:pPr>
            <w:r w:rsidRPr="00D53CB9">
              <w:rPr>
                <w:sz w:val="16"/>
                <w:szCs w:val="16"/>
              </w:rPr>
              <w:t>0,5026</w:t>
            </w:r>
          </w:p>
        </w:tc>
        <w:tc>
          <w:tcPr>
            <w:tcW w:w="783" w:type="dxa"/>
            <w:gridSpan w:val="2"/>
            <w:tcBorders>
              <w:top w:val="nil"/>
              <w:left w:val="nil"/>
              <w:bottom w:val="nil"/>
              <w:right w:val="nil"/>
            </w:tcBorders>
            <w:shd w:val="clear" w:color="auto" w:fill="auto"/>
            <w:noWrap/>
            <w:vAlign w:val="bottom"/>
            <w:hideMark/>
          </w:tcPr>
          <w:p w14:paraId="11DD1DFD" w14:textId="77777777" w:rsidR="00711AA3" w:rsidRPr="00D53CB9" w:rsidRDefault="00711AA3" w:rsidP="00711AA3">
            <w:pPr>
              <w:spacing w:after="200" w:line="276" w:lineRule="auto"/>
              <w:rPr>
                <w:sz w:val="16"/>
                <w:szCs w:val="16"/>
              </w:rPr>
            </w:pPr>
            <w:r w:rsidRPr="00D53CB9">
              <w:rPr>
                <w:sz w:val="16"/>
                <w:szCs w:val="16"/>
              </w:rPr>
              <w:t>0</w:t>
            </w:r>
          </w:p>
        </w:tc>
        <w:tc>
          <w:tcPr>
            <w:tcW w:w="622" w:type="dxa"/>
            <w:gridSpan w:val="2"/>
            <w:tcBorders>
              <w:top w:val="nil"/>
              <w:left w:val="nil"/>
              <w:bottom w:val="nil"/>
              <w:right w:val="nil"/>
            </w:tcBorders>
            <w:shd w:val="clear" w:color="auto" w:fill="auto"/>
            <w:noWrap/>
            <w:vAlign w:val="bottom"/>
            <w:hideMark/>
          </w:tcPr>
          <w:p w14:paraId="6AD41DD7" w14:textId="77777777" w:rsidR="00711AA3" w:rsidRPr="00D53CB9" w:rsidRDefault="00711AA3" w:rsidP="00711AA3">
            <w:pPr>
              <w:spacing w:after="200" w:line="276" w:lineRule="auto"/>
              <w:rPr>
                <w:sz w:val="16"/>
                <w:szCs w:val="16"/>
              </w:rPr>
            </w:pPr>
            <w:r w:rsidRPr="00D53CB9">
              <w:rPr>
                <w:sz w:val="16"/>
                <w:szCs w:val="16"/>
              </w:rPr>
              <w:t>0,0014</w:t>
            </w:r>
          </w:p>
        </w:tc>
        <w:tc>
          <w:tcPr>
            <w:tcW w:w="995" w:type="dxa"/>
            <w:gridSpan w:val="2"/>
            <w:tcBorders>
              <w:top w:val="nil"/>
              <w:left w:val="nil"/>
              <w:bottom w:val="nil"/>
              <w:right w:val="nil"/>
            </w:tcBorders>
            <w:shd w:val="clear" w:color="auto" w:fill="auto"/>
            <w:noWrap/>
            <w:vAlign w:val="bottom"/>
            <w:hideMark/>
          </w:tcPr>
          <w:p w14:paraId="6689C461" w14:textId="77777777" w:rsidR="00711AA3" w:rsidRPr="00D53CB9" w:rsidRDefault="00711AA3" w:rsidP="00711AA3">
            <w:pPr>
              <w:spacing w:after="200" w:line="276" w:lineRule="auto"/>
              <w:rPr>
                <w:sz w:val="16"/>
                <w:szCs w:val="16"/>
              </w:rPr>
            </w:pPr>
            <w:r w:rsidRPr="00D53CB9">
              <w:rPr>
                <w:sz w:val="16"/>
                <w:szCs w:val="16"/>
              </w:rPr>
              <w:t>0,0921</w:t>
            </w:r>
          </w:p>
        </w:tc>
        <w:tc>
          <w:tcPr>
            <w:tcW w:w="703" w:type="dxa"/>
            <w:tcBorders>
              <w:top w:val="nil"/>
              <w:left w:val="nil"/>
              <w:bottom w:val="nil"/>
              <w:right w:val="nil"/>
            </w:tcBorders>
            <w:shd w:val="clear" w:color="auto" w:fill="auto"/>
            <w:noWrap/>
            <w:vAlign w:val="bottom"/>
            <w:hideMark/>
          </w:tcPr>
          <w:p w14:paraId="4E3FA011" w14:textId="77777777" w:rsidR="00711AA3" w:rsidRPr="00D53CB9" w:rsidRDefault="00711AA3" w:rsidP="00711AA3">
            <w:pPr>
              <w:spacing w:after="200" w:line="276" w:lineRule="auto"/>
              <w:rPr>
                <w:sz w:val="16"/>
                <w:szCs w:val="16"/>
              </w:rPr>
            </w:pPr>
            <w:r w:rsidRPr="00D53CB9">
              <w:rPr>
                <w:sz w:val="16"/>
                <w:szCs w:val="16"/>
              </w:rPr>
              <w:t>0,1317</w:t>
            </w:r>
          </w:p>
        </w:tc>
      </w:tr>
      <w:tr w:rsidR="00711AA3" w:rsidRPr="00D53CB9" w14:paraId="02C27B13" w14:textId="77777777" w:rsidTr="00AC0A94">
        <w:trPr>
          <w:gridAfter w:val="3"/>
          <w:wAfter w:w="1735" w:type="dxa"/>
          <w:trHeight w:val="185"/>
        </w:trPr>
        <w:tc>
          <w:tcPr>
            <w:tcW w:w="1769" w:type="dxa"/>
            <w:tcBorders>
              <w:top w:val="nil"/>
              <w:left w:val="nil"/>
              <w:bottom w:val="nil"/>
              <w:right w:val="single" w:sz="4" w:space="0" w:color="auto"/>
            </w:tcBorders>
            <w:shd w:val="clear" w:color="auto" w:fill="auto"/>
            <w:noWrap/>
            <w:vAlign w:val="bottom"/>
            <w:hideMark/>
          </w:tcPr>
          <w:p w14:paraId="05399276" w14:textId="77777777" w:rsidR="00711AA3" w:rsidRPr="00D53CB9" w:rsidRDefault="00711AA3" w:rsidP="00711AA3">
            <w:pPr>
              <w:spacing w:after="200" w:line="276" w:lineRule="auto"/>
              <w:rPr>
                <w:sz w:val="16"/>
                <w:szCs w:val="16"/>
              </w:rPr>
            </w:pPr>
            <w:r w:rsidRPr="00D53CB9">
              <w:rPr>
                <w:sz w:val="16"/>
                <w:szCs w:val="16"/>
              </w:rPr>
              <w:t>share foreign funds</w:t>
            </w:r>
          </w:p>
        </w:tc>
        <w:tc>
          <w:tcPr>
            <w:tcW w:w="659" w:type="dxa"/>
            <w:tcBorders>
              <w:top w:val="nil"/>
              <w:left w:val="nil"/>
              <w:bottom w:val="nil"/>
              <w:right w:val="nil"/>
            </w:tcBorders>
            <w:shd w:val="clear" w:color="auto" w:fill="auto"/>
            <w:noWrap/>
            <w:vAlign w:val="bottom"/>
            <w:hideMark/>
          </w:tcPr>
          <w:p w14:paraId="0CB46767" w14:textId="77777777" w:rsidR="00711AA3" w:rsidRPr="00D53CB9" w:rsidRDefault="00711AA3" w:rsidP="00711AA3">
            <w:pPr>
              <w:spacing w:after="200" w:line="276" w:lineRule="auto"/>
              <w:rPr>
                <w:sz w:val="16"/>
                <w:szCs w:val="16"/>
              </w:rPr>
            </w:pPr>
            <w:r w:rsidRPr="00D53CB9">
              <w:rPr>
                <w:sz w:val="16"/>
                <w:szCs w:val="16"/>
              </w:rPr>
              <w:t>0</w:t>
            </w:r>
          </w:p>
        </w:tc>
        <w:tc>
          <w:tcPr>
            <w:tcW w:w="989" w:type="dxa"/>
            <w:gridSpan w:val="2"/>
            <w:tcBorders>
              <w:top w:val="nil"/>
              <w:left w:val="nil"/>
              <w:bottom w:val="nil"/>
              <w:right w:val="nil"/>
            </w:tcBorders>
            <w:shd w:val="clear" w:color="auto" w:fill="auto"/>
            <w:noWrap/>
            <w:vAlign w:val="bottom"/>
            <w:hideMark/>
          </w:tcPr>
          <w:p w14:paraId="7FEF862C" w14:textId="77777777" w:rsidR="00711AA3" w:rsidRPr="00D53CB9" w:rsidRDefault="00711AA3" w:rsidP="00711AA3">
            <w:pPr>
              <w:spacing w:after="200" w:line="276" w:lineRule="auto"/>
              <w:rPr>
                <w:sz w:val="16"/>
                <w:szCs w:val="16"/>
              </w:rPr>
            </w:pPr>
            <w:r w:rsidRPr="00D53CB9">
              <w:rPr>
                <w:sz w:val="16"/>
                <w:szCs w:val="16"/>
              </w:rPr>
              <w:t>0,0238</w:t>
            </w:r>
          </w:p>
        </w:tc>
        <w:tc>
          <w:tcPr>
            <w:tcW w:w="762" w:type="dxa"/>
            <w:gridSpan w:val="3"/>
            <w:tcBorders>
              <w:top w:val="nil"/>
              <w:left w:val="nil"/>
              <w:bottom w:val="nil"/>
              <w:right w:val="nil"/>
            </w:tcBorders>
            <w:shd w:val="clear" w:color="auto" w:fill="auto"/>
            <w:noWrap/>
            <w:vAlign w:val="bottom"/>
            <w:hideMark/>
          </w:tcPr>
          <w:p w14:paraId="22FB4930" w14:textId="77777777" w:rsidR="00711AA3" w:rsidRPr="00D53CB9" w:rsidRDefault="00711AA3" w:rsidP="00711AA3">
            <w:pPr>
              <w:spacing w:after="200" w:line="276" w:lineRule="auto"/>
              <w:rPr>
                <w:sz w:val="16"/>
                <w:szCs w:val="16"/>
              </w:rPr>
            </w:pPr>
            <w:r w:rsidRPr="00D53CB9">
              <w:rPr>
                <w:sz w:val="16"/>
                <w:szCs w:val="16"/>
              </w:rPr>
              <w:t>0</w:t>
            </w:r>
          </w:p>
        </w:tc>
        <w:tc>
          <w:tcPr>
            <w:tcW w:w="783" w:type="dxa"/>
            <w:gridSpan w:val="2"/>
            <w:tcBorders>
              <w:top w:val="nil"/>
              <w:left w:val="nil"/>
              <w:bottom w:val="nil"/>
              <w:right w:val="nil"/>
            </w:tcBorders>
            <w:shd w:val="clear" w:color="auto" w:fill="auto"/>
            <w:noWrap/>
            <w:vAlign w:val="bottom"/>
            <w:hideMark/>
          </w:tcPr>
          <w:p w14:paraId="1D336C04" w14:textId="77777777" w:rsidR="00711AA3" w:rsidRPr="00D53CB9" w:rsidRDefault="00711AA3" w:rsidP="00711AA3">
            <w:pPr>
              <w:spacing w:after="200" w:line="276" w:lineRule="auto"/>
              <w:rPr>
                <w:sz w:val="16"/>
                <w:szCs w:val="16"/>
              </w:rPr>
            </w:pPr>
            <w:r w:rsidRPr="00D53CB9">
              <w:rPr>
                <w:sz w:val="16"/>
                <w:szCs w:val="16"/>
              </w:rPr>
              <w:t>0</w:t>
            </w:r>
          </w:p>
        </w:tc>
        <w:tc>
          <w:tcPr>
            <w:tcW w:w="622" w:type="dxa"/>
            <w:gridSpan w:val="2"/>
            <w:tcBorders>
              <w:top w:val="nil"/>
              <w:left w:val="nil"/>
              <w:bottom w:val="nil"/>
              <w:right w:val="nil"/>
            </w:tcBorders>
            <w:shd w:val="clear" w:color="auto" w:fill="auto"/>
            <w:noWrap/>
            <w:vAlign w:val="bottom"/>
            <w:hideMark/>
          </w:tcPr>
          <w:p w14:paraId="58C3840F" w14:textId="77777777" w:rsidR="00711AA3" w:rsidRPr="00D53CB9" w:rsidRDefault="00711AA3" w:rsidP="00711AA3">
            <w:pPr>
              <w:spacing w:after="200" w:line="276" w:lineRule="auto"/>
              <w:rPr>
                <w:sz w:val="16"/>
                <w:szCs w:val="16"/>
              </w:rPr>
            </w:pPr>
            <w:r w:rsidRPr="00D53CB9">
              <w:rPr>
                <w:sz w:val="16"/>
                <w:szCs w:val="16"/>
              </w:rPr>
              <w:t>0</w:t>
            </w:r>
          </w:p>
        </w:tc>
        <w:tc>
          <w:tcPr>
            <w:tcW w:w="995" w:type="dxa"/>
            <w:gridSpan w:val="2"/>
            <w:tcBorders>
              <w:top w:val="nil"/>
              <w:left w:val="nil"/>
              <w:bottom w:val="nil"/>
              <w:right w:val="nil"/>
            </w:tcBorders>
            <w:shd w:val="clear" w:color="auto" w:fill="auto"/>
            <w:noWrap/>
            <w:vAlign w:val="bottom"/>
            <w:hideMark/>
          </w:tcPr>
          <w:p w14:paraId="5FAE0C8A" w14:textId="77777777" w:rsidR="00711AA3" w:rsidRPr="00D53CB9" w:rsidRDefault="00711AA3" w:rsidP="00711AA3">
            <w:pPr>
              <w:spacing w:after="200" w:line="276" w:lineRule="auto"/>
              <w:rPr>
                <w:sz w:val="16"/>
                <w:szCs w:val="16"/>
              </w:rPr>
            </w:pPr>
            <w:r w:rsidRPr="00D53CB9">
              <w:rPr>
                <w:sz w:val="16"/>
                <w:szCs w:val="16"/>
              </w:rPr>
              <w:t>0</w:t>
            </w:r>
          </w:p>
        </w:tc>
        <w:tc>
          <w:tcPr>
            <w:tcW w:w="703" w:type="dxa"/>
            <w:tcBorders>
              <w:top w:val="nil"/>
              <w:left w:val="nil"/>
              <w:bottom w:val="nil"/>
              <w:right w:val="nil"/>
            </w:tcBorders>
            <w:shd w:val="clear" w:color="auto" w:fill="auto"/>
            <w:noWrap/>
            <w:vAlign w:val="bottom"/>
            <w:hideMark/>
          </w:tcPr>
          <w:p w14:paraId="3323E2D9" w14:textId="77777777" w:rsidR="00711AA3" w:rsidRPr="00D53CB9" w:rsidRDefault="00711AA3" w:rsidP="00711AA3">
            <w:pPr>
              <w:spacing w:after="200" w:line="276" w:lineRule="auto"/>
              <w:rPr>
                <w:sz w:val="16"/>
                <w:szCs w:val="16"/>
              </w:rPr>
            </w:pPr>
            <w:r w:rsidRPr="00D53CB9">
              <w:rPr>
                <w:sz w:val="16"/>
                <w:szCs w:val="16"/>
              </w:rPr>
              <w:t>0,2834</w:t>
            </w:r>
          </w:p>
        </w:tc>
      </w:tr>
      <w:tr w:rsidR="00711AA3" w:rsidRPr="00D53CB9" w14:paraId="4EEA5BBA" w14:textId="77777777" w:rsidTr="00AC0A94">
        <w:trPr>
          <w:gridAfter w:val="3"/>
          <w:wAfter w:w="1735" w:type="dxa"/>
          <w:trHeight w:val="185"/>
        </w:trPr>
        <w:tc>
          <w:tcPr>
            <w:tcW w:w="1769" w:type="dxa"/>
            <w:tcBorders>
              <w:top w:val="nil"/>
              <w:left w:val="nil"/>
              <w:bottom w:val="nil"/>
              <w:right w:val="single" w:sz="4" w:space="0" w:color="auto"/>
            </w:tcBorders>
            <w:shd w:val="clear" w:color="auto" w:fill="auto"/>
            <w:noWrap/>
            <w:vAlign w:val="bottom"/>
            <w:hideMark/>
          </w:tcPr>
          <w:p w14:paraId="79F82C04" w14:textId="77777777" w:rsidR="00711AA3" w:rsidRPr="00D53CB9" w:rsidRDefault="00711AA3" w:rsidP="00711AA3">
            <w:pPr>
              <w:spacing w:after="200" w:line="276" w:lineRule="auto"/>
              <w:rPr>
                <w:sz w:val="16"/>
                <w:szCs w:val="16"/>
              </w:rPr>
            </w:pPr>
            <w:r w:rsidRPr="00D53CB9">
              <w:rPr>
                <w:sz w:val="16"/>
                <w:szCs w:val="16"/>
              </w:rPr>
              <w:t>share discount</w:t>
            </w:r>
          </w:p>
        </w:tc>
        <w:tc>
          <w:tcPr>
            <w:tcW w:w="659" w:type="dxa"/>
            <w:tcBorders>
              <w:top w:val="nil"/>
              <w:left w:val="nil"/>
              <w:bottom w:val="nil"/>
              <w:right w:val="nil"/>
            </w:tcBorders>
            <w:shd w:val="clear" w:color="auto" w:fill="auto"/>
            <w:noWrap/>
            <w:vAlign w:val="bottom"/>
            <w:hideMark/>
          </w:tcPr>
          <w:p w14:paraId="40BD846D" w14:textId="77777777" w:rsidR="00711AA3" w:rsidRPr="00D53CB9" w:rsidRDefault="00711AA3" w:rsidP="00711AA3">
            <w:pPr>
              <w:spacing w:after="200" w:line="276" w:lineRule="auto"/>
              <w:rPr>
                <w:sz w:val="16"/>
                <w:szCs w:val="16"/>
              </w:rPr>
            </w:pPr>
            <w:r w:rsidRPr="00D53CB9">
              <w:rPr>
                <w:sz w:val="16"/>
                <w:szCs w:val="16"/>
              </w:rPr>
              <w:t>1</w:t>
            </w:r>
          </w:p>
        </w:tc>
        <w:tc>
          <w:tcPr>
            <w:tcW w:w="989" w:type="dxa"/>
            <w:gridSpan w:val="2"/>
            <w:tcBorders>
              <w:top w:val="nil"/>
              <w:left w:val="nil"/>
              <w:bottom w:val="nil"/>
              <w:right w:val="nil"/>
            </w:tcBorders>
            <w:shd w:val="clear" w:color="auto" w:fill="auto"/>
            <w:noWrap/>
            <w:vAlign w:val="bottom"/>
            <w:hideMark/>
          </w:tcPr>
          <w:p w14:paraId="418E1474" w14:textId="77777777" w:rsidR="00711AA3" w:rsidRPr="00D53CB9" w:rsidRDefault="00711AA3" w:rsidP="00711AA3">
            <w:pPr>
              <w:spacing w:after="200" w:line="276" w:lineRule="auto"/>
              <w:rPr>
                <w:sz w:val="16"/>
                <w:szCs w:val="16"/>
              </w:rPr>
            </w:pPr>
            <w:r w:rsidRPr="00D53CB9">
              <w:rPr>
                <w:sz w:val="16"/>
                <w:szCs w:val="16"/>
              </w:rPr>
              <w:t>0,8737</w:t>
            </w:r>
          </w:p>
        </w:tc>
        <w:tc>
          <w:tcPr>
            <w:tcW w:w="762" w:type="dxa"/>
            <w:gridSpan w:val="3"/>
            <w:tcBorders>
              <w:top w:val="nil"/>
              <w:left w:val="nil"/>
              <w:bottom w:val="nil"/>
              <w:right w:val="nil"/>
            </w:tcBorders>
            <w:shd w:val="clear" w:color="auto" w:fill="auto"/>
            <w:noWrap/>
            <w:vAlign w:val="bottom"/>
            <w:hideMark/>
          </w:tcPr>
          <w:p w14:paraId="02B36B3B" w14:textId="77777777" w:rsidR="00711AA3" w:rsidRPr="00D53CB9" w:rsidRDefault="00711AA3" w:rsidP="00711AA3">
            <w:pPr>
              <w:spacing w:after="200" w:line="276" w:lineRule="auto"/>
              <w:rPr>
                <w:sz w:val="16"/>
                <w:szCs w:val="16"/>
              </w:rPr>
            </w:pPr>
            <w:r w:rsidRPr="00D53CB9">
              <w:rPr>
                <w:sz w:val="16"/>
                <w:szCs w:val="16"/>
              </w:rPr>
              <w:t>0,9095</w:t>
            </w:r>
          </w:p>
        </w:tc>
        <w:tc>
          <w:tcPr>
            <w:tcW w:w="783" w:type="dxa"/>
            <w:gridSpan w:val="2"/>
            <w:tcBorders>
              <w:top w:val="nil"/>
              <w:left w:val="nil"/>
              <w:bottom w:val="nil"/>
              <w:right w:val="nil"/>
            </w:tcBorders>
            <w:shd w:val="clear" w:color="auto" w:fill="auto"/>
            <w:noWrap/>
            <w:vAlign w:val="bottom"/>
            <w:hideMark/>
          </w:tcPr>
          <w:p w14:paraId="382555AE" w14:textId="77777777" w:rsidR="00711AA3" w:rsidRPr="00D53CB9" w:rsidRDefault="00711AA3" w:rsidP="00711AA3">
            <w:pPr>
              <w:spacing w:after="200" w:line="276" w:lineRule="auto"/>
              <w:rPr>
                <w:sz w:val="16"/>
                <w:szCs w:val="16"/>
              </w:rPr>
            </w:pPr>
            <w:r w:rsidRPr="00D53CB9">
              <w:rPr>
                <w:sz w:val="16"/>
                <w:szCs w:val="16"/>
              </w:rPr>
              <w:t>0,8826</w:t>
            </w:r>
          </w:p>
        </w:tc>
        <w:tc>
          <w:tcPr>
            <w:tcW w:w="622" w:type="dxa"/>
            <w:gridSpan w:val="2"/>
            <w:tcBorders>
              <w:top w:val="nil"/>
              <w:left w:val="nil"/>
              <w:bottom w:val="nil"/>
              <w:right w:val="nil"/>
            </w:tcBorders>
            <w:shd w:val="clear" w:color="auto" w:fill="auto"/>
            <w:noWrap/>
            <w:vAlign w:val="bottom"/>
            <w:hideMark/>
          </w:tcPr>
          <w:p w14:paraId="0B54C43E" w14:textId="77777777" w:rsidR="00711AA3" w:rsidRPr="00D53CB9" w:rsidRDefault="00711AA3" w:rsidP="00711AA3">
            <w:pPr>
              <w:spacing w:after="200" w:line="276" w:lineRule="auto"/>
              <w:rPr>
                <w:sz w:val="16"/>
                <w:szCs w:val="16"/>
              </w:rPr>
            </w:pPr>
            <w:r w:rsidRPr="00D53CB9">
              <w:rPr>
                <w:sz w:val="16"/>
                <w:szCs w:val="16"/>
              </w:rPr>
              <w:t>0,6462</w:t>
            </w:r>
          </w:p>
        </w:tc>
        <w:tc>
          <w:tcPr>
            <w:tcW w:w="995" w:type="dxa"/>
            <w:gridSpan w:val="2"/>
            <w:tcBorders>
              <w:top w:val="nil"/>
              <w:left w:val="nil"/>
              <w:bottom w:val="nil"/>
              <w:right w:val="nil"/>
            </w:tcBorders>
            <w:shd w:val="clear" w:color="auto" w:fill="auto"/>
            <w:noWrap/>
            <w:vAlign w:val="bottom"/>
            <w:hideMark/>
          </w:tcPr>
          <w:p w14:paraId="4DF92257" w14:textId="77777777" w:rsidR="00711AA3" w:rsidRPr="00D53CB9" w:rsidRDefault="00711AA3" w:rsidP="00711AA3">
            <w:pPr>
              <w:spacing w:after="200" w:line="276" w:lineRule="auto"/>
              <w:rPr>
                <w:sz w:val="16"/>
                <w:szCs w:val="16"/>
              </w:rPr>
            </w:pPr>
            <w:r w:rsidRPr="00D53CB9">
              <w:rPr>
                <w:sz w:val="16"/>
                <w:szCs w:val="16"/>
              </w:rPr>
              <w:t>0,4841</w:t>
            </w:r>
          </w:p>
        </w:tc>
        <w:tc>
          <w:tcPr>
            <w:tcW w:w="703" w:type="dxa"/>
            <w:tcBorders>
              <w:top w:val="nil"/>
              <w:left w:val="nil"/>
              <w:bottom w:val="nil"/>
              <w:right w:val="nil"/>
            </w:tcBorders>
            <w:shd w:val="clear" w:color="auto" w:fill="auto"/>
            <w:noWrap/>
            <w:vAlign w:val="bottom"/>
            <w:hideMark/>
          </w:tcPr>
          <w:p w14:paraId="69A736B3" w14:textId="77777777" w:rsidR="00711AA3" w:rsidRPr="00D53CB9" w:rsidRDefault="00711AA3" w:rsidP="00711AA3">
            <w:pPr>
              <w:spacing w:after="200" w:line="276" w:lineRule="auto"/>
              <w:rPr>
                <w:sz w:val="16"/>
                <w:szCs w:val="16"/>
              </w:rPr>
            </w:pPr>
            <w:r w:rsidRPr="00D53CB9">
              <w:rPr>
                <w:sz w:val="16"/>
                <w:szCs w:val="16"/>
              </w:rPr>
              <w:t>0,6108</w:t>
            </w:r>
          </w:p>
        </w:tc>
      </w:tr>
      <w:tr w:rsidR="00711AA3" w:rsidRPr="00D53CB9" w14:paraId="23316A0B" w14:textId="77777777" w:rsidTr="00AC0A94">
        <w:trPr>
          <w:gridAfter w:val="3"/>
          <w:wAfter w:w="1735" w:type="dxa"/>
          <w:trHeight w:val="185"/>
        </w:trPr>
        <w:tc>
          <w:tcPr>
            <w:tcW w:w="1769" w:type="dxa"/>
            <w:tcBorders>
              <w:top w:val="nil"/>
              <w:left w:val="nil"/>
              <w:bottom w:val="nil"/>
              <w:right w:val="single" w:sz="4" w:space="0" w:color="auto"/>
            </w:tcBorders>
            <w:shd w:val="clear" w:color="auto" w:fill="auto"/>
            <w:noWrap/>
            <w:vAlign w:val="bottom"/>
            <w:hideMark/>
          </w:tcPr>
          <w:p w14:paraId="0FCDBB3A" w14:textId="77777777" w:rsidR="00711AA3" w:rsidRPr="00D53CB9" w:rsidRDefault="00711AA3" w:rsidP="00711AA3">
            <w:pPr>
              <w:spacing w:after="200" w:line="276" w:lineRule="auto"/>
              <w:rPr>
                <w:sz w:val="16"/>
                <w:szCs w:val="16"/>
              </w:rPr>
            </w:pPr>
            <w:r w:rsidRPr="00D53CB9">
              <w:rPr>
                <w:sz w:val="16"/>
                <w:szCs w:val="16"/>
              </w:rPr>
              <w:t>share advances</w:t>
            </w:r>
          </w:p>
        </w:tc>
        <w:tc>
          <w:tcPr>
            <w:tcW w:w="659" w:type="dxa"/>
            <w:tcBorders>
              <w:top w:val="nil"/>
              <w:left w:val="nil"/>
              <w:bottom w:val="nil"/>
              <w:right w:val="nil"/>
            </w:tcBorders>
            <w:shd w:val="clear" w:color="auto" w:fill="auto"/>
            <w:noWrap/>
            <w:vAlign w:val="bottom"/>
            <w:hideMark/>
          </w:tcPr>
          <w:p w14:paraId="62944C93" w14:textId="77777777" w:rsidR="00711AA3" w:rsidRPr="00D53CB9" w:rsidRDefault="00711AA3" w:rsidP="00711AA3">
            <w:pPr>
              <w:spacing w:after="200" w:line="276" w:lineRule="auto"/>
              <w:rPr>
                <w:sz w:val="16"/>
                <w:szCs w:val="16"/>
              </w:rPr>
            </w:pPr>
            <w:r w:rsidRPr="00D53CB9">
              <w:rPr>
                <w:sz w:val="16"/>
                <w:szCs w:val="16"/>
              </w:rPr>
              <w:t>0</w:t>
            </w:r>
          </w:p>
        </w:tc>
        <w:tc>
          <w:tcPr>
            <w:tcW w:w="989" w:type="dxa"/>
            <w:gridSpan w:val="2"/>
            <w:tcBorders>
              <w:top w:val="nil"/>
              <w:left w:val="nil"/>
              <w:bottom w:val="nil"/>
              <w:right w:val="nil"/>
            </w:tcBorders>
            <w:shd w:val="clear" w:color="auto" w:fill="auto"/>
            <w:noWrap/>
            <w:vAlign w:val="bottom"/>
            <w:hideMark/>
          </w:tcPr>
          <w:p w14:paraId="6E4A9F8E" w14:textId="77777777" w:rsidR="00711AA3" w:rsidRPr="00D53CB9" w:rsidRDefault="00711AA3" w:rsidP="00711AA3">
            <w:pPr>
              <w:spacing w:after="200" w:line="276" w:lineRule="auto"/>
              <w:rPr>
                <w:sz w:val="16"/>
                <w:szCs w:val="16"/>
              </w:rPr>
            </w:pPr>
            <w:r w:rsidRPr="00D53CB9">
              <w:rPr>
                <w:sz w:val="16"/>
                <w:szCs w:val="16"/>
              </w:rPr>
              <w:t>0,1263</w:t>
            </w:r>
          </w:p>
        </w:tc>
        <w:tc>
          <w:tcPr>
            <w:tcW w:w="762" w:type="dxa"/>
            <w:gridSpan w:val="3"/>
            <w:tcBorders>
              <w:top w:val="nil"/>
              <w:left w:val="nil"/>
              <w:bottom w:val="nil"/>
              <w:right w:val="nil"/>
            </w:tcBorders>
            <w:shd w:val="clear" w:color="auto" w:fill="auto"/>
            <w:noWrap/>
            <w:vAlign w:val="bottom"/>
            <w:hideMark/>
          </w:tcPr>
          <w:p w14:paraId="3FD809F7" w14:textId="77777777" w:rsidR="00711AA3" w:rsidRPr="00D53CB9" w:rsidRDefault="00711AA3" w:rsidP="00711AA3">
            <w:pPr>
              <w:spacing w:after="200" w:line="276" w:lineRule="auto"/>
              <w:rPr>
                <w:sz w:val="16"/>
                <w:szCs w:val="16"/>
              </w:rPr>
            </w:pPr>
            <w:r w:rsidRPr="00D53CB9">
              <w:rPr>
                <w:sz w:val="16"/>
                <w:szCs w:val="16"/>
              </w:rPr>
              <w:t>0,0905</w:t>
            </w:r>
          </w:p>
        </w:tc>
        <w:tc>
          <w:tcPr>
            <w:tcW w:w="783" w:type="dxa"/>
            <w:gridSpan w:val="2"/>
            <w:tcBorders>
              <w:top w:val="nil"/>
              <w:left w:val="nil"/>
              <w:bottom w:val="nil"/>
              <w:right w:val="nil"/>
            </w:tcBorders>
            <w:shd w:val="clear" w:color="auto" w:fill="auto"/>
            <w:noWrap/>
            <w:vAlign w:val="bottom"/>
            <w:hideMark/>
          </w:tcPr>
          <w:p w14:paraId="5E031A7A" w14:textId="77777777" w:rsidR="00711AA3" w:rsidRPr="00D53CB9" w:rsidRDefault="00711AA3" w:rsidP="00711AA3">
            <w:pPr>
              <w:spacing w:after="200" w:line="276" w:lineRule="auto"/>
              <w:rPr>
                <w:sz w:val="16"/>
                <w:szCs w:val="16"/>
              </w:rPr>
            </w:pPr>
            <w:r w:rsidRPr="00D53CB9">
              <w:rPr>
                <w:sz w:val="16"/>
                <w:szCs w:val="16"/>
              </w:rPr>
              <w:t>0,1174</w:t>
            </w:r>
          </w:p>
        </w:tc>
        <w:tc>
          <w:tcPr>
            <w:tcW w:w="622" w:type="dxa"/>
            <w:gridSpan w:val="2"/>
            <w:tcBorders>
              <w:top w:val="nil"/>
              <w:left w:val="nil"/>
              <w:bottom w:val="nil"/>
              <w:right w:val="nil"/>
            </w:tcBorders>
            <w:shd w:val="clear" w:color="auto" w:fill="auto"/>
            <w:noWrap/>
            <w:vAlign w:val="bottom"/>
            <w:hideMark/>
          </w:tcPr>
          <w:p w14:paraId="381B9AAE" w14:textId="77777777" w:rsidR="00711AA3" w:rsidRPr="00D53CB9" w:rsidRDefault="00711AA3" w:rsidP="00711AA3">
            <w:pPr>
              <w:spacing w:after="200" w:line="276" w:lineRule="auto"/>
              <w:rPr>
                <w:sz w:val="16"/>
                <w:szCs w:val="16"/>
              </w:rPr>
            </w:pPr>
            <w:r w:rsidRPr="00D53CB9">
              <w:rPr>
                <w:sz w:val="16"/>
                <w:szCs w:val="16"/>
              </w:rPr>
              <w:t>0,3538</w:t>
            </w:r>
          </w:p>
        </w:tc>
        <w:tc>
          <w:tcPr>
            <w:tcW w:w="995" w:type="dxa"/>
            <w:gridSpan w:val="2"/>
            <w:tcBorders>
              <w:top w:val="nil"/>
              <w:left w:val="nil"/>
              <w:bottom w:val="nil"/>
              <w:right w:val="nil"/>
            </w:tcBorders>
            <w:shd w:val="clear" w:color="auto" w:fill="auto"/>
            <w:noWrap/>
            <w:vAlign w:val="bottom"/>
            <w:hideMark/>
          </w:tcPr>
          <w:p w14:paraId="1609CF51" w14:textId="77777777" w:rsidR="00711AA3" w:rsidRPr="00D53CB9" w:rsidRDefault="00711AA3" w:rsidP="00711AA3">
            <w:pPr>
              <w:spacing w:after="200" w:line="276" w:lineRule="auto"/>
              <w:rPr>
                <w:sz w:val="16"/>
                <w:szCs w:val="16"/>
              </w:rPr>
            </w:pPr>
            <w:r w:rsidRPr="00D53CB9">
              <w:rPr>
                <w:sz w:val="16"/>
                <w:szCs w:val="16"/>
              </w:rPr>
              <w:t>0,5159</w:t>
            </w:r>
          </w:p>
        </w:tc>
        <w:tc>
          <w:tcPr>
            <w:tcW w:w="703" w:type="dxa"/>
            <w:tcBorders>
              <w:top w:val="nil"/>
              <w:left w:val="nil"/>
              <w:bottom w:val="nil"/>
              <w:right w:val="nil"/>
            </w:tcBorders>
            <w:shd w:val="clear" w:color="auto" w:fill="auto"/>
            <w:noWrap/>
            <w:vAlign w:val="bottom"/>
            <w:hideMark/>
          </w:tcPr>
          <w:p w14:paraId="1163228E" w14:textId="77777777" w:rsidR="00711AA3" w:rsidRPr="00D53CB9" w:rsidRDefault="00711AA3" w:rsidP="00711AA3">
            <w:pPr>
              <w:spacing w:after="200" w:line="276" w:lineRule="auto"/>
              <w:rPr>
                <w:sz w:val="16"/>
                <w:szCs w:val="16"/>
              </w:rPr>
            </w:pPr>
            <w:r w:rsidRPr="00D53CB9">
              <w:rPr>
                <w:sz w:val="16"/>
                <w:szCs w:val="16"/>
              </w:rPr>
              <w:t>0,3892</w:t>
            </w:r>
          </w:p>
        </w:tc>
      </w:tr>
      <w:tr w:rsidR="00711AA3" w:rsidRPr="00D53CB9" w14:paraId="63CE029A" w14:textId="77777777" w:rsidTr="00AC0A94">
        <w:trPr>
          <w:gridAfter w:val="3"/>
          <w:wAfter w:w="1735" w:type="dxa"/>
          <w:trHeight w:val="185"/>
        </w:trPr>
        <w:tc>
          <w:tcPr>
            <w:tcW w:w="1769" w:type="dxa"/>
            <w:tcBorders>
              <w:top w:val="nil"/>
              <w:left w:val="nil"/>
              <w:bottom w:val="single" w:sz="4" w:space="0" w:color="auto"/>
              <w:right w:val="single" w:sz="4" w:space="0" w:color="auto"/>
            </w:tcBorders>
            <w:shd w:val="clear" w:color="auto" w:fill="auto"/>
            <w:noWrap/>
            <w:vAlign w:val="bottom"/>
            <w:hideMark/>
          </w:tcPr>
          <w:p w14:paraId="39BDF446" w14:textId="77777777" w:rsidR="00711AA3" w:rsidRPr="00D53CB9" w:rsidRDefault="00711AA3" w:rsidP="00711AA3">
            <w:pPr>
              <w:spacing w:after="200" w:line="276" w:lineRule="auto"/>
              <w:rPr>
                <w:sz w:val="16"/>
                <w:szCs w:val="16"/>
              </w:rPr>
            </w:pPr>
            <w:r w:rsidRPr="00D53CB9">
              <w:rPr>
                <w:sz w:val="16"/>
                <w:szCs w:val="16"/>
              </w:rPr>
              <w:t>discount rate</w:t>
            </w:r>
          </w:p>
        </w:tc>
        <w:tc>
          <w:tcPr>
            <w:tcW w:w="659" w:type="dxa"/>
            <w:tcBorders>
              <w:top w:val="nil"/>
              <w:left w:val="nil"/>
              <w:bottom w:val="single" w:sz="4" w:space="0" w:color="auto"/>
              <w:right w:val="nil"/>
            </w:tcBorders>
            <w:shd w:val="clear" w:color="auto" w:fill="auto"/>
            <w:noWrap/>
            <w:vAlign w:val="bottom"/>
            <w:hideMark/>
          </w:tcPr>
          <w:p w14:paraId="4750F7D2" w14:textId="77777777" w:rsidR="00711AA3" w:rsidRPr="00D53CB9" w:rsidRDefault="00711AA3" w:rsidP="00711AA3">
            <w:pPr>
              <w:spacing w:after="200" w:line="276" w:lineRule="auto"/>
              <w:rPr>
                <w:sz w:val="16"/>
                <w:szCs w:val="16"/>
              </w:rPr>
            </w:pPr>
            <w:r w:rsidRPr="00D53CB9">
              <w:rPr>
                <w:sz w:val="16"/>
                <w:szCs w:val="16"/>
              </w:rPr>
              <w:t>3,7407</w:t>
            </w:r>
          </w:p>
        </w:tc>
        <w:tc>
          <w:tcPr>
            <w:tcW w:w="989" w:type="dxa"/>
            <w:gridSpan w:val="2"/>
            <w:tcBorders>
              <w:top w:val="nil"/>
              <w:left w:val="nil"/>
              <w:bottom w:val="single" w:sz="4" w:space="0" w:color="auto"/>
              <w:right w:val="nil"/>
            </w:tcBorders>
            <w:shd w:val="clear" w:color="auto" w:fill="auto"/>
            <w:noWrap/>
            <w:vAlign w:val="bottom"/>
            <w:hideMark/>
          </w:tcPr>
          <w:p w14:paraId="08401DB1" w14:textId="77777777" w:rsidR="00711AA3" w:rsidRPr="00D53CB9" w:rsidRDefault="00711AA3" w:rsidP="00711AA3">
            <w:pPr>
              <w:spacing w:after="200" w:line="276" w:lineRule="auto"/>
              <w:rPr>
                <w:sz w:val="16"/>
                <w:szCs w:val="16"/>
              </w:rPr>
            </w:pPr>
            <w:r w:rsidRPr="00D53CB9">
              <w:rPr>
                <w:sz w:val="16"/>
                <w:szCs w:val="16"/>
              </w:rPr>
              <w:t>4,2963</w:t>
            </w:r>
          </w:p>
        </w:tc>
        <w:tc>
          <w:tcPr>
            <w:tcW w:w="762" w:type="dxa"/>
            <w:gridSpan w:val="3"/>
            <w:tcBorders>
              <w:top w:val="nil"/>
              <w:left w:val="nil"/>
              <w:bottom w:val="single" w:sz="4" w:space="0" w:color="auto"/>
              <w:right w:val="nil"/>
            </w:tcBorders>
            <w:shd w:val="clear" w:color="auto" w:fill="auto"/>
            <w:noWrap/>
            <w:vAlign w:val="bottom"/>
            <w:hideMark/>
          </w:tcPr>
          <w:p w14:paraId="1EBFC015" w14:textId="77777777" w:rsidR="00711AA3" w:rsidRPr="00D53CB9" w:rsidRDefault="00711AA3" w:rsidP="00711AA3">
            <w:pPr>
              <w:spacing w:after="200" w:line="276" w:lineRule="auto"/>
              <w:rPr>
                <w:sz w:val="16"/>
                <w:szCs w:val="16"/>
              </w:rPr>
            </w:pPr>
            <w:r w:rsidRPr="00D53CB9">
              <w:rPr>
                <w:sz w:val="16"/>
                <w:szCs w:val="16"/>
              </w:rPr>
              <w:t>3,471</w:t>
            </w:r>
          </w:p>
        </w:tc>
        <w:tc>
          <w:tcPr>
            <w:tcW w:w="783" w:type="dxa"/>
            <w:gridSpan w:val="2"/>
            <w:tcBorders>
              <w:top w:val="nil"/>
              <w:left w:val="nil"/>
              <w:bottom w:val="single" w:sz="4" w:space="0" w:color="auto"/>
              <w:right w:val="nil"/>
            </w:tcBorders>
            <w:shd w:val="clear" w:color="auto" w:fill="auto"/>
            <w:noWrap/>
            <w:vAlign w:val="bottom"/>
            <w:hideMark/>
          </w:tcPr>
          <w:p w14:paraId="3D38A29F" w14:textId="77777777" w:rsidR="00711AA3" w:rsidRPr="00D53CB9" w:rsidRDefault="00711AA3" w:rsidP="00711AA3">
            <w:pPr>
              <w:spacing w:after="200" w:line="276" w:lineRule="auto"/>
              <w:rPr>
                <w:sz w:val="16"/>
                <w:szCs w:val="16"/>
              </w:rPr>
            </w:pPr>
            <w:r w:rsidRPr="00D53CB9">
              <w:rPr>
                <w:sz w:val="16"/>
                <w:szCs w:val="16"/>
              </w:rPr>
              <w:t>4,2572</w:t>
            </w:r>
          </w:p>
        </w:tc>
        <w:tc>
          <w:tcPr>
            <w:tcW w:w="622" w:type="dxa"/>
            <w:gridSpan w:val="2"/>
            <w:tcBorders>
              <w:top w:val="nil"/>
              <w:left w:val="nil"/>
              <w:bottom w:val="single" w:sz="4" w:space="0" w:color="auto"/>
              <w:right w:val="nil"/>
            </w:tcBorders>
            <w:shd w:val="clear" w:color="auto" w:fill="auto"/>
            <w:noWrap/>
            <w:vAlign w:val="bottom"/>
            <w:hideMark/>
          </w:tcPr>
          <w:p w14:paraId="40C3820E" w14:textId="77777777" w:rsidR="00711AA3" w:rsidRPr="00D53CB9" w:rsidRDefault="00711AA3" w:rsidP="00711AA3">
            <w:pPr>
              <w:spacing w:after="200" w:line="276" w:lineRule="auto"/>
              <w:rPr>
                <w:sz w:val="16"/>
                <w:szCs w:val="16"/>
              </w:rPr>
            </w:pPr>
            <w:r w:rsidRPr="00D53CB9">
              <w:rPr>
                <w:sz w:val="16"/>
                <w:szCs w:val="16"/>
              </w:rPr>
              <w:t>2,8833</w:t>
            </w:r>
          </w:p>
        </w:tc>
        <w:tc>
          <w:tcPr>
            <w:tcW w:w="995" w:type="dxa"/>
            <w:gridSpan w:val="2"/>
            <w:tcBorders>
              <w:top w:val="nil"/>
              <w:left w:val="nil"/>
              <w:bottom w:val="single" w:sz="4" w:space="0" w:color="auto"/>
              <w:right w:val="nil"/>
            </w:tcBorders>
            <w:shd w:val="clear" w:color="auto" w:fill="auto"/>
            <w:noWrap/>
            <w:vAlign w:val="bottom"/>
            <w:hideMark/>
          </w:tcPr>
          <w:p w14:paraId="27613A30" w14:textId="77777777" w:rsidR="00711AA3" w:rsidRPr="00D53CB9" w:rsidRDefault="00711AA3" w:rsidP="00711AA3">
            <w:pPr>
              <w:spacing w:after="200" w:line="276" w:lineRule="auto"/>
              <w:rPr>
                <w:sz w:val="16"/>
                <w:szCs w:val="16"/>
              </w:rPr>
            </w:pPr>
            <w:r w:rsidRPr="00D53CB9">
              <w:rPr>
                <w:sz w:val="16"/>
                <w:szCs w:val="16"/>
              </w:rPr>
              <w:t>3,3768</w:t>
            </w:r>
          </w:p>
        </w:tc>
        <w:tc>
          <w:tcPr>
            <w:tcW w:w="703" w:type="dxa"/>
            <w:tcBorders>
              <w:top w:val="nil"/>
              <w:left w:val="nil"/>
              <w:bottom w:val="single" w:sz="4" w:space="0" w:color="auto"/>
              <w:right w:val="nil"/>
            </w:tcBorders>
            <w:shd w:val="clear" w:color="auto" w:fill="auto"/>
            <w:noWrap/>
            <w:vAlign w:val="bottom"/>
            <w:hideMark/>
          </w:tcPr>
          <w:p w14:paraId="58021AE1" w14:textId="77777777" w:rsidR="00711AA3" w:rsidRPr="00D53CB9" w:rsidRDefault="00711AA3" w:rsidP="00711AA3">
            <w:pPr>
              <w:spacing w:after="200" w:line="276" w:lineRule="auto"/>
              <w:rPr>
                <w:sz w:val="16"/>
                <w:szCs w:val="16"/>
              </w:rPr>
            </w:pPr>
            <w:r w:rsidRPr="00D53CB9">
              <w:rPr>
                <w:sz w:val="16"/>
                <w:szCs w:val="16"/>
              </w:rPr>
              <w:t>4,8714</w:t>
            </w:r>
          </w:p>
        </w:tc>
      </w:tr>
      <w:tr w:rsidR="00AC0A94" w:rsidRPr="00D53CB9" w14:paraId="0A2012CD" w14:textId="77777777" w:rsidTr="00AC0A94">
        <w:trPr>
          <w:trHeight w:val="540"/>
        </w:trPr>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7146B81E" w14:textId="77777777" w:rsidR="00711AA3" w:rsidRPr="00D53CB9" w:rsidRDefault="00711AA3" w:rsidP="00711AA3">
            <w:pPr>
              <w:spacing w:after="200" w:line="276" w:lineRule="auto"/>
              <w:rPr>
                <w:sz w:val="16"/>
                <w:szCs w:val="16"/>
              </w:rPr>
            </w:pPr>
            <w:r w:rsidRPr="00D53CB9">
              <w:rPr>
                <w:sz w:val="16"/>
                <w:szCs w:val="16"/>
              </w:rPr>
              <w:t> </w:t>
            </w:r>
          </w:p>
        </w:tc>
        <w:tc>
          <w:tcPr>
            <w:tcW w:w="1050" w:type="dxa"/>
            <w:gridSpan w:val="2"/>
            <w:tcBorders>
              <w:top w:val="single" w:sz="4" w:space="0" w:color="auto"/>
              <w:left w:val="nil"/>
              <w:bottom w:val="single" w:sz="4" w:space="0" w:color="auto"/>
              <w:right w:val="nil"/>
            </w:tcBorders>
            <w:shd w:val="clear" w:color="auto" w:fill="auto"/>
            <w:noWrap/>
            <w:vAlign w:val="bottom"/>
            <w:hideMark/>
          </w:tcPr>
          <w:p w14:paraId="41123F80" w14:textId="77777777" w:rsidR="00711AA3" w:rsidRPr="00D53CB9" w:rsidRDefault="00711AA3" w:rsidP="00711AA3">
            <w:pPr>
              <w:spacing w:after="200" w:line="276" w:lineRule="auto"/>
              <w:rPr>
                <w:sz w:val="16"/>
                <w:szCs w:val="16"/>
              </w:rPr>
            </w:pPr>
            <w:r w:rsidRPr="00D53CB9">
              <w:rPr>
                <w:sz w:val="16"/>
                <w:szCs w:val="16"/>
              </w:rPr>
              <w:t>Denmark</w:t>
            </w:r>
          </w:p>
        </w:tc>
        <w:tc>
          <w:tcPr>
            <w:tcW w:w="696" w:type="dxa"/>
            <w:gridSpan w:val="2"/>
            <w:tcBorders>
              <w:top w:val="single" w:sz="4" w:space="0" w:color="auto"/>
              <w:left w:val="nil"/>
              <w:bottom w:val="single" w:sz="4" w:space="0" w:color="auto"/>
              <w:right w:val="nil"/>
            </w:tcBorders>
            <w:shd w:val="clear" w:color="auto" w:fill="auto"/>
            <w:noWrap/>
            <w:vAlign w:val="bottom"/>
            <w:hideMark/>
          </w:tcPr>
          <w:p w14:paraId="741ADADA" w14:textId="77777777" w:rsidR="00711AA3" w:rsidRPr="00D53CB9" w:rsidRDefault="00711AA3" w:rsidP="00711AA3">
            <w:pPr>
              <w:spacing w:after="200" w:line="276" w:lineRule="auto"/>
              <w:rPr>
                <w:sz w:val="16"/>
                <w:szCs w:val="16"/>
              </w:rPr>
            </w:pPr>
            <w:r w:rsidRPr="00D53CB9">
              <w:rPr>
                <w:sz w:val="16"/>
                <w:szCs w:val="16"/>
              </w:rPr>
              <w:t>Norway</w:t>
            </w:r>
          </w:p>
        </w:tc>
        <w:tc>
          <w:tcPr>
            <w:tcW w:w="619" w:type="dxa"/>
            <w:tcBorders>
              <w:top w:val="single" w:sz="4" w:space="0" w:color="auto"/>
              <w:left w:val="nil"/>
              <w:bottom w:val="single" w:sz="4" w:space="0" w:color="auto"/>
              <w:right w:val="nil"/>
            </w:tcBorders>
            <w:shd w:val="clear" w:color="auto" w:fill="auto"/>
            <w:noWrap/>
            <w:vAlign w:val="bottom"/>
            <w:hideMark/>
          </w:tcPr>
          <w:p w14:paraId="454AD6BB" w14:textId="77777777" w:rsidR="00711AA3" w:rsidRPr="00D53CB9" w:rsidRDefault="00711AA3" w:rsidP="00711AA3">
            <w:pPr>
              <w:spacing w:after="200" w:line="276" w:lineRule="auto"/>
              <w:rPr>
                <w:sz w:val="16"/>
                <w:szCs w:val="16"/>
              </w:rPr>
            </w:pPr>
            <w:r w:rsidRPr="00D53CB9">
              <w:rPr>
                <w:sz w:val="16"/>
                <w:szCs w:val="16"/>
              </w:rPr>
              <w:t>Italy</w:t>
            </w:r>
          </w:p>
        </w:tc>
        <w:tc>
          <w:tcPr>
            <w:tcW w:w="628" w:type="dxa"/>
            <w:gridSpan w:val="2"/>
            <w:tcBorders>
              <w:top w:val="single" w:sz="4" w:space="0" w:color="auto"/>
              <w:left w:val="nil"/>
              <w:bottom w:val="single" w:sz="4" w:space="0" w:color="auto"/>
              <w:right w:val="nil"/>
            </w:tcBorders>
            <w:shd w:val="clear" w:color="auto" w:fill="auto"/>
            <w:vAlign w:val="bottom"/>
            <w:hideMark/>
          </w:tcPr>
          <w:p w14:paraId="631C8F62" w14:textId="77777777" w:rsidR="00711AA3" w:rsidRPr="00D53CB9" w:rsidRDefault="00711AA3" w:rsidP="00711AA3">
            <w:pPr>
              <w:spacing w:after="200" w:line="276" w:lineRule="auto"/>
              <w:rPr>
                <w:sz w:val="16"/>
                <w:szCs w:val="16"/>
              </w:rPr>
            </w:pPr>
            <w:r w:rsidRPr="00D53CB9">
              <w:rPr>
                <w:sz w:val="16"/>
                <w:szCs w:val="16"/>
              </w:rPr>
              <w:t>Italy before 1903</w:t>
            </w:r>
          </w:p>
        </w:tc>
        <w:tc>
          <w:tcPr>
            <w:tcW w:w="713" w:type="dxa"/>
            <w:gridSpan w:val="2"/>
            <w:tcBorders>
              <w:top w:val="single" w:sz="4" w:space="0" w:color="auto"/>
              <w:left w:val="nil"/>
              <w:bottom w:val="single" w:sz="4" w:space="0" w:color="auto"/>
              <w:right w:val="nil"/>
            </w:tcBorders>
            <w:shd w:val="clear" w:color="auto" w:fill="auto"/>
            <w:vAlign w:val="bottom"/>
            <w:hideMark/>
          </w:tcPr>
          <w:p w14:paraId="59B59F6E" w14:textId="77777777" w:rsidR="00711AA3" w:rsidRPr="00D53CB9" w:rsidRDefault="00711AA3" w:rsidP="00711AA3">
            <w:pPr>
              <w:spacing w:after="200" w:line="276" w:lineRule="auto"/>
              <w:rPr>
                <w:sz w:val="16"/>
                <w:szCs w:val="16"/>
              </w:rPr>
            </w:pPr>
            <w:r w:rsidRPr="00D53CB9">
              <w:rPr>
                <w:sz w:val="16"/>
                <w:szCs w:val="16"/>
              </w:rPr>
              <w:t>Italy after 1902</w:t>
            </w:r>
          </w:p>
        </w:tc>
        <w:tc>
          <w:tcPr>
            <w:tcW w:w="841" w:type="dxa"/>
            <w:gridSpan w:val="2"/>
            <w:tcBorders>
              <w:top w:val="single" w:sz="4" w:space="0" w:color="auto"/>
              <w:left w:val="nil"/>
              <w:bottom w:val="single" w:sz="4" w:space="0" w:color="auto"/>
              <w:right w:val="nil"/>
            </w:tcBorders>
            <w:shd w:val="clear" w:color="auto" w:fill="auto"/>
            <w:noWrap/>
            <w:vAlign w:val="bottom"/>
            <w:hideMark/>
          </w:tcPr>
          <w:p w14:paraId="27B23054" w14:textId="77777777" w:rsidR="00711AA3" w:rsidRPr="00D53CB9" w:rsidRDefault="00711AA3" w:rsidP="00711AA3">
            <w:pPr>
              <w:spacing w:after="200" w:line="276" w:lineRule="auto"/>
              <w:rPr>
                <w:sz w:val="16"/>
                <w:szCs w:val="16"/>
              </w:rPr>
            </w:pPr>
            <w:r w:rsidRPr="00D53CB9">
              <w:rPr>
                <w:sz w:val="16"/>
                <w:szCs w:val="16"/>
              </w:rPr>
              <w:t>Russia</w:t>
            </w:r>
          </w:p>
        </w:tc>
        <w:tc>
          <w:tcPr>
            <w:tcW w:w="967" w:type="dxa"/>
            <w:gridSpan w:val="2"/>
            <w:tcBorders>
              <w:top w:val="single" w:sz="4" w:space="0" w:color="auto"/>
              <w:left w:val="nil"/>
              <w:bottom w:val="single" w:sz="4" w:space="0" w:color="auto"/>
              <w:right w:val="nil"/>
            </w:tcBorders>
            <w:shd w:val="clear" w:color="auto" w:fill="auto"/>
            <w:vAlign w:val="bottom"/>
            <w:hideMark/>
          </w:tcPr>
          <w:p w14:paraId="79F4D988" w14:textId="77777777" w:rsidR="00711AA3" w:rsidRPr="00D53CB9" w:rsidRDefault="00711AA3" w:rsidP="00711AA3">
            <w:pPr>
              <w:spacing w:after="200" w:line="276" w:lineRule="auto"/>
              <w:rPr>
                <w:sz w:val="16"/>
                <w:szCs w:val="16"/>
              </w:rPr>
            </w:pPr>
            <w:r w:rsidRPr="00D53CB9">
              <w:rPr>
                <w:sz w:val="16"/>
                <w:szCs w:val="16"/>
              </w:rPr>
              <w:t>Russia before 1897</w:t>
            </w:r>
          </w:p>
        </w:tc>
        <w:tc>
          <w:tcPr>
            <w:tcW w:w="916" w:type="dxa"/>
            <w:tcBorders>
              <w:top w:val="single" w:sz="4" w:space="0" w:color="auto"/>
              <w:left w:val="nil"/>
              <w:bottom w:val="single" w:sz="4" w:space="0" w:color="auto"/>
              <w:right w:val="nil"/>
            </w:tcBorders>
            <w:shd w:val="clear" w:color="auto" w:fill="auto"/>
            <w:vAlign w:val="bottom"/>
            <w:hideMark/>
          </w:tcPr>
          <w:p w14:paraId="414A4080" w14:textId="77777777" w:rsidR="00711AA3" w:rsidRPr="00D53CB9" w:rsidRDefault="00711AA3" w:rsidP="00711AA3">
            <w:pPr>
              <w:spacing w:after="200" w:line="276" w:lineRule="auto"/>
              <w:rPr>
                <w:sz w:val="16"/>
                <w:szCs w:val="16"/>
              </w:rPr>
            </w:pPr>
            <w:r w:rsidRPr="00D53CB9">
              <w:rPr>
                <w:sz w:val="16"/>
                <w:szCs w:val="16"/>
              </w:rPr>
              <w:t>Russia after 1896</w:t>
            </w:r>
          </w:p>
        </w:tc>
        <w:tc>
          <w:tcPr>
            <w:tcW w:w="818" w:type="dxa"/>
            <w:gridSpan w:val="2"/>
            <w:tcBorders>
              <w:top w:val="single" w:sz="4" w:space="0" w:color="auto"/>
            </w:tcBorders>
            <w:vAlign w:val="bottom"/>
          </w:tcPr>
          <w:p w14:paraId="58993F59" w14:textId="77777777" w:rsidR="00711AA3" w:rsidRPr="00D53CB9" w:rsidRDefault="00711AA3" w:rsidP="00711AA3">
            <w:pPr>
              <w:spacing w:after="200" w:line="276" w:lineRule="auto"/>
              <w:rPr>
                <w:sz w:val="16"/>
                <w:szCs w:val="16"/>
              </w:rPr>
            </w:pPr>
            <w:r w:rsidRPr="00D53CB9">
              <w:rPr>
                <w:sz w:val="16"/>
                <w:szCs w:val="16"/>
              </w:rPr>
              <w:t>Romania</w:t>
            </w:r>
          </w:p>
        </w:tc>
      </w:tr>
      <w:tr w:rsidR="00AC0A94" w:rsidRPr="00D53CB9" w14:paraId="2DAAF30C" w14:textId="77777777" w:rsidTr="00AC0A94">
        <w:trPr>
          <w:gridAfter w:val="1"/>
          <w:wAfter w:w="127" w:type="dxa"/>
          <w:trHeight w:val="288"/>
        </w:trPr>
        <w:tc>
          <w:tcPr>
            <w:tcW w:w="1769" w:type="dxa"/>
            <w:tcBorders>
              <w:top w:val="nil"/>
              <w:left w:val="nil"/>
              <w:bottom w:val="nil"/>
              <w:right w:val="single" w:sz="4" w:space="0" w:color="auto"/>
            </w:tcBorders>
            <w:shd w:val="clear" w:color="auto" w:fill="auto"/>
            <w:noWrap/>
            <w:vAlign w:val="bottom"/>
            <w:hideMark/>
          </w:tcPr>
          <w:p w14:paraId="0B7DF14E" w14:textId="77777777" w:rsidR="00711AA3" w:rsidRPr="00D53CB9" w:rsidRDefault="00711AA3" w:rsidP="00711AA3">
            <w:pPr>
              <w:spacing w:after="200" w:line="276" w:lineRule="auto"/>
              <w:rPr>
                <w:sz w:val="16"/>
                <w:szCs w:val="16"/>
              </w:rPr>
            </w:pPr>
            <w:r w:rsidRPr="00D53CB9">
              <w:rPr>
                <w:sz w:val="16"/>
                <w:szCs w:val="16"/>
              </w:rPr>
              <w:t>Share metalic reserves</w:t>
            </w:r>
          </w:p>
        </w:tc>
        <w:tc>
          <w:tcPr>
            <w:tcW w:w="1050" w:type="dxa"/>
            <w:gridSpan w:val="2"/>
            <w:tcBorders>
              <w:top w:val="nil"/>
              <w:left w:val="nil"/>
              <w:bottom w:val="nil"/>
              <w:right w:val="nil"/>
            </w:tcBorders>
            <w:shd w:val="clear" w:color="auto" w:fill="auto"/>
            <w:noWrap/>
            <w:vAlign w:val="bottom"/>
            <w:hideMark/>
          </w:tcPr>
          <w:p w14:paraId="799F04F7" w14:textId="77777777" w:rsidR="00711AA3" w:rsidRPr="00D53CB9" w:rsidRDefault="00711AA3" w:rsidP="00711AA3">
            <w:pPr>
              <w:spacing w:after="200" w:line="276" w:lineRule="auto"/>
              <w:rPr>
                <w:sz w:val="16"/>
                <w:szCs w:val="16"/>
              </w:rPr>
            </w:pPr>
            <w:r w:rsidRPr="00D53CB9">
              <w:rPr>
                <w:sz w:val="16"/>
                <w:szCs w:val="16"/>
              </w:rPr>
              <w:t>0,795</w:t>
            </w:r>
          </w:p>
        </w:tc>
        <w:tc>
          <w:tcPr>
            <w:tcW w:w="696" w:type="dxa"/>
            <w:gridSpan w:val="2"/>
            <w:tcBorders>
              <w:top w:val="nil"/>
              <w:left w:val="nil"/>
              <w:bottom w:val="nil"/>
              <w:right w:val="nil"/>
            </w:tcBorders>
            <w:shd w:val="clear" w:color="auto" w:fill="auto"/>
            <w:noWrap/>
            <w:vAlign w:val="bottom"/>
            <w:hideMark/>
          </w:tcPr>
          <w:p w14:paraId="648E6A72" w14:textId="77777777" w:rsidR="00711AA3" w:rsidRPr="00D53CB9" w:rsidRDefault="00711AA3" w:rsidP="00711AA3">
            <w:pPr>
              <w:spacing w:after="200" w:line="276" w:lineRule="auto"/>
              <w:rPr>
                <w:sz w:val="16"/>
                <w:szCs w:val="16"/>
              </w:rPr>
            </w:pPr>
            <w:r w:rsidRPr="00D53CB9">
              <w:rPr>
                <w:sz w:val="16"/>
                <w:szCs w:val="16"/>
              </w:rPr>
              <w:t>0,6395</w:t>
            </w:r>
          </w:p>
        </w:tc>
        <w:tc>
          <w:tcPr>
            <w:tcW w:w="619" w:type="dxa"/>
            <w:tcBorders>
              <w:top w:val="nil"/>
              <w:left w:val="nil"/>
              <w:bottom w:val="nil"/>
              <w:right w:val="nil"/>
            </w:tcBorders>
            <w:shd w:val="clear" w:color="auto" w:fill="auto"/>
            <w:noWrap/>
            <w:vAlign w:val="bottom"/>
            <w:hideMark/>
          </w:tcPr>
          <w:p w14:paraId="469674D9" w14:textId="77777777" w:rsidR="00711AA3" w:rsidRPr="00D53CB9" w:rsidRDefault="00711AA3" w:rsidP="00711AA3">
            <w:pPr>
              <w:spacing w:after="200" w:line="276" w:lineRule="auto"/>
              <w:rPr>
                <w:sz w:val="16"/>
                <w:szCs w:val="16"/>
              </w:rPr>
            </w:pPr>
            <w:r w:rsidRPr="00D53CB9">
              <w:rPr>
                <w:sz w:val="16"/>
                <w:szCs w:val="16"/>
              </w:rPr>
              <w:t>0,8831</w:t>
            </w:r>
          </w:p>
        </w:tc>
        <w:tc>
          <w:tcPr>
            <w:tcW w:w="628" w:type="dxa"/>
            <w:gridSpan w:val="2"/>
            <w:tcBorders>
              <w:top w:val="nil"/>
              <w:left w:val="nil"/>
              <w:bottom w:val="nil"/>
              <w:right w:val="nil"/>
            </w:tcBorders>
            <w:shd w:val="clear" w:color="auto" w:fill="auto"/>
            <w:noWrap/>
            <w:vAlign w:val="bottom"/>
            <w:hideMark/>
          </w:tcPr>
          <w:p w14:paraId="150D9615" w14:textId="77777777" w:rsidR="00711AA3" w:rsidRPr="00D53CB9" w:rsidRDefault="00711AA3" w:rsidP="00711AA3">
            <w:pPr>
              <w:spacing w:after="200" w:line="276" w:lineRule="auto"/>
              <w:rPr>
                <w:sz w:val="16"/>
                <w:szCs w:val="16"/>
              </w:rPr>
            </w:pPr>
            <w:r w:rsidRPr="00D53CB9">
              <w:rPr>
                <w:sz w:val="16"/>
                <w:szCs w:val="16"/>
              </w:rPr>
              <w:t>0,8787</w:t>
            </w:r>
          </w:p>
        </w:tc>
        <w:tc>
          <w:tcPr>
            <w:tcW w:w="713" w:type="dxa"/>
            <w:gridSpan w:val="2"/>
            <w:tcBorders>
              <w:top w:val="nil"/>
              <w:left w:val="nil"/>
              <w:bottom w:val="nil"/>
              <w:right w:val="nil"/>
            </w:tcBorders>
            <w:shd w:val="clear" w:color="auto" w:fill="auto"/>
            <w:noWrap/>
            <w:vAlign w:val="bottom"/>
            <w:hideMark/>
          </w:tcPr>
          <w:p w14:paraId="454350A9" w14:textId="77777777" w:rsidR="00711AA3" w:rsidRPr="00D53CB9" w:rsidRDefault="00711AA3" w:rsidP="00711AA3">
            <w:pPr>
              <w:spacing w:after="200" w:line="276" w:lineRule="auto"/>
              <w:rPr>
                <w:sz w:val="16"/>
                <w:szCs w:val="16"/>
              </w:rPr>
            </w:pPr>
            <w:r w:rsidRPr="00D53CB9">
              <w:rPr>
                <w:sz w:val="16"/>
                <w:szCs w:val="16"/>
              </w:rPr>
              <w:t>0,888</w:t>
            </w:r>
          </w:p>
        </w:tc>
        <w:tc>
          <w:tcPr>
            <w:tcW w:w="841" w:type="dxa"/>
            <w:gridSpan w:val="2"/>
            <w:tcBorders>
              <w:top w:val="nil"/>
              <w:left w:val="nil"/>
              <w:bottom w:val="nil"/>
              <w:right w:val="nil"/>
            </w:tcBorders>
            <w:shd w:val="clear" w:color="auto" w:fill="auto"/>
            <w:noWrap/>
            <w:vAlign w:val="bottom"/>
            <w:hideMark/>
          </w:tcPr>
          <w:p w14:paraId="427A439A" w14:textId="77777777" w:rsidR="00711AA3" w:rsidRPr="00D53CB9" w:rsidRDefault="00711AA3" w:rsidP="00711AA3">
            <w:pPr>
              <w:spacing w:after="200" w:line="276" w:lineRule="auto"/>
              <w:rPr>
                <w:sz w:val="16"/>
                <w:szCs w:val="16"/>
              </w:rPr>
            </w:pPr>
            <w:r w:rsidRPr="00D53CB9">
              <w:rPr>
                <w:sz w:val="16"/>
                <w:szCs w:val="16"/>
              </w:rPr>
              <w:t>0,9219</w:t>
            </w:r>
          </w:p>
        </w:tc>
        <w:tc>
          <w:tcPr>
            <w:tcW w:w="967" w:type="dxa"/>
            <w:gridSpan w:val="2"/>
            <w:tcBorders>
              <w:top w:val="nil"/>
              <w:left w:val="nil"/>
              <w:bottom w:val="nil"/>
              <w:right w:val="nil"/>
            </w:tcBorders>
            <w:shd w:val="clear" w:color="auto" w:fill="auto"/>
            <w:noWrap/>
            <w:vAlign w:val="bottom"/>
            <w:hideMark/>
          </w:tcPr>
          <w:p w14:paraId="67804D79" w14:textId="77777777" w:rsidR="00711AA3" w:rsidRPr="00D53CB9" w:rsidRDefault="00711AA3" w:rsidP="00711AA3">
            <w:pPr>
              <w:spacing w:after="200" w:line="276" w:lineRule="auto"/>
              <w:rPr>
                <w:sz w:val="16"/>
                <w:szCs w:val="16"/>
              </w:rPr>
            </w:pPr>
            <w:r w:rsidRPr="00D53CB9">
              <w:rPr>
                <w:sz w:val="16"/>
                <w:szCs w:val="16"/>
              </w:rPr>
              <w:t>0,9799</w:t>
            </w:r>
          </w:p>
        </w:tc>
        <w:tc>
          <w:tcPr>
            <w:tcW w:w="916" w:type="dxa"/>
            <w:tcBorders>
              <w:top w:val="nil"/>
              <w:left w:val="nil"/>
              <w:bottom w:val="nil"/>
              <w:right w:val="nil"/>
            </w:tcBorders>
            <w:shd w:val="clear" w:color="auto" w:fill="auto"/>
            <w:noWrap/>
            <w:vAlign w:val="bottom"/>
            <w:hideMark/>
          </w:tcPr>
          <w:p w14:paraId="402915B1" w14:textId="77777777" w:rsidR="00711AA3" w:rsidRPr="00D53CB9" w:rsidRDefault="00711AA3" w:rsidP="00711AA3">
            <w:pPr>
              <w:spacing w:after="200" w:line="276" w:lineRule="auto"/>
              <w:rPr>
                <w:sz w:val="16"/>
                <w:szCs w:val="16"/>
              </w:rPr>
            </w:pPr>
            <w:r w:rsidRPr="00D53CB9">
              <w:rPr>
                <w:sz w:val="16"/>
                <w:szCs w:val="16"/>
              </w:rPr>
              <w:t>0,9014</w:t>
            </w:r>
          </w:p>
        </w:tc>
        <w:tc>
          <w:tcPr>
            <w:tcW w:w="691" w:type="dxa"/>
            <w:tcBorders>
              <w:top w:val="single" w:sz="4" w:space="0" w:color="auto"/>
            </w:tcBorders>
            <w:vAlign w:val="bottom"/>
          </w:tcPr>
          <w:p w14:paraId="0331EF03" w14:textId="77777777" w:rsidR="00711AA3" w:rsidRPr="00D53CB9" w:rsidRDefault="00711AA3" w:rsidP="00711AA3">
            <w:pPr>
              <w:spacing w:after="200" w:line="276" w:lineRule="auto"/>
              <w:rPr>
                <w:sz w:val="16"/>
                <w:szCs w:val="16"/>
              </w:rPr>
            </w:pPr>
            <w:r w:rsidRPr="00D53CB9">
              <w:rPr>
                <w:sz w:val="16"/>
                <w:szCs w:val="16"/>
              </w:rPr>
              <w:t>0,7792</w:t>
            </w:r>
          </w:p>
        </w:tc>
      </w:tr>
      <w:tr w:rsidR="00711AA3" w:rsidRPr="00D53CB9" w14:paraId="5EDA432C" w14:textId="77777777" w:rsidTr="00AC0A94">
        <w:trPr>
          <w:gridAfter w:val="1"/>
          <w:wAfter w:w="127" w:type="dxa"/>
          <w:trHeight w:val="288"/>
        </w:trPr>
        <w:tc>
          <w:tcPr>
            <w:tcW w:w="1769" w:type="dxa"/>
            <w:tcBorders>
              <w:top w:val="nil"/>
              <w:left w:val="nil"/>
              <w:bottom w:val="nil"/>
              <w:right w:val="single" w:sz="4" w:space="0" w:color="auto"/>
            </w:tcBorders>
            <w:shd w:val="clear" w:color="auto" w:fill="auto"/>
            <w:noWrap/>
            <w:vAlign w:val="bottom"/>
            <w:hideMark/>
          </w:tcPr>
          <w:p w14:paraId="123AEC9B" w14:textId="77777777" w:rsidR="00711AA3" w:rsidRPr="00D53CB9" w:rsidRDefault="00711AA3" w:rsidP="00711AA3">
            <w:pPr>
              <w:spacing w:after="200" w:line="276" w:lineRule="auto"/>
              <w:rPr>
                <w:sz w:val="16"/>
                <w:szCs w:val="16"/>
              </w:rPr>
            </w:pPr>
            <w:r w:rsidRPr="00D53CB9">
              <w:rPr>
                <w:sz w:val="16"/>
                <w:szCs w:val="16"/>
              </w:rPr>
              <w:t>share foreign bills</w:t>
            </w:r>
          </w:p>
        </w:tc>
        <w:tc>
          <w:tcPr>
            <w:tcW w:w="1050" w:type="dxa"/>
            <w:gridSpan w:val="2"/>
            <w:tcBorders>
              <w:top w:val="nil"/>
              <w:left w:val="nil"/>
              <w:bottom w:val="nil"/>
              <w:right w:val="nil"/>
            </w:tcBorders>
            <w:shd w:val="clear" w:color="auto" w:fill="auto"/>
            <w:noWrap/>
            <w:vAlign w:val="bottom"/>
            <w:hideMark/>
          </w:tcPr>
          <w:p w14:paraId="7993A73C" w14:textId="77777777" w:rsidR="00711AA3" w:rsidRPr="00D53CB9" w:rsidRDefault="00711AA3" w:rsidP="00711AA3">
            <w:pPr>
              <w:spacing w:after="200" w:line="276" w:lineRule="auto"/>
              <w:rPr>
                <w:sz w:val="16"/>
                <w:szCs w:val="16"/>
              </w:rPr>
            </w:pPr>
            <w:r w:rsidRPr="00D53CB9">
              <w:rPr>
                <w:sz w:val="16"/>
                <w:szCs w:val="16"/>
              </w:rPr>
              <w:t>0,0607</w:t>
            </w:r>
          </w:p>
        </w:tc>
        <w:tc>
          <w:tcPr>
            <w:tcW w:w="696" w:type="dxa"/>
            <w:gridSpan w:val="2"/>
            <w:tcBorders>
              <w:top w:val="nil"/>
              <w:left w:val="nil"/>
              <w:bottom w:val="nil"/>
              <w:right w:val="nil"/>
            </w:tcBorders>
            <w:shd w:val="clear" w:color="auto" w:fill="auto"/>
            <w:noWrap/>
            <w:vAlign w:val="bottom"/>
            <w:hideMark/>
          </w:tcPr>
          <w:p w14:paraId="30839A17" w14:textId="77777777" w:rsidR="00711AA3" w:rsidRPr="00D53CB9" w:rsidRDefault="00711AA3" w:rsidP="00711AA3">
            <w:pPr>
              <w:spacing w:after="200" w:line="276" w:lineRule="auto"/>
              <w:rPr>
                <w:sz w:val="16"/>
                <w:szCs w:val="16"/>
              </w:rPr>
            </w:pPr>
            <w:r w:rsidRPr="00D53CB9">
              <w:rPr>
                <w:sz w:val="16"/>
                <w:szCs w:val="16"/>
              </w:rPr>
              <w:t>0,0506</w:t>
            </w:r>
          </w:p>
        </w:tc>
        <w:tc>
          <w:tcPr>
            <w:tcW w:w="619" w:type="dxa"/>
            <w:tcBorders>
              <w:top w:val="nil"/>
              <w:left w:val="nil"/>
              <w:bottom w:val="nil"/>
              <w:right w:val="nil"/>
            </w:tcBorders>
            <w:shd w:val="clear" w:color="auto" w:fill="auto"/>
            <w:noWrap/>
            <w:vAlign w:val="bottom"/>
            <w:hideMark/>
          </w:tcPr>
          <w:p w14:paraId="43BB3068" w14:textId="77777777" w:rsidR="00711AA3" w:rsidRPr="00D53CB9" w:rsidRDefault="00711AA3" w:rsidP="00711AA3">
            <w:pPr>
              <w:spacing w:after="200" w:line="276" w:lineRule="auto"/>
              <w:rPr>
                <w:sz w:val="16"/>
                <w:szCs w:val="16"/>
              </w:rPr>
            </w:pPr>
            <w:r w:rsidRPr="00D53CB9">
              <w:rPr>
                <w:sz w:val="16"/>
                <w:szCs w:val="16"/>
              </w:rPr>
              <w:t>0,0749</w:t>
            </w:r>
          </w:p>
        </w:tc>
        <w:tc>
          <w:tcPr>
            <w:tcW w:w="628" w:type="dxa"/>
            <w:gridSpan w:val="2"/>
            <w:tcBorders>
              <w:top w:val="nil"/>
              <w:left w:val="nil"/>
              <w:bottom w:val="nil"/>
              <w:right w:val="nil"/>
            </w:tcBorders>
            <w:shd w:val="clear" w:color="auto" w:fill="auto"/>
            <w:noWrap/>
            <w:vAlign w:val="bottom"/>
            <w:hideMark/>
          </w:tcPr>
          <w:p w14:paraId="7F3CEDA1" w14:textId="77777777" w:rsidR="00711AA3" w:rsidRPr="00D53CB9" w:rsidRDefault="00711AA3" w:rsidP="00711AA3">
            <w:pPr>
              <w:spacing w:after="200" w:line="276" w:lineRule="auto"/>
              <w:rPr>
                <w:sz w:val="16"/>
                <w:szCs w:val="16"/>
              </w:rPr>
            </w:pPr>
            <w:r w:rsidRPr="00D53CB9">
              <w:rPr>
                <w:sz w:val="16"/>
                <w:szCs w:val="16"/>
              </w:rPr>
              <w:t>0,0768</w:t>
            </w:r>
          </w:p>
        </w:tc>
        <w:tc>
          <w:tcPr>
            <w:tcW w:w="713" w:type="dxa"/>
            <w:gridSpan w:val="2"/>
            <w:tcBorders>
              <w:top w:val="nil"/>
              <w:left w:val="nil"/>
              <w:bottom w:val="nil"/>
              <w:right w:val="nil"/>
            </w:tcBorders>
            <w:shd w:val="clear" w:color="auto" w:fill="auto"/>
            <w:noWrap/>
            <w:vAlign w:val="bottom"/>
            <w:hideMark/>
          </w:tcPr>
          <w:p w14:paraId="5F75303F" w14:textId="77777777" w:rsidR="00711AA3" w:rsidRPr="00D53CB9" w:rsidRDefault="00711AA3" w:rsidP="00711AA3">
            <w:pPr>
              <w:spacing w:after="200" w:line="276" w:lineRule="auto"/>
              <w:rPr>
                <w:sz w:val="16"/>
                <w:szCs w:val="16"/>
              </w:rPr>
            </w:pPr>
            <w:r w:rsidRPr="00D53CB9">
              <w:rPr>
                <w:sz w:val="16"/>
                <w:szCs w:val="16"/>
              </w:rPr>
              <w:t>0,0729</w:t>
            </w:r>
          </w:p>
        </w:tc>
        <w:tc>
          <w:tcPr>
            <w:tcW w:w="841" w:type="dxa"/>
            <w:gridSpan w:val="2"/>
            <w:tcBorders>
              <w:top w:val="nil"/>
              <w:left w:val="nil"/>
              <w:bottom w:val="nil"/>
              <w:right w:val="nil"/>
            </w:tcBorders>
            <w:shd w:val="clear" w:color="auto" w:fill="auto"/>
            <w:noWrap/>
            <w:vAlign w:val="bottom"/>
            <w:hideMark/>
          </w:tcPr>
          <w:p w14:paraId="2DC8DD58" w14:textId="77777777" w:rsidR="00711AA3" w:rsidRPr="00D53CB9" w:rsidRDefault="00711AA3" w:rsidP="00711AA3">
            <w:pPr>
              <w:spacing w:after="200" w:line="276" w:lineRule="auto"/>
              <w:rPr>
                <w:sz w:val="16"/>
                <w:szCs w:val="16"/>
              </w:rPr>
            </w:pPr>
            <w:r w:rsidRPr="00D53CB9">
              <w:rPr>
                <w:sz w:val="16"/>
                <w:szCs w:val="16"/>
              </w:rPr>
              <w:t>0</w:t>
            </w:r>
          </w:p>
        </w:tc>
        <w:tc>
          <w:tcPr>
            <w:tcW w:w="967" w:type="dxa"/>
            <w:gridSpan w:val="2"/>
            <w:tcBorders>
              <w:top w:val="nil"/>
              <w:left w:val="nil"/>
              <w:bottom w:val="nil"/>
              <w:right w:val="nil"/>
            </w:tcBorders>
            <w:shd w:val="clear" w:color="auto" w:fill="auto"/>
            <w:noWrap/>
            <w:vAlign w:val="bottom"/>
            <w:hideMark/>
          </w:tcPr>
          <w:p w14:paraId="0DE0477F" w14:textId="77777777" w:rsidR="00711AA3" w:rsidRPr="00D53CB9" w:rsidRDefault="00711AA3" w:rsidP="00711AA3">
            <w:pPr>
              <w:spacing w:after="200" w:line="276" w:lineRule="auto"/>
              <w:rPr>
                <w:sz w:val="16"/>
                <w:szCs w:val="16"/>
              </w:rPr>
            </w:pPr>
            <w:r w:rsidRPr="00D53CB9">
              <w:rPr>
                <w:sz w:val="16"/>
                <w:szCs w:val="16"/>
              </w:rPr>
              <w:t>0</w:t>
            </w:r>
          </w:p>
        </w:tc>
        <w:tc>
          <w:tcPr>
            <w:tcW w:w="916" w:type="dxa"/>
            <w:tcBorders>
              <w:top w:val="nil"/>
              <w:left w:val="nil"/>
              <w:bottom w:val="nil"/>
              <w:right w:val="nil"/>
            </w:tcBorders>
            <w:shd w:val="clear" w:color="auto" w:fill="auto"/>
            <w:noWrap/>
            <w:vAlign w:val="bottom"/>
            <w:hideMark/>
          </w:tcPr>
          <w:p w14:paraId="70239466" w14:textId="77777777" w:rsidR="00711AA3" w:rsidRPr="00D53CB9" w:rsidRDefault="00711AA3" w:rsidP="00711AA3">
            <w:pPr>
              <w:spacing w:after="200" w:line="276" w:lineRule="auto"/>
              <w:rPr>
                <w:sz w:val="16"/>
                <w:szCs w:val="16"/>
              </w:rPr>
            </w:pPr>
            <w:r w:rsidRPr="00D53CB9">
              <w:rPr>
                <w:sz w:val="16"/>
                <w:szCs w:val="16"/>
              </w:rPr>
              <w:t>0</w:t>
            </w:r>
          </w:p>
        </w:tc>
        <w:tc>
          <w:tcPr>
            <w:tcW w:w="691" w:type="dxa"/>
            <w:vAlign w:val="bottom"/>
          </w:tcPr>
          <w:p w14:paraId="2000EEEA" w14:textId="77777777" w:rsidR="00711AA3" w:rsidRPr="00D53CB9" w:rsidRDefault="00711AA3" w:rsidP="00711AA3">
            <w:pPr>
              <w:spacing w:after="200" w:line="276" w:lineRule="auto"/>
              <w:rPr>
                <w:sz w:val="16"/>
                <w:szCs w:val="16"/>
              </w:rPr>
            </w:pPr>
            <w:r w:rsidRPr="00D53CB9">
              <w:rPr>
                <w:sz w:val="16"/>
                <w:szCs w:val="16"/>
              </w:rPr>
              <w:t>0,2208</w:t>
            </w:r>
          </w:p>
        </w:tc>
      </w:tr>
      <w:tr w:rsidR="00711AA3" w:rsidRPr="00D53CB9" w14:paraId="4DBF26CC" w14:textId="77777777" w:rsidTr="00AC0A94">
        <w:trPr>
          <w:gridAfter w:val="1"/>
          <w:wAfter w:w="127" w:type="dxa"/>
          <w:trHeight w:val="288"/>
        </w:trPr>
        <w:tc>
          <w:tcPr>
            <w:tcW w:w="1769" w:type="dxa"/>
            <w:tcBorders>
              <w:top w:val="nil"/>
              <w:left w:val="nil"/>
              <w:bottom w:val="nil"/>
              <w:right w:val="single" w:sz="4" w:space="0" w:color="auto"/>
            </w:tcBorders>
            <w:shd w:val="clear" w:color="auto" w:fill="auto"/>
            <w:noWrap/>
            <w:vAlign w:val="bottom"/>
            <w:hideMark/>
          </w:tcPr>
          <w:p w14:paraId="764FE9B7" w14:textId="77777777" w:rsidR="00711AA3" w:rsidRPr="00D53CB9" w:rsidRDefault="00711AA3" w:rsidP="00711AA3">
            <w:pPr>
              <w:spacing w:after="200" w:line="276" w:lineRule="auto"/>
              <w:rPr>
                <w:sz w:val="16"/>
                <w:szCs w:val="16"/>
              </w:rPr>
            </w:pPr>
            <w:r w:rsidRPr="00D53CB9">
              <w:rPr>
                <w:sz w:val="16"/>
                <w:szCs w:val="16"/>
              </w:rPr>
              <w:t>share foreign funds</w:t>
            </w:r>
          </w:p>
        </w:tc>
        <w:tc>
          <w:tcPr>
            <w:tcW w:w="1050" w:type="dxa"/>
            <w:gridSpan w:val="2"/>
            <w:tcBorders>
              <w:top w:val="nil"/>
              <w:left w:val="nil"/>
              <w:bottom w:val="nil"/>
              <w:right w:val="nil"/>
            </w:tcBorders>
            <w:shd w:val="clear" w:color="auto" w:fill="auto"/>
            <w:noWrap/>
            <w:vAlign w:val="bottom"/>
            <w:hideMark/>
          </w:tcPr>
          <w:p w14:paraId="72C5FF8C" w14:textId="77777777" w:rsidR="00711AA3" w:rsidRPr="00D53CB9" w:rsidRDefault="00711AA3" w:rsidP="00711AA3">
            <w:pPr>
              <w:spacing w:after="200" w:line="276" w:lineRule="auto"/>
              <w:rPr>
                <w:sz w:val="16"/>
                <w:szCs w:val="16"/>
              </w:rPr>
            </w:pPr>
            <w:r w:rsidRPr="00D53CB9">
              <w:rPr>
                <w:sz w:val="16"/>
                <w:szCs w:val="16"/>
              </w:rPr>
              <w:t>0,1443</w:t>
            </w:r>
          </w:p>
        </w:tc>
        <w:tc>
          <w:tcPr>
            <w:tcW w:w="696" w:type="dxa"/>
            <w:gridSpan w:val="2"/>
            <w:tcBorders>
              <w:top w:val="nil"/>
              <w:left w:val="nil"/>
              <w:bottom w:val="nil"/>
              <w:right w:val="nil"/>
            </w:tcBorders>
            <w:shd w:val="clear" w:color="auto" w:fill="auto"/>
            <w:noWrap/>
            <w:vAlign w:val="bottom"/>
            <w:hideMark/>
          </w:tcPr>
          <w:p w14:paraId="30E9979E" w14:textId="77777777" w:rsidR="00711AA3" w:rsidRPr="00D53CB9" w:rsidRDefault="00711AA3" w:rsidP="00711AA3">
            <w:pPr>
              <w:spacing w:after="200" w:line="276" w:lineRule="auto"/>
              <w:rPr>
                <w:sz w:val="16"/>
                <w:szCs w:val="16"/>
              </w:rPr>
            </w:pPr>
            <w:r w:rsidRPr="00D53CB9">
              <w:rPr>
                <w:sz w:val="16"/>
                <w:szCs w:val="16"/>
              </w:rPr>
              <w:t>0,3099</w:t>
            </w:r>
          </w:p>
        </w:tc>
        <w:tc>
          <w:tcPr>
            <w:tcW w:w="619" w:type="dxa"/>
            <w:tcBorders>
              <w:top w:val="nil"/>
              <w:left w:val="nil"/>
              <w:bottom w:val="nil"/>
              <w:right w:val="nil"/>
            </w:tcBorders>
            <w:shd w:val="clear" w:color="auto" w:fill="auto"/>
            <w:noWrap/>
            <w:vAlign w:val="bottom"/>
            <w:hideMark/>
          </w:tcPr>
          <w:p w14:paraId="0C6A68AF" w14:textId="77777777" w:rsidR="00711AA3" w:rsidRPr="00D53CB9" w:rsidRDefault="00711AA3" w:rsidP="00711AA3">
            <w:pPr>
              <w:spacing w:after="200" w:line="276" w:lineRule="auto"/>
              <w:rPr>
                <w:sz w:val="16"/>
                <w:szCs w:val="16"/>
              </w:rPr>
            </w:pPr>
            <w:r w:rsidRPr="00D53CB9">
              <w:rPr>
                <w:sz w:val="16"/>
                <w:szCs w:val="16"/>
              </w:rPr>
              <w:t>0,042</w:t>
            </w:r>
          </w:p>
        </w:tc>
        <w:tc>
          <w:tcPr>
            <w:tcW w:w="628" w:type="dxa"/>
            <w:gridSpan w:val="2"/>
            <w:tcBorders>
              <w:top w:val="nil"/>
              <w:left w:val="nil"/>
              <w:bottom w:val="nil"/>
              <w:right w:val="nil"/>
            </w:tcBorders>
            <w:shd w:val="clear" w:color="auto" w:fill="auto"/>
            <w:noWrap/>
            <w:vAlign w:val="bottom"/>
            <w:hideMark/>
          </w:tcPr>
          <w:p w14:paraId="693EC4B5" w14:textId="77777777" w:rsidR="00711AA3" w:rsidRPr="00D53CB9" w:rsidRDefault="00711AA3" w:rsidP="00711AA3">
            <w:pPr>
              <w:spacing w:after="200" w:line="276" w:lineRule="auto"/>
              <w:rPr>
                <w:sz w:val="16"/>
                <w:szCs w:val="16"/>
              </w:rPr>
            </w:pPr>
            <w:r w:rsidRPr="00D53CB9">
              <w:rPr>
                <w:sz w:val="16"/>
                <w:szCs w:val="16"/>
              </w:rPr>
              <w:t>0,0446</w:t>
            </w:r>
          </w:p>
        </w:tc>
        <w:tc>
          <w:tcPr>
            <w:tcW w:w="713" w:type="dxa"/>
            <w:gridSpan w:val="2"/>
            <w:tcBorders>
              <w:top w:val="nil"/>
              <w:left w:val="nil"/>
              <w:bottom w:val="nil"/>
              <w:right w:val="nil"/>
            </w:tcBorders>
            <w:shd w:val="clear" w:color="auto" w:fill="auto"/>
            <w:noWrap/>
            <w:vAlign w:val="bottom"/>
            <w:hideMark/>
          </w:tcPr>
          <w:p w14:paraId="280D4A5E" w14:textId="77777777" w:rsidR="00711AA3" w:rsidRPr="00D53CB9" w:rsidRDefault="00711AA3" w:rsidP="00711AA3">
            <w:pPr>
              <w:spacing w:after="200" w:line="276" w:lineRule="auto"/>
              <w:rPr>
                <w:sz w:val="16"/>
                <w:szCs w:val="16"/>
              </w:rPr>
            </w:pPr>
            <w:r w:rsidRPr="00D53CB9">
              <w:rPr>
                <w:sz w:val="16"/>
                <w:szCs w:val="16"/>
              </w:rPr>
              <w:t>0,0391</w:t>
            </w:r>
          </w:p>
        </w:tc>
        <w:tc>
          <w:tcPr>
            <w:tcW w:w="841" w:type="dxa"/>
            <w:gridSpan w:val="2"/>
            <w:tcBorders>
              <w:top w:val="nil"/>
              <w:left w:val="nil"/>
              <w:bottom w:val="nil"/>
              <w:right w:val="nil"/>
            </w:tcBorders>
            <w:shd w:val="clear" w:color="auto" w:fill="auto"/>
            <w:noWrap/>
            <w:vAlign w:val="bottom"/>
            <w:hideMark/>
          </w:tcPr>
          <w:p w14:paraId="20EAC03B" w14:textId="77777777" w:rsidR="00711AA3" w:rsidRPr="00D53CB9" w:rsidRDefault="00711AA3" w:rsidP="00711AA3">
            <w:pPr>
              <w:spacing w:after="200" w:line="276" w:lineRule="auto"/>
              <w:rPr>
                <w:sz w:val="16"/>
                <w:szCs w:val="16"/>
              </w:rPr>
            </w:pPr>
            <w:r w:rsidRPr="00D53CB9">
              <w:rPr>
                <w:sz w:val="16"/>
                <w:szCs w:val="16"/>
              </w:rPr>
              <w:t>0,0781</w:t>
            </w:r>
          </w:p>
        </w:tc>
        <w:tc>
          <w:tcPr>
            <w:tcW w:w="967" w:type="dxa"/>
            <w:gridSpan w:val="2"/>
            <w:tcBorders>
              <w:top w:val="nil"/>
              <w:left w:val="nil"/>
              <w:bottom w:val="nil"/>
              <w:right w:val="nil"/>
            </w:tcBorders>
            <w:shd w:val="clear" w:color="auto" w:fill="auto"/>
            <w:noWrap/>
            <w:vAlign w:val="bottom"/>
            <w:hideMark/>
          </w:tcPr>
          <w:p w14:paraId="68DD673B" w14:textId="77777777" w:rsidR="00711AA3" w:rsidRPr="00D53CB9" w:rsidRDefault="00711AA3" w:rsidP="00711AA3">
            <w:pPr>
              <w:spacing w:after="200" w:line="276" w:lineRule="auto"/>
              <w:rPr>
                <w:sz w:val="16"/>
                <w:szCs w:val="16"/>
              </w:rPr>
            </w:pPr>
            <w:r w:rsidRPr="00D53CB9">
              <w:rPr>
                <w:sz w:val="16"/>
                <w:szCs w:val="16"/>
              </w:rPr>
              <w:t>0,0201</w:t>
            </w:r>
          </w:p>
        </w:tc>
        <w:tc>
          <w:tcPr>
            <w:tcW w:w="916" w:type="dxa"/>
            <w:tcBorders>
              <w:top w:val="nil"/>
              <w:left w:val="nil"/>
              <w:bottom w:val="nil"/>
              <w:right w:val="nil"/>
            </w:tcBorders>
            <w:shd w:val="clear" w:color="auto" w:fill="auto"/>
            <w:noWrap/>
            <w:vAlign w:val="bottom"/>
            <w:hideMark/>
          </w:tcPr>
          <w:p w14:paraId="10CE2D6F" w14:textId="77777777" w:rsidR="00711AA3" w:rsidRPr="00D53CB9" w:rsidRDefault="00711AA3" w:rsidP="00711AA3">
            <w:pPr>
              <w:spacing w:after="200" w:line="276" w:lineRule="auto"/>
              <w:rPr>
                <w:sz w:val="16"/>
                <w:szCs w:val="16"/>
              </w:rPr>
            </w:pPr>
            <w:r w:rsidRPr="00D53CB9">
              <w:rPr>
                <w:sz w:val="16"/>
                <w:szCs w:val="16"/>
              </w:rPr>
              <w:t>0,0986</w:t>
            </w:r>
          </w:p>
        </w:tc>
        <w:tc>
          <w:tcPr>
            <w:tcW w:w="691" w:type="dxa"/>
            <w:vAlign w:val="bottom"/>
          </w:tcPr>
          <w:p w14:paraId="50B1BD7C" w14:textId="77777777" w:rsidR="00711AA3" w:rsidRPr="00D53CB9" w:rsidRDefault="00711AA3" w:rsidP="00711AA3">
            <w:pPr>
              <w:spacing w:after="200" w:line="276" w:lineRule="auto"/>
              <w:rPr>
                <w:sz w:val="16"/>
                <w:szCs w:val="16"/>
              </w:rPr>
            </w:pPr>
            <w:r w:rsidRPr="00D53CB9">
              <w:rPr>
                <w:sz w:val="16"/>
                <w:szCs w:val="16"/>
              </w:rPr>
              <w:t>0</w:t>
            </w:r>
          </w:p>
        </w:tc>
      </w:tr>
      <w:tr w:rsidR="00711AA3" w:rsidRPr="00D53CB9" w14:paraId="02829339" w14:textId="77777777" w:rsidTr="00AC0A94">
        <w:trPr>
          <w:gridAfter w:val="1"/>
          <w:wAfter w:w="127" w:type="dxa"/>
          <w:trHeight w:val="288"/>
        </w:trPr>
        <w:tc>
          <w:tcPr>
            <w:tcW w:w="1769" w:type="dxa"/>
            <w:tcBorders>
              <w:top w:val="nil"/>
              <w:left w:val="nil"/>
              <w:bottom w:val="nil"/>
              <w:right w:val="single" w:sz="4" w:space="0" w:color="auto"/>
            </w:tcBorders>
            <w:shd w:val="clear" w:color="auto" w:fill="auto"/>
            <w:noWrap/>
            <w:vAlign w:val="bottom"/>
            <w:hideMark/>
          </w:tcPr>
          <w:p w14:paraId="39403767" w14:textId="77777777" w:rsidR="00711AA3" w:rsidRPr="00D53CB9" w:rsidRDefault="00711AA3" w:rsidP="00711AA3">
            <w:pPr>
              <w:spacing w:after="200" w:line="276" w:lineRule="auto"/>
              <w:rPr>
                <w:sz w:val="16"/>
                <w:szCs w:val="16"/>
              </w:rPr>
            </w:pPr>
            <w:r w:rsidRPr="00D53CB9">
              <w:rPr>
                <w:sz w:val="16"/>
                <w:szCs w:val="16"/>
              </w:rPr>
              <w:t>share discount</w:t>
            </w:r>
          </w:p>
        </w:tc>
        <w:tc>
          <w:tcPr>
            <w:tcW w:w="1050" w:type="dxa"/>
            <w:gridSpan w:val="2"/>
            <w:tcBorders>
              <w:top w:val="nil"/>
              <w:left w:val="nil"/>
              <w:bottom w:val="nil"/>
              <w:right w:val="nil"/>
            </w:tcBorders>
            <w:shd w:val="clear" w:color="auto" w:fill="auto"/>
            <w:noWrap/>
            <w:vAlign w:val="bottom"/>
            <w:hideMark/>
          </w:tcPr>
          <w:p w14:paraId="6F9A3558" w14:textId="77777777" w:rsidR="00711AA3" w:rsidRPr="00D53CB9" w:rsidRDefault="00711AA3" w:rsidP="00711AA3">
            <w:pPr>
              <w:spacing w:after="200" w:line="276" w:lineRule="auto"/>
              <w:rPr>
                <w:sz w:val="16"/>
                <w:szCs w:val="16"/>
              </w:rPr>
            </w:pPr>
            <w:r w:rsidRPr="00D53CB9">
              <w:rPr>
                <w:sz w:val="16"/>
                <w:szCs w:val="16"/>
              </w:rPr>
              <w:t>0,5528</w:t>
            </w:r>
          </w:p>
        </w:tc>
        <w:tc>
          <w:tcPr>
            <w:tcW w:w="696" w:type="dxa"/>
            <w:gridSpan w:val="2"/>
            <w:tcBorders>
              <w:top w:val="nil"/>
              <w:left w:val="nil"/>
              <w:bottom w:val="nil"/>
              <w:right w:val="nil"/>
            </w:tcBorders>
            <w:shd w:val="clear" w:color="auto" w:fill="auto"/>
            <w:noWrap/>
            <w:vAlign w:val="bottom"/>
            <w:hideMark/>
          </w:tcPr>
          <w:p w14:paraId="09FD6363" w14:textId="77777777" w:rsidR="00711AA3" w:rsidRPr="00D53CB9" w:rsidRDefault="00711AA3" w:rsidP="00711AA3">
            <w:pPr>
              <w:spacing w:after="200" w:line="276" w:lineRule="auto"/>
              <w:rPr>
                <w:sz w:val="16"/>
                <w:szCs w:val="16"/>
              </w:rPr>
            </w:pPr>
            <w:r w:rsidRPr="00D53CB9">
              <w:rPr>
                <w:sz w:val="16"/>
                <w:szCs w:val="16"/>
              </w:rPr>
              <w:t>0,8552</w:t>
            </w:r>
          </w:p>
        </w:tc>
        <w:tc>
          <w:tcPr>
            <w:tcW w:w="619" w:type="dxa"/>
            <w:tcBorders>
              <w:top w:val="nil"/>
              <w:left w:val="nil"/>
              <w:bottom w:val="nil"/>
              <w:right w:val="nil"/>
            </w:tcBorders>
            <w:shd w:val="clear" w:color="auto" w:fill="auto"/>
            <w:noWrap/>
            <w:vAlign w:val="bottom"/>
            <w:hideMark/>
          </w:tcPr>
          <w:p w14:paraId="58DA8E87" w14:textId="77777777" w:rsidR="00711AA3" w:rsidRPr="00D53CB9" w:rsidRDefault="00711AA3" w:rsidP="00711AA3">
            <w:pPr>
              <w:spacing w:after="200" w:line="276" w:lineRule="auto"/>
              <w:rPr>
                <w:sz w:val="16"/>
                <w:szCs w:val="16"/>
              </w:rPr>
            </w:pPr>
            <w:r w:rsidRPr="00D53CB9">
              <w:rPr>
                <w:sz w:val="16"/>
                <w:szCs w:val="16"/>
              </w:rPr>
              <w:t>0,8589</w:t>
            </w:r>
          </w:p>
        </w:tc>
        <w:tc>
          <w:tcPr>
            <w:tcW w:w="628" w:type="dxa"/>
            <w:gridSpan w:val="2"/>
            <w:tcBorders>
              <w:top w:val="nil"/>
              <w:left w:val="nil"/>
              <w:bottom w:val="nil"/>
              <w:right w:val="nil"/>
            </w:tcBorders>
            <w:shd w:val="clear" w:color="auto" w:fill="auto"/>
            <w:noWrap/>
            <w:vAlign w:val="bottom"/>
            <w:hideMark/>
          </w:tcPr>
          <w:p w14:paraId="539AA869" w14:textId="77777777" w:rsidR="00711AA3" w:rsidRPr="00D53CB9" w:rsidRDefault="00711AA3" w:rsidP="00711AA3">
            <w:pPr>
              <w:spacing w:after="200" w:line="276" w:lineRule="auto"/>
              <w:rPr>
                <w:sz w:val="16"/>
                <w:szCs w:val="16"/>
              </w:rPr>
            </w:pPr>
            <w:r w:rsidRPr="00D53CB9">
              <w:rPr>
                <w:sz w:val="16"/>
                <w:szCs w:val="16"/>
              </w:rPr>
              <w:t>0,8731</w:t>
            </w:r>
          </w:p>
        </w:tc>
        <w:tc>
          <w:tcPr>
            <w:tcW w:w="713" w:type="dxa"/>
            <w:gridSpan w:val="2"/>
            <w:tcBorders>
              <w:top w:val="nil"/>
              <w:left w:val="nil"/>
              <w:bottom w:val="nil"/>
              <w:right w:val="nil"/>
            </w:tcBorders>
            <w:shd w:val="clear" w:color="auto" w:fill="auto"/>
            <w:noWrap/>
            <w:vAlign w:val="bottom"/>
            <w:hideMark/>
          </w:tcPr>
          <w:p w14:paraId="6F3B960A" w14:textId="77777777" w:rsidR="00711AA3" w:rsidRPr="00D53CB9" w:rsidRDefault="00711AA3" w:rsidP="00711AA3">
            <w:pPr>
              <w:spacing w:after="200" w:line="276" w:lineRule="auto"/>
              <w:rPr>
                <w:sz w:val="16"/>
                <w:szCs w:val="16"/>
              </w:rPr>
            </w:pPr>
            <w:r w:rsidRPr="00D53CB9">
              <w:rPr>
                <w:sz w:val="16"/>
                <w:szCs w:val="16"/>
              </w:rPr>
              <w:t>0,8434</w:t>
            </w:r>
          </w:p>
        </w:tc>
        <w:tc>
          <w:tcPr>
            <w:tcW w:w="841" w:type="dxa"/>
            <w:gridSpan w:val="2"/>
            <w:tcBorders>
              <w:top w:val="nil"/>
              <w:left w:val="nil"/>
              <w:bottom w:val="nil"/>
              <w:right w:val="nil"/>
            </w:tcBorders>
            <w:shd w:val="clear" w:color="auto" w:fill="auto"/>
            <w:noWrap/>
            <w:vAlign w:val="bottom"/>
            <w:hideMark/>
          </w:tcPr>
          <w:p w14:paraId="5BF7EBED" w14:textId="77777777" w:rsidR="00711AA3" w:rsidRPr="00D53CB9" w:rsidRDefault="00711AA3" w:rsidP="00711AA3">
            <w:pPr>
              <w:spacing w:after="200" w:line="276" w:lineRule="auto"/>
              <w:rPr>
                <w:sz w:val="16"/>
                <w:szCs w:val="16"/>
              </w:rPr>
            </w:pPr>
            <w:r w:rsidRPr="00D53CB9">
              <w:rPr>
                <w:sz w:val="16"/>
                <w:szCs w:val="16"/>
              </w:rPr>
              <w:t>0,5031</w:t>
            </w:r>
          </w:p>
        </w:tc>
        <w:tc>
          <w:tcPr>
            <w:tcW w:w="967" w:type="dxa"/>
            <w:gridSpan w:val="2"/>
            <w:tcBorders>
              <w:top w:val="nil"/>
              <w:left w:val="nil"/>
              <w:bottom w:val="nil"/>
              <w:right w:val="nil"/>
            </w:tcBorders>
            <w:shd w:val="clear" w:color="auto" w:fill="auto"/>
            <w:noWrap/>
            <w:vAlign w:val="bottom"/>
            <w:hideMark/>
          </w:tcPr>
          <w:p w14:paraId="5122CB52" w14:textId="77777777" w:rsidR="00711AA3" w:rsidRPr="00D53CB9" w:rsidRDefault="00711AA3" w:rsidP="00711AA3">
            <w:pPr>
              <w:spacing w:after="200" w:line="276" w:lineRule="auto"/>
              <w:rPr>
                <w:sz w:val="16"/>
                <w:szCs w:val="16"/>
              </w:rPr>
            </w:pPr>
            <w:r w:rsidRPr="00D53CB9">
              <w:rPr>
                <w:sz w:val="16"/>
                <w:szCs w:val="16"/>
              </w:rPr>
              <w:t>0,5096</w:t>
            </w:r>
          </w:p>
        </w:tc>
        <w:tc>
          <w:tcPr>
            <w:tcW w:w="916" w:type="dxa"/>
            <w:tcBorders>
              <w:top w:val="nil"/>
              <w:left w:val="nil"/>
              <w:bottom w:val="nil"/>
              <w:right w:val="nil"/>
            </w:tcBorders>
            <w:shd w:val="clear" w:color="auto" w:fill="auto"/>
            <w:noWrap/>
            <w:vAlign w:val="bottom"/>
            <w:hideMark/>
          </w:tcPr>
          <w:p w14:paraId="3EDEFC07" w14:textId="77777777" w:rsidR="00711AA3" w:rsidRPr="00D53CB9" w:rsidRDefault="00711AA3" w:rsidP="00711AA3">
            <w:pPr>
              <w:spacing w:after="200" w:line="276" w:lineRule="auto"/>
              <w:rPr>
                <w:sz w:val="16"/>
                <w:szCs w:val="16"/>
              </w:rPr>
            </w:pPr>
            <w:r w:rsidRPr="00D53CB9">
              <w:rPr>
                <w:sz w:val="16"/>
                <w:szCs w:val="16"/>
              </w:rPr>
              <w:t>0,5007</w:t>
            </w:r>
          </w:p>
        </w:tc>
        <w:tc>
          <w:tcPr>
            <w:tcW w:w="691" w:type="dxa"/>
            <w:vAlign w:val="bottom"/>
          </w:tcPr>
          <w:p w14:paraId="0B778052" w14:textId="77777777" w:rsidR="00711AA3" w:rsidRPr="00D53CB9" w:rsidRDefault="00711AA3" w:rsidP="00711AA3">
            <w:pPr>
              <w:spacing w:after="200" w:line="276" w:lineRule="auto"/>
              <w:rPr>
                <w:sz w:val="16"/>
                <w:szCs w:val="16"/>
              </w:rPr>
            </w:pPr>
            <w:r w:rsidRPr="00D53CB9">
              <w:rPr>
                <w:sz w:val="16"/>
                <w:szCs w:val="16"/>
              </w:rPr>
              <w:t>0,6858</w:t>
            </w:r>
          </w:p>
        </w:tc>
      </w:tr>
      <w:tr w:rsidR="00711AA3" w:rsidRPr="00D53CB9" w14:paraId="26E225E3" w14:textId="77777777" w:rsidTr="00AC0A94">
        <w:trPr>
          <w:gridAfter w:val="1"/>
          <w:wAfter w:w="127" w:type="dxa"/>
          <w:trHeight w:val="288"/>
        </w:trPr>
        <w:tc>
          <w:tcPr>
            <w:tcW w:w="1769" w:type="dxa"/>
            <w:tcBorders>
              <w:top w:val="nil"/>
              <w:left w:val="nil"/>
              <w:bottom w:val="nil"/>
              <w:right w:val="single" w:sz="4" w:space="0" w:color="auto"/>
            </w:tcBorders>
            <w:shd w:val="clear" w:color="auto" w:fill="auto"/>
            <w:noWrap/>
            <w:vAlign w:val="bottom"/>
            <w:hideMark/>
          </w:tcPr>
          <w:p w14:paraId="6656A57B" w14:textId="77777777" w:rsidR="00711AA3" w:rsidRPr="00D53CB9" w:rsidRDefault="00711AA3" w:rsidP="00711AA3">
            <w:pPr>
              <w:spacing w:after="200" w:line="276" w:lineRule="auto"/>
              <w:rPr>
                <w:sz w:val="16"/>
                <w:szCs w:val="16"/>
              </w:rPr>
            </w:pPr>
            <w:r w:rsidRPr="00D53CB9">
              <w:rPr>
                <w:sz w:val="16"/>
                <w:szCs w:val="16"/>
              </w:rPr>
              <w:t>share advances</w:t>
            </w:r>
          </w:p>
        </w:tc>
        <w:tc>
          <w:tcPr>
            <w:tcW w:w="1050" w:type="dxa"/>
            <w:gridSpan w:val="2"/>
            <w:tcBorders>
              <w:top w:val="nil"/>
              <w:left w:val="nil"/>
              <w:bottom w:val="nil"/>
              <w:right w:val="nil"/>
            </w:tcBorders>
            <w:shd w:val="clear" w:color="auto" w:fill="auto"/>
            <w:noWrap/>
            <w:vAlign w:val="bottom"/>
            <w:hideMark/>
          </w:tcPr>
          <w:p w14:paraId="25174D3C" w14:textId="77777777" w:rsidR="00711AA3" w:rsidRPr="00D53CB9" w:rsidRDefault="00711AA3" w:rsidP="00711AA3">
            <w:pPr>
              <w:spacing w:after="200" w:line="276" w:lineRule="auto"/>
              <w:rPr>
                <w:sz w:val="16"/>
                <w:szCs w:val="16"/>
              </w:rPr>
            </w:pPr>
            <w:r w:rsidRPr="00D53CB9">
              <w:rPr>
                <w:sz w:val="16"/>
                <w:szCs w:val="16"/>
              </w:rPr>
              <w:t>0,4472</w:t>
            </w:r>
          </w:p>
        </w:tc>
        <w:tc>
          <w:tcPr>
            <w:tcW w:w="696" w:type="dxa"/>
            <w:gridSpan w:val="2"/>
            <w:tcBorders>
              <w:top w:val="nil"/>
              <w:left w:val="nil"/>
              <w:bottom w:val="nil"/>
              <w:right w:val="nil"/>
            </w:tcBorders>
            <w:shd w:val="clear" w:color="auto" w:fill="auto"/>
            <w:noWrap/>
            <w:vAlign w:val="bottom"/>
            <w:hideMark/>
          </w:tcPr>
          <w:p w14:paraId="09FAB058" w14:textId="77777777" w:rsidR="00711AA3" w:rsidRPr="00D53CB9" w:rsidRDefault="00711AA3" w:rsidP="00711AA3">
            <w:pPr>
              <w:spacing w:after="200" w:line="276" w:lineRule="auto"/>
              <w:rPr>
                <w:sz w:val="16"/>
                <w:szCs w:val="16"/>
              </w:rPr>
            </w:pPr>
            <w:r w:rsidRPr="00D53CB9">
              <w:rPr>
                <w:sz w:val="16"/>
                <w:szCs w:val="16"/>
              </w:rPr>
              <w:t>0,1448</w:t>
            </w:r>
          </w:p>
        </w:tc>
        <w:tc>
          <w:tcPr>
            <w:tcW w:w="619" w:type="dxa"/>
            <w:tcBorders>
              <w:top w:val="nil"/>
              <w:left w:val="nil"/>
              <w:bottom w:val="nil"/>
              <w:right w:val="nil"/>
            </w:tcBorders>
            <w:shd w:val="clear" w:color="auto" w:fill="auto"/>
            <w:noWrap/>
            <w:vAlign w:val="bottom"/>
            <w:hideMark/>
          </w:tcPr>
          <w:p w14:paraId="714BE6A0" w14:textId="77777777" w:rsidR="00711AA3" w:rsidRPr="00D53CB9" w:rsidRDefault="00711AA3" w:rsidP="00711AA3">
            <w:pPr>
              <w:spacing w:after="200" w:line="276" w:lineRule="auto"/>
              <w:rPr>
                <w:sz w:val="16"/>
                <w:szCs w:val="16"/>
              </w:rPr>
            </w:pPr>
            <w:r w:rsidRPr="00D53CB9">
              <w:rPr>
                <w:sz w:val="16"/>
                <w:szCs w:val="16"/>
              </w:rPr>
              <w:t>0,1411</w:t>
            </w:r>
          </w:p>
        </w:tc>
        <w:tc>
          <w:tcPr>
            <w:tcW w:w="628" w:type="dxa"/>
            <w:gridSpan w:val="2"/>
            <w:tcBorders>
              <w:top w:val="nil"/>
              <w:left w:val="nil"/>
              <w:bottom w:val="nil"/>
              <w:right w:val="nil"/>
            </w:tcBorders>
            <w:shd w:val="clear" w:color="auto" w:fill="auto"/>
            <w:noWrap/>
            <w:vAlign w:val="bottom"/>
            <w:hideMark/>
          </w:tcPr>
          <w:p w14:paraId="07DB6CFB" w14:textId="77777777" w:rsidR="00711AA3" w:rsidRPr="00D53CB9" w:rsidRDefault="00711AA3" w:rsidP="00711AA3">
            <w:pPr>
              <w:spacing w:after="200" w:line="276" w:lineRule="auto"/>
              <w:rPr>
                <w:sz w:val="16"/>
                <w:szCs w:val="16"/>
              </w:rPr>
            </w:pPr>
            <w:r w:rsidRPr="00D53CB9">
              <w:rPr>
                <w:sz w:val="16"/>
                <w:szCs w:val="16"/>
              </w:rPr>
              <w:t>0,1269</w:t>
            </w:r>
          </w:p>
        </w:tc>
        <w:tc>
          <w:tcPr>
            <w:tcW w:w="713" w:type="dxa"/>
            <w:gridSpan w:val="2"/>
            <w:tcBorders>
              <w:top w:val="nil"/>
              <w:left w:val="nil"/>
              <w:bottom w:val="nil"/>
              <w:right w:val="nil"/>
            </w:tcBorders>
            <w:shd w:val="clear" w:color="auto" w:fill="auto"/>
            <w:noWrap/>
            <w:vAlign w:val="bottom"/>
            <w:hideMark/>
          </w:tcPr>
          <w:p w14:paraId="07F09F8C" w14:textId="77777777" w:rsidR="00711AA3" w:rsidRPr="00D53CB9" w:rsidRDefault="00711AA3" w:rsidP="00711AA3">
            <w:pPr>
              <w:spacing w:after="200" w:line="276" w:lineRule="auto"/>
              <w:rPr>
                <w:sz w:val="16"/>
                <w:szCs w:val="16"/>
              </w:rPr>
            </w:pPr>
            <w:r w:rsidRPr="00D53CB9">
              <w:rPr>
                <w:sz w:val="16"/>
                <w:szCs w:val="16"/>
              </w:rPr>
              <w:t>0,1566</w:t>
            </w:r>
          </w:p>
        </w:tc>
        <w:tc>
          <w:tcPr>
            <w:tcW w:w="841" w:type="dxa"/>
            <w:gridSpan w:val="2"/>
            <w:tcBorders>
              <w:top w:val="nil"/>
              <w:left w:val="nil"/>
              <w:bottom w:val="nil"/>
              <w:right w:val="nil"/>
            </w:tcBorders>
            <w:shd w:val="clear" w:color="auto" w:fill="auto"/>
            <w:noWrap/>
            <w:vAlign w:val="bottom"/>
            <w:hideMark/>
          </w:tcPr>
          <w:p w14:paraId="3525607A" w14:textId="77777777" w:rsidR="00711AA3" w:rsidRPr="00D53CB9" w:rsidRDefault="00711AA3" w:rsidP="00711AA3">
            <w:pPr>
              <w:spacing w:after="200" w:line="276" w:lineRule="auto"/>
              <w:rPr>
                <w:sz w:val="16"/>
                <w:szCs w:val="16"/>
              </w:rPr>
            </w:pPr>
            <w:r w:rsidRPr="00D53CB9">
              <w:rPr>
                <w:sz w:val="16"/>
                <w:szCs w:val="16"/>
              </w:rPr>
              <w:t>0,4969</w:t>
            </w:r>
          </w:p>
        </w:tc>
        <w:tc>
          <w:tcPr>
            <w:tcW w:w="967" w:type="dxa"/>
            <w:gridSpan w:val="2"/>
            <w:tcBorders>
              <w:top w:val="nil"/>
              <w:left w:val="nil"/>
              <w:bottom w:val="nil"/>
              <w:right w:val="nil"/>
            </w:tcBorders>
            <w:shd w:val="clear" w:color="auto" w:fill="auto"/>
            <w:noWrap/>
            <w:vAlign w:val="bottom"/>
            <w:hideMark/>
          </w:tcPr>
          <w:p w14:paraId="75F2FF02" w14:textId="77777777" w:rsidR="00711AA3" w:rsidRPr="00D53CB9" w:rsidRDefault="00711AA3" w:rsidP="00711AA3">
            <w:pPr>
              <w:spacing w:after="200" w:line="276" w:lineRule="auto"/>
              <w:rPr>
                <w:sz w:val="16"/>
                <w:szCs w:val="16"/>
              </w:rPr>
            </w:pPr>
            <w:r w:rsidRPr="00D53CB9">
              <w:rPr>
                <w:sz w:val="16"/>
                <w:szCs w:val="16"/>
              </w:rPr>
              <w:t>0,4904</w:t>
            </w:r>
          </w:p>
        </w:tc>
        <w:tc>
          <w:tcPr>
            <w:tcW w:w="916" w:type="dxa"/>
            <w:tcBorders>
              <w:top w:val="nil"/>
              <w:left w:val="nil"/>
              <w:bottom w:val="nil"/>
              <w:right w:val="nil"/>
            </w:tcBorders>
            <w:shd w:val="clear" w:color="auto" w:fill="auto"/>
            <w:noWrap/>
            <w:vAlign w:val="bottom"/>
            <w:hideMark/>
          </w:tcPr>
          <w:p w14:paraId="062DF600" w14:textId="77777777" w:rsidR="00711AA3" w:rsidRPr="00D53CB9" w:rsidRDefault="00711AA3" w:rsidP="00711AA3">
            <w:pPr>
              <w:spacing w:after="200" w:line="276" w:lineRule="auto"/>
              <w:rPr>
                <w:sz w:val="16"/>
                <w:szCs w:val="16"/>
              </w:rPr>
            </w:pPr>
            <w:r w:rsidRPr="00D53CB9">
              <w:rPr>
                <w:sz w:val="16"/>
                <w:szCs w:val="16"/>
              </w:rPr>
              <w:t>0,4993</w:t>
            </w:r>
          </w:p>
        </w:tc>
        <w:tc>
          <w:tcPr>
            <w:tcW w:w="691" w:type="dxa"/>
            <w:vAlign w:val="bottom"/>
          </w:tcPr>
          <w:p w14:paraId="2C4324A9" w14:textId="77777777" w:rsidR="00711AA3" w:rsidRPr="00D53CB9" w:rsidRDefault="00711AA3" w:rsidP="00711AA3">
            <w:pPr>
              <w:spacing w:after="200" w:line="276" w:lineRule="auto"/>
              <w:rPr>
                <w:sz w:val="16"/>
                <w:szCs w:val="16"/>
              </w:rPr>
            </w:pPr>
            <w:r w:rsidRPr="00D53CB9">
              <w:rPr>
                <w:sz w:val="16"/>
                <w:szCs w:val="16"/>
              </w:rPr>
              <w:t>0,3142</w:t>
            </w:r>
          </w:p>
        </w:tc>
      </w:tr>
      <w:tr w:rsidR="00711AA3" w:rsidRPr="00D53CB9" w14:paraId="20C4A42B" w14:textId="77777777" w:rsidTr="00AC0A94">
        <w:trPr>
          <w:gridAfter w:val="1"/>
          <w:wAfter w:w="127" w:type="dxa"/>
          <w:trHeight w:val="56"/>
        </w:trPr>
        <w:tc>
          <w:tcPr>
            <w:tcW w:w="1769" w:type="dxa"/>
            <w:tcBorders>
              <w:top w:val="nil"/>
              <w:left w:val="nil"/>
              <w:bottom w:val="single" w:sz="4" w:space="0" w:color="auto"/>
              <w:right w:val="single" w:sz="4" w:space="0" w:color="auto"/>
            </w:tcBorders>
            <w:shd w:val="clear" w:color="auto" w:fill="auto"/>
            <w:noWrap/>
            <w:vAlign w:val="bottom"/>
            <w:hideMark/>
          </w:tcPr>
          <w:p w14:paraId="4CD43BAC" w14:textId="77777777" w:rsidR="00711AA3" w:rsidRPr="00D53CB9" w:rsidRDefault="00711AA3" w:rsidP="00711AA3">
            <w:pPr>
              <w:spacing w:after="200" w:line="276" w:lineRule="auto"/>
              <w:rPr>
                <w:sz w:val="16"/>
                <w:szCs w:val="16"/>
              </w:rPr>
            </w:pPr>
            <w:r w:rsidRPr="00D53CB9">
              <w:rPr>
                <w:sz w:val="16"/>
                <w:szCs w:val="16"/>
              </w:rPr>
              <w:t>discount rate</w:t>
            </w:r>
          </w:p>
        </w:tc>
        <w:tc>
          <w:tcPr>
            <w:tcW w:w="1050" w:type="dxa"/>
            <w:gridSpan w:val="2"/>
            <w:tcBorders>
              <w:top w:val="nil"/>
              <w:left w:val="nil"/>
              <w:bottom w:val="single" w:sz="4" w:space="0" w:color="auto"/>
              <w:right w:val="nil"/>
            </w:tcBorders>
            <w:shd w:val="clear" w:color="auto" w:fill="auto"/>
            <w:noWrap/>
            <w:vAlign w:val="bottom"/>
            <w:hideMark/>
          </w:tcPr>
          <w:p w14:paraId="050216E5" w14:textId="77777777" w:rsidR="00711AA3" w:rsidRPr="00D53CB9" w:rsidRDefault="00711AA3" w:rsidP="00711AA3">
            <w:pPr>
              <w:spacing w:after="200" w:line="276" w:lineRule="auto"/>
              <w:rPr>
                <w:sz w:val="16"/>
                <w:szCs w:val="16"/>
              </w:rPr>
            </w:pPr>
            <w:r w:rsidRPr="00D53CB9">
              <w:rPr>
                <w:sz w:val="16"/>
                <w:szCs w:val="16"/>
              </w:rPr>
              <w:t>4,6667</w:t>
            </w:r>
          </w:p>
        </w:tc>
        <w:tc>
          <w:tcPr>
            <w:tcW w:w="696" w:type="dxa"/>
            <w:gridSpan w:val="2"/>
            <w:tcBorders>
              <w:top w:val="nil"/>
              <w:left w:val="nil"/>
              <w:bottom w:val="single" w:sz="4" w:space="0" w:color="auto"/>
              <w:right w:val="nil"/>
            </w:tcBorders>
            <w:shd w:val="clear" w:color="auto" w:fill="auto"/>
            <w:noWrap/>
            <w:vAlign w:val="bottom"/>
            <w:hideMark/>
          </w:tcPr>
          <w:p w14:paraId="3C3507C3" w14:textId="77777777" w:rsidR="00711AA3" w:rsidRPr="00D53CB9" w:rsidRDefault="00711AA3" w:rsidP="00711AA3">
            <w:pPr>
              <w:spacing w:after="200" w:line="276" w:lineRule="auto"/>
              <w:rPr>
                <w:sz w:val="16"/>
                <w:szCs w:val="16"/>
              </w:rPr>
            </w:pPr>
            <w:r w:rsidRPr="00D53CB9">
              <w:rPr>
                <w:sz w:val="16"/>
                <w:szCs w:val="16"/>
              </w:rPr>
              <w:t>5,0109</w:t>
            </w:r>
          </w:p>
        </w:tc>
        <w:tc>
          <w:tcPr>
            <w:tcW w:w="619" w:type="dxa"/>
            <w:tcBorders>
              <w:top w:val="nil"/>
              <w:left w:val="nil"/>
              <w:bottom w:val="single" w:sz="4" w:space="0" w:color="auto"/>
              <w:right w:val="nil"/>
            </w:tcBorders>
            <w:shd w:val="clear" w:color="auto" w:fill="auto"/>
            <w:noWrap/>
            <w:vAlign w:val="bottom"/>
            <w:hideMark/>
          </w:tcPr>
          <w:p w14:paraId="5977A2FF" w14:textId="77777777" w:rsidR="00711AA3" w:rsidRPr="00D53CB9" w:rsidRDefault="00711AA3" w:rsidP="00711AA3">
            <w:pPr>
              <w:spacing w:after="200" w:line="276" w:lineRule="auto"/>
              <w:rPr>
                <w:sz w:val="16"/>
                <w:szCs w:val="16"/>
              </w:rPr>
            </w:pPr>
            <w:r w:rsidRPr="00D53CB9">
              <w:rPr>
                <w:sz w:val="16"/>
                <w:szCs w:val="16"/>
              </w:rPr>
              <w:t>4,596</w:t>
            </w:r>
          </w:p>
        </w:tc>
        <w:tc>
          <w:tcPr>
            <w:tcW w:w="628" w:type="dxa"/>
            <w:gridSpan w:val="2"/>
            <w:tcBorders>
              <w:top w:val="nil"/>
              <w:left w:val="nil"/>
              <w:bottom w:val="single" w:sz="4" w:space="0" w:color="auto"/>
              <w:right w:val="nil"/>
            </w:tcBorders>
            <w:shd w:val="clear" w:color="auto" w:fill="auto"/>
            <w:noWrap/>
            <w:vAlign w:val="bottom"/>
            <w:hideMark/>
          </w:tcPr>
          <w:p w14:paraId="5DB504B3" w14:textId="77777777" w:rsidR="00711AA3" w:rsidRPr="00D53CB9" w:rsidRDefault="00711AA3" w:rsidP="00711AA3">
            <w:pPr>
              <w:spacing w:after="200" w:line="276" w:lineRule="auto"/>
              <w:rPr>
                <w:sz w:val="16"/>
                <w:szCs w:val="16"/>
              </w:rPr>
            </w:pPr>
            <w:r w:rsidRPr="00D53CB9">
              <w:rPr>
                <w:sz w:val="16"/>
                <w:szCs w:val="16"/>
              </w:rPr>
              <w:t>4,7604</w:t>
            </w:r>
          </w:p>
        </w:tc>
        <w:tc>
          <w:tcPr>
            <w:tcW w:w="713" w:type="dxa"/>
            <w:gridSpan w:val="2"/>
            <w:tcBorders>
              <w:top w:val="nil"/>
              <w:left w:val="nil"/>
              <w:bottom w:val="single" w:sz="4" w:space="0" w:color="auto"/>
              <w:right w:val="nil"/>
            </w:tcBorders>
            <w:shd w:val="clear" w:color="auto" w:fill="auto"/>
            <w:noWrap/>
            <w:vAlign w:val="bottom"/>
            <w:hideMark/>
          </w:tcPr>
          <w:p w14:paraId="04822EBB" w14:textId="77777777" w:rsidR="00711AA3" w:rsidRPr="00D53CB9" w:rsidRDefault="00711AA3" w:rsidP="00711AA3">
            <w:pPr>
              <w:spacing w:after="200" w:line="276" w:lineRule="auto"/>
              <w:rPr>
                <w:sz w:val="16"/>
                <w:szCs w:val="16"/>
              </w:rPr>
            </w:pPr>
            <w:r w:rsidRPr="00D53CB9">
              <w:rPr>
                <w:sz w:val="16"/>
                <w:szCs w:val="16"/>
              </w:rPr>
              <w:t>4,4167</w:t>
            </w:r>
          </w:p>
        </w:tc>
        <w:tc>
          <w:tcPr>
            <w:tcW w:w="841" w:type="dxa"/>
            <w:gridSpan w:val="2"/>
            <w:tcBorders>
              <w:top w:val="nil"/>
              <w:left w:val="nil"/>
              <w:bottom w:val="single" w:sz="4" w:space="0" w:color="auto"/>
              <w:right w:val="nil"/>
            </w:tcBorders>
            <w:shd w:val="clear" w:color="auto" w:fill="auto"/>
            <w:noWrap/>
            <w:vAlign w:val="bottom"/>
            <w:hideMark/>
          </w:tcPr>
          <w:p w14:paraId="11477E66" w14:textId="77777777" w:rsidR="00711AA3" w:rsidRPr="00D53CB9" w:rsidRDefault="00711AA3" w:rsidP="00711AA3">
            <w:pPr>
              <w:spacing w:after="200" w:line="276" w:lineRule="auto"/>
              <w:rPr>
                <w:sz w:val="16"/>
                <w:szCs w:val="16"/>
              </w:rPr>
            </w:pPr>
            <w:r w:rsidRPr="00D53CB9">
              <w:rPr>
                <w:sz w:val="16"/>
                <w:szCs w:val="16"/>
              </w:rPr>
              <w:t>5,163</w:t>
            </w:r>
          </w:p>
        </w:tc>
        <w:tc>
          <w:tcPr>
            <w:tcW w:w="967" w:type="dxa"/>
            <w:gridSpan w:val="2"/>
            <w:tcBorders>
              <w:top w:val="nil"/>
              <w:left w:val="nil"/>
              <w:bottom w:val="single" w:sz="4" w:space="0" w:color="auto"/>
              <w:right w:val="nil"/>
            </w:tcBorders>
            <w:shd w:val="clear" w:color="auto" w:fill="auto"/>
            <w:noWrap/>
            <w:vAlign w:val="bottom"/>
            <w:hideMark/>
          </w:tcPr>
          <w:p w14:paraId="7EC8C6F3" w14:textId="77777777" w:rsidR="00711AA3" w:rsidRPr="00D53CB9" w:rsidRDefault="00711AA3" w:rsidP="00711AA3">
            <w:pPr>
              <w:spacing w:after="200" w:line="276" w:lineRule="auto"/>
              <w:rPr>
                <w:sz w:val="16"/>
                <w:szCs w:val="16"/>
              </w:rPr>
            </w:pPr>
            <w:r w:rsidRPr="00D53CB9">
              <w:rPr>
                <w:sz w:val="16"/>
                <w:szCs w:val="16"/>
              </w:rPr>
              <w:t>4,6042</w:t>
            </w:r>
          </w:p>
        </w:tc>
        <w:tc>
          <w:tcPr>
            <w:tcW w:w="916" w:type="dxa"/>
            <w:tcBorders>
              <w:top w:val="nil"/>
              <w:left w:val="nil"/>
              <w:bottom w:val="single" w:sz="4" w:space="0" w:color="auto"/>
              <w:right w:val="nil"/>
            </w:tcBorders>
            <w:shd w:val="clear" w:color="auto" w:fill="auto"/>
            <w:noWrap/>
            <w:vAlign w:val="bottom"/>
            <w:hideMark/>
          </w:tcPr>
          <w:p w14:paraId="77854572" w14:textId="77777777" w:rsidR="00711AA3" w:rsidRPr="00D53CB9" w:rsidRDefault="00711AA3" w:rsidP="00711AA3">
            <w:pPr>
              <w:spacing w:after="200" w:line="276" w:lineRule="auto"/>
              <w:rPr>
                <w:sz w:val="16"/>
                <w:szCs w:val="16"/>
              </w:rPr>
            </w:pPr>
            <w:r w:rsidRPr="00D53CB9">
              <w:rPr>
                <w:sz w:val="16"/>
                <w:szCs w:val="16"/>
              </w:rPr>
              <w:t>5,3603</w:t>
            </w:r>
          </w:p>
        </w:tc>
        <w:tc>
          <w:tcPr>
            <w:tcW w:w="691" w:type="dxa"/>
            <w:vAlign w:val="bottom"/>
          </w:tcPr>
          <w:p w14:paraId="4EC61947" w14:textId="77777777" w:rsidR="00711AA3" w:rsidRPr="00D53CB9" w:rsidRDefault="00711AA3" w:rsidP="00711AA3">
            <w:pPr>
              <w:spacing w:after="200" w:line="276" w:lineRule="auto"/>
              <w:rPr>
                <w:sz w:val="16"/>
                <w:szCs w:val="16"/>
              </w:rPr>
            </w:pPr>
            <w:r w:rsidRPr="00D53CB9">
              <w:rPr>
                <w:sz w:val="16"/>
                <w:szCs w:val="16"/>
              </w:rPr>
              <w:t>5,5095</w:t>
            </w:r>
          </w:p>
        </w:tc>
      </w:tr>
    </w:tbl>
    <w:p w14:paraId="0DA8127D" w14:textId="6C738147" w:rsidR="00711AA3" w:rsidRPr="00D53CB9" w:rsidRDefault="00711AA3" w:rsidP="00711AA3">
      <w:pPr>
        <w:spacing w:after="200" w:line="276" w:lineRule="auto"/>
        <w:rPr>
          <w:b/>
          <w:sz w:val="16"/>
          <w:szCs w:val="16"/>
        </w:rPr>
      </w:pPr>
    </w:p>
    <w:tbl>
      <w:tblPr>
        <w:tblW w:w="8891" w:type="dxa"/>
        <w:tblCellMar>
          <w:left w:w="70" w:type="dxa"/>
          <w:right w:w="70" w:type="dxa"/>
        </w:tblCellMar>
        <w:tblLook w:val="04A0" w:firstRow="1" w:lastRow="0" w:firstColumn="1" w:lastColumn="0" w:noHBand="0" w:noVBand="1"/>
      </w:tblPr>
      <w:tblGrid>
        <w:gridCol w:w="1758"/>
        <w:gridCol w:w="1019"/>
        <w:gridCol w:w="1019"/>
        <w:gridCol w:w="1019"/>
        <w:gridCol w:w="1019"/>
        <w:gridCol w:w="1019"/>
        <w:gridCol w:w="1019"/>
        <w:gridCol w:w="1019"/>
      </w:tblGrid>
      <w:tr w:rsidR="00711AA3" w:rsidRPr="00D53CB9" w14:paraId="6CC6BF01" w14:textId="77777777" w:rsidTr="00AC0A94">
        <w:trPr>
          <w:trHeight w:val="234"/>
        </w:trPr>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03D9F837" w14:textId="77777777" w:rsidR="00711AA3" w:rsidRPr="00D53CB9" w:rsidRDefault="00711AA3" w:rsidP="00711AA3">
            <w:pPr>
              <w:spacing w:after="200" w:line="276" w:lineRule="auto"/>
              <w:rPr>
                <w:sz w:val="16"/>
                <w:szCs w:val="16"/>
              </w:rPr>
            </w:pPr>
            <w:r w:rsidRPr="00D53CB9">
              <w:rPr>
                <w:sz w:val="16"/>
                <w:szCs w:val="16"/>
              </w:rPr>
              <w:t> </w:t>
            </w:r>
          </w:p>
        </w:tc>
        <w:tc>
          <w:tcPr>
            <w:tcW w:w="1019" w:type="dxa"/>
            <w:tcBorders>
              <w:top w:val="single" w:sz="4" w:space="0" w:color="auto"/>
              <w:left w:val="nil"/>
              <w:bottom w:val="single" w:sz="4" w:space="0" w:color="auto"/>
              <w:right w:val="nil"/>
            </w:tcBorders>
            <w:shd w:val="clear" w:color="auto" w:fill="auto"/>
            <w:noWrap/>
            <w:vAlign w:val="bottom"/>
            <w:hideMark/>
          </w:tcPr>
          <w:p w14:paraId="5C140F4D" w14:textId="77777777" w:rsidR="00711AA3" w:rsidRPr="00D53CB9" w:rsidRDefault="00711AA3" w:rsidP="00711AA3">
            <w:pPr>
              <w:spacing w:after="200" w:line="276" w:lineRule="auto"/>
              <w:rPr>
                <w:sz w:val="16"/>
                <w:szCs w:val="16"/>
              </w:rPr>
            </w:pPr>
            <w:r w:rsidRPr="00D53CB9">
              <w:rPr>
                <w:sz w:val="16"/>
                <w:szCs w:val="16"/>
              </w:rPr>
              <w:t>Greece</w:t>
            </w:r>
          </w:p>
        </w:tc>
        <w:tc>
          <w:tcPr>
            <w:tcW w:w="1019" w:type="dxa"/>
            <w:tcBorders>
              <w:top w:val="single" w:sz="4" w:space="0" w:color="auto"/>
              <w:left w:val="nil"/>
              <w:bottom w:val="single" w:sz="4" w:space="0" w:color="auto"/>
              <w:right w:val="nil"/>
            </w:tcBorders>
            <w:shd w:val="clear" w:color="auto" w:fill="auto"/>
            <w:noWrap/>
            <w:vAlign w:val="bottom"/>
            <w:hideMark/>
          </w:tcPr>
          <w:p w14:paraId="089BD518" w14:textId="77777777" w:rsidR="00711AA3" w:rsidRPr="00D53CB9" w:rsidRDefault="00711AA3" w:rsidP="00711AA3">
            <w:pPr>
              <w:spacing w:after="200" w:line="276" w:lineRule="auto"/>
              <w:rPr>
                <w:sz w:val="16"/>
                <w:szCs w:val="16"/>
              </w:rPr>
            </w:pPr>
            <w:r w:rsidRPr="00D53CB9">
              <w:rPr>
                <w:sz w:val="16"/>
                <w:szCs w:val="16"/>
              </w:rPr>
              <w:t>Spain</w:t>
            </w:r>
          </w:p>
        </w:tc>
        <w:tc>
          <w:tcPr>
            <w:tcW w:w="1019" w:type="dxa"/>
            <w:tcBorders>
              <w:top w:val="single" w:sz="4" w:space="0" w:color="auto"/>
              <w:left w:val="nil"/>
              <w:bottom w:val="single" w:sz="4" w:space="0" w:color="auto"/>
              <w:right w:val="nil"/>
            </w:tcBorders>
            <w:shd w:val="clear" w:color="auto" w:fill="auto"/>
            <w:noWrap/>
            <w:vAlign w:val="bottom"/>
            <w:hideMark/>
          </w:tcPr>
          <w:p w14:paraId="5D4A9E35" w14:textId="77777777" w:rsidR="00711AA3" w:rsidRPr="00D53CB9" w:rsidRDefault="00711AA3" w:rsidP="00711AA3">
            <w:pPr>
              <w:spacing w:after="200" w:line="276" w:lineRule="auto"/>
              <w:rPr>
                <w:sz w:val="16"/>
                <w:szCs w:val="16"/>
              </w:rPr>
            </w:pPr>
            <w:r w:rsidRPr="00D53CB9">
              <w:rPr>
                <w:sz w:val="16"/>
                <w:szCs w:val="16"/>
              </w:rPr>
              <w:t>Bulgaria</w:t>
            </w:r>
          </w:p>
        </w:tc>
        <w:tc>
          <w:tcPr>
            <w:tcW w:w="1019" w:type="dxa"/>
            <w:tcBorders>
              <w:top w:val="single" w:sz="4" w:space="0" w:color="auto"/>
              <w:left w:val="nil"/>
              <w:bottom w:val="single" w:sz="4" w:space="0" w:color="auto"/>
              <w:right w:val="nil"/>
            </w:tcBorders>
            <w:shd w:val="clear" w:color="auto" w:fill="auto"/>
            <w:noWrap/>
            <w:vAlign w:val="bottom"/>
            <w:hideMark/>
          </w:tcPr>
          <w:p w14:paraId="12A442B4" w14:textId="77777777" w:rsidR="00711AA3" w:rsidRPr="00D53CB9" w:rsidRDefault="00711AA3" w:rsidP="00711AA3">
            <w:pPr>
              <w:spacing w:after="200" w:line="276" w:lineRule="auto"/>
              <w:rPr>
                <w:sz w:val="16"/>
                <w:szCs w:val="16"/>
              </w:rPr>
            </w:pPr>
            <w:r w:rsidRPr="00D53CB9">
              <w:rPr>
                <w:sz w:val="16"/>
                <w:szCs w:val="16"/>
              </w:rPr>
              <w:t>Portugal</w:t>
            </w:r>
          </w:p>
        </w:tc>
        <w:tc>
          <w:tcPr>
            <w:tcW w:w="1019" w:type="dxa"/>
            <w:tcBorders>
              <w:top w:val="single" w:sz="4" w:space="0" w:color="auto"/>
              <w:left w:val="nil"/>
              <w:bottom w:val="single" w:sz="4" w:space="0" w:color="auto"/>
              <w:right w:val="nil"/>
            </w:tcBorders>
            <w:shd w:val="clear" w:color="auto" w:fill="auto"/>
            <w:noWrap/>
            <w:vAlign w:val="bottom"/>
            <w:hideMark/>
          </w:tcPr>
          <w:p w14:paraId="429FB900" w14:textId="77777777" w:rsidR="00711AA3" w:rsidRPr="00D53CB9" w:rsidRDefault="00711AA3" w:rsidP="00711AA3">
            <w:pPr>
              <w:spacing w:after="200" w:line="276" w:lineRule="auto"/>
              <w:rPr>
                <w:sz w:val="16"/>
                <w:szCs w:val="16"/>
              </w:rPr>
            </w:pPr>
            <w:r w:rsidRPr="00D53CB9">
              <w:rPr>
                <w:sz w:val="16"/>
                <w:szCs w:val="16"/>
              </w:rPr>
              <w:t>Serbia</w:t>
            </w:r>
          </w:p>
        </w:tc>
        <w:tc>
          <w:tcPr>
            <w:tcW w:w="1019" w:type="dxa"/>
            <w:tcBorders>
              <w:top w:val="single" w:sz="4" w:space="0" w:color="auto"/>
              <w:left w:val="nil"/>
              <w:bottom w:val="single" w:sz="4" w:space="0" w:color="auto"/>
              <w:right w:val="nil"/>
            </w:tcBorders>
            <w:shd w:val="clear" w:color="auto" w:fill="auto"/>
            <w:noWrap/>
            <w:vAlign w:val="bottom"/>
            <w:hideMark/>
          </w:tcPr>
          <w:p w14:paraId="04890507" w14:textId="77777777" w:rsidR="00711AA3" w:rsidRPr="00D53CB9" w:rsidRDefault="00711AA3" w:rsidP="00711AA3">
            <w:pPr>
              <w:spacing w:after="200" w:line="276" w:lineRule="auto"/>
              <w:rPr>
                <w:sz w:val="16"/>
                <w:szCs w:val="16"/>
              </w:rPr>
            </w:pPr>
            <w:r w:rsidRPr="00D53CB9">
              <w:rPr>
                <w:sz w:val="16"/>
                <w:szCs w:val="16"/>
              </w:rPr>
              <w:t>Japan</w:t>
            </w:r>
          </w:p>
        </w:tc>
        <w:tc>
          <w:tcPr>
            <w:tcW w:w="1019" w:type="dxa"/>
            <w:tcBorders>
              <w:top w:val="single" w:sz="4" w:space="0" w:color="auto"/>
              <w:left w:val="nil"/>
              <w:bottom w:val="single" w:sz="4" w:space="0" w:color="auto"/>
              <w:right w:val="nil"/>
            </w:tcBorders>
            <w:shd w:val="clear" w:color="auto" w:fill="auto"/>
            <w:noWrap/>
            <w:vAlign w:val="bottom"/>
            <w:hideMark/>
          </w:tcPr>
          <w:p w14:paraId="179290B9" w14:textId="77777777" w:rsidR="00711AA3" w:rsidRPr="00D53CB9" w:rsidRDefault="00711AA3" w:rsidP="00711AA3">
            <w:pPr>
              <w:spacing w:after="200" w:line="276" w:lineRule="auto"/>
              <w:rPr>
                <w:sz w:val="16"/>
                <w:szCs w:val="16"/>
              </w:rPr>
            </w:pPr>
            <w:r w:rsidRPr="00D53CB9">
              <w:rPr>
                <w:sz w:val="16"/>
                <w:szCs w:val="16"/>
              </w:rPr>
              <w:t>Finland</w:t>
            </w:r>
          </w:p>
        </w:tc>
      </w:tr>
      <w:tr w:rsidR="00711AA3" w:rsidRPr="00D53CB9" w14:paraId="6817CE29" w14:textId="77777777" w:rsidTr="00AC0A94">
        <w:trPr>
          <w:trHeight w:val="234"/>
        </w:trPr>
        <w:tc>
          <w:tcPr>
            <w:tcW w:w="1758" w:type="dxa"/>
            <w:tcBorders>
              <w:top w:val="nil"/>
              <w:left w:val="nil"/>
              <w:bottom w:val="nil"/>
              <w:right w:val="single" w:sz="4" w:space="0" w:color="auto"/>
            </w:tcBorders>
            <w:shd w:val="clear" w:color="auto" w:fill="auto"/>
            <w:noWrap/>
            <w:vAlign w:val="bottom"/>
            <w:hideMark/>
          </w:tcPr>
          <w:p w14:paraId="1F9A733D" w14:textId="77777777" w:rsidR="00711AA3" w:rsidRPr="00D53CB9" w:rsidRDefault="00711AA3" w:rsidP="00711AA3">
            <w:pPr>
              <w:spacing w:after="200" w:line="276" w:lineRule="auto"/>
              <w:rPr>
                <w:sz w:val="16"/>
                <w:szCs w:val="16"/>
              </w:rPr>
            </w:pPr>
            <w:r w:rsidRPr="00D53CB9">
              <w:rPr>
                <w:sz w:val="16"/>
                <w:szCs w:val="16"/>
              </w:rPr>
              <w:t>Share metalic reserves</w:t>
            </w:r>
          </w:p>
        </w:tc>
        <w:tc>
          <w:tcPr>
            <w:tcW w:w="1019" w:type="dxa"/>
            <w:tcBorders>
              <w:top w:val="nil"/>
              <w:left w:val="nil"/>
              <w:bottom w:val="nil"/>
              <w:right w:val="nil"/>
            </w:tcBorders>
            <w:shd w:val="clear" w:color="auto" w:fill="auto"/>
            <w:noWrap/>
            <w:vAlign w:val="bottom"/>
            <w:hideMark/>
          </w:tcPr>
          <w:p w14:paraId="0343B7F7" w14:textId="77777777" w:rsidR="00711AA3" w:rsidRPr="00D53CB9" w:rsidRDefault="00711AA3" w:rsidP="00711AA3">
            <w:pPr>
              <w:spacing w:after="200" w:line="276" w:lineRule="auto"/>
              <w:rPr>
                <w:sz w:val="16"/>
                <w:szCs w:val="16"/>
              </w:rPr>
            </w:pPr>
            <w:r w:rsidRPr="00D53CB9">
              <w:rPr>
                <w:sz w:val="16"/>
                <w:szCs w:val="16"/>
              </w:rPr>
              <w:t>0,1553</w:t>
            </w:r>
          </w:p>
        </w:tc>
        <w:tc>
          <w:tcPr>
            <w:tcW w:w="1019" w:type="dxa"/>
            <w:tcBorders>
              <w:top w:val="nil"/>
              <w:left w:val="nil"/>
              <w:bottom w:val="nil"/>
              <w:right w:val="nil"/>
            </w:tcBorders>
            <w:shd w:val="clear" w:color="auto" w:fill="auto"/>
            <w:noWrap/>
            <w:vAlign w:val="bottom"/>
            <w:hideMark/>
          </w:tcPr>
          <w:p w14:paraId="57F5392C" w14:textId="77777777" w:rsidR="00711AA3" w:rsidRPr="00D53CB9" w:rsidRDefault="00711AA3" w:rsidP="00711AA3">
            <w:pPr>
              <w:spacing w:after="200" w:line="276" w:lineRule="auto"/>
              <w:rPr>
                <w:sz w:val="16"/>
                <w:szCs w:val="16"/>
              </w:rPr>
            </w:pPr>
            <w:r w:rsidRPr="00D53CB9">
              <w:rPr>
                <w:sz w:val="16"/>
                <w:szCs w:val="16"/>
              </w:rPr>
              <w:t>0,9162</w:t>
            </w:r>
          </w:p>
        </w:tc>
        <w:tc>
          <w:tcPr>
            <w:tcW w:w="1019" w:type="dxa"/>
            <w:tcBorders>
              <w:top w:val="nil"/>
              <w:left w:val="nil"/>
              <w:bottom w:val="nil"/>
              <w:right w:val="nil"/>
            </w:tcBorders>
            <w:shd w:val="clear" w:color="auto" w:fill="auto"/>
            <w:noWrap/>
            <w:vAlign w:val="bottom"/>
            <w:hideMark/>
          </w:tcPr>
          <w:p w14:paraId="759F40E6" w14:textId="77777777" w:rsidR="00711AA3" w:rsidRPr="00D53CB9" w:rsidRDefault="00711AA3" w:rsidP="00711AA3">
            <w:pPr>
              <w:spacing w:after="200" w:line="276" w:lineRule="auto"/>
              <w:rPr>
                <w:sz w:val="16"/>
                <w:szCs w:val="16"/>
              </w:rPr>
            </w:pPr>
            <w:r w:rsidRPr="00D53CB9">
              <w:rPr>
                <w:sz w:val="16"/>
                <w:szCs w:val="16"/>
              </w:rPr>
              <w:t>0,9012</w:t>
            </w:r>
          </w:p>
        </w:tc>
        <w:tc>
          <w:tcPr>
            <w:tcW w:w="1019" w:type="dxa"/>
            <w:tcBorders>
              <w:top w:val="nil"/>
              <w:left w:val="nil"/>
              <w:bottom w:val="nil"/>
              <w:right w:val="nil"/>
            </w:tcBorders>
            <w:shd w:val="clear" w:color="auto" w:fill="auto"/>
            <w:noWrap/>
            <w:vAlign w:val="bottom"/>
            <w:hideMark/>
          </w:tcPr>
          <w:p w14:paraId="7989A852" w14:textId="77777777" w:rsidR="00711AA3" w:rsidRPr="00D53CB9" w:rsidRDefault="00711AA3" w:rsidP="00711AA3">
            <w:pPr>
              <w:spacing w:after="200" w:line="276" w:lineRule="auto"/>
              <w:rPr>
                <w:sz w:val="16"/>
                <w:szCs w:val="16"/>
              </w:rPr>
            </w:pPr>
            <w:r w:rsidRPr="00D53CB9">
              <w:rPr>
                <w:sz w:val="16"/>
                <w:szCs w:val="16"/>
              </w:rPr>
              <w:t>1</w:t>
            </w:r>
          </w:p>
        </w:tc>
        <w:tc>
          <w:tcPr>
            <w:tcW w:w="1019" w:type="dxa"/>
            <w:tcBorders>
              <w:top w:val="nil"/>
              <w:left w:val="nil"/>
              <w:bottom w:val="nil"/>
              <w:right w:val="nil"/>
            </w:tcBorders>
            <w:shd w:val="clear" w:color="auto" w:fill="auto"/>
            <w:noWrap/>
            <w:vAlign w:val="bottom"/>
            <w:hideMark/>
          </w:tcPr>
          <w:p w14:paraId="310B39DE" w14:textId="77777777" w:rsidR="00711AA3" w:rsidRPr="00D53CB9" w:rsidRDefault="00711AA3" w:rsidP="00711AA3">
            <w:pPr>
              <w:spacing w:after="200" w:line="276" w:lineRule="auto"/>
              <w:rPr>
                <w:sz w:val="16"/>
                <w:szCs w:val="16"/>
              </w:rPr>
            </w:pPr>
            <w:r w:rsidRPr="00D53CB9">
              <w:rPr>
                <w:sz w:val="16"/>
                <w:szCs w:val="16"/>
              </w:rPr>
              <w:t>0,9016</w:t>
            </w:r>
          </w:p>
        </w:tc>
        <w:tc>
          <w:tcPr>
            <w:tcW w:w="1019" w:type="dxa"/>
            <w:tcBorders>
              <w:top w:val="nil"/>
              <w:left w:val="nil"/>
              <w:bottom w:val="nil"/>
              <w:right w:val="nil"/>
            </w:tcBorders>
            <w:shd w:val="clear" w:color="auto" w:fill="auto"/>
            <w:noWrap/>
            <w:vAlign w:val="bottom"/>
            <w:hideMark/>
          </w:tcPr>
          <w:p w14:paraId="16B7B8AA" w14:textId="77777777" w:rsidR="00711AA3" w:rsidRPr="00D53CB9" w:rsidRDefault="00711AA3" w:rsidP="00711AA3">
            <w:pPr>
              <w:spacing w:after="200" w:line="276" w:lineRule="auto"/>
              <w:rPr>
                <w:sz w:val="16"/>
                <w:szCs w:val="16"/>
              </w:rPr>
            </w:pPr>
            <w:r w:rsidRPr="00D53CB9">
              <w:rPr>
                <w:sz w:val="16"/>
                <w:szCs w:val="16"/>
              </w:rPr>
              <w:t>0,9025</w:t>
            </w:r>
          </w:p>
        </w:tc>
        <w:tc>
          <w:tcPr>
            <w:tcW w:w="1019" w:type="dxa"/>
            <w:tcBorders>
              <w:top w:val="nil"/>
              <w:left w:val="nil"/>
              <w:bottom w:val="nil"/>
              <w:right w:val="nil"/>
            </w:tcBorders>
            <w:shd w:val="clear" w:color="auto" w:fill="auto"/>
            <w:noWrap/>
            <w:vAlign w:val="bottom"/>
            <w:hideMark/>
          </w:tcPr>
          <w:p w14:paraId="21342262" w14:textId="77777777" w:rsidR="00711AA3" w:rsidRPr="00D53CB9" w:rsidRDefault="00711AA3" w:rsidP="00711AA3">
            <w:pPr>
              <w:spacing w:after="200" w:line="276" w:lineRule="auto"/>
              <w:rPr>
                <w:sz w:val="16"/>
                <w:szCs w:val="16"/>
              </w:rPr>
            </w:pPr>
            <w:r w:rsidRPr="00D53CB9">
              <w:rPr>
                <w:sz w:val="16"/>
                <w:szCs w:val="16"/>
              </w:rPr>
              <w:t>0,5314</w:t>
            </w:r>
          </w:p>
        </w:tc>
      </w:tr>
      <w:tr w:rsidR="00711AA3" w:rsidRPr="00D53CB9" w14:paraId="67AF43DC" w14:textId="77777777" w:rsidTr="00AC0A94">
        <w:trPr>
          <w:trHeight w:val="234"/>
        </w:trPr>
        <w:tc>
          <w:tcPr>
            <w:tcW w:w="1758" w:type="dxa"/>
            <w:tcBorders>
              <w:top w:val="nil"/>
              <w:left w:val="nil"/>
              <w:bottom w:val="nil"/>
              <w:right w:val="single" w:sz="4" w:space="0" w:color="auto"/>
            </w:tcBorders>
            <w:shd w:val="clear" w:color="auto" w:fill="auto"/>
            <w:noWrap/>
            <w:vAlign w:val="bottom"/>
            <w:hideMark/>
          </w:tcPr>
          <w:p w14:paraId="744CDC73" w14:textId="77777777" w:rsidR="00711AA3" w:rsidRPr="00D53CB9" w:rsidRDefault="00711AA3" w:rsidP="00711AA3">
            <w:pPr>
              <w:spacing w:after="200" w:line="276" w:lineRule="auto"/>
              <w:rPr>
                <w:sz w:val="16"/>
                <w:szCs w:val="16"/>
              </w:rPr>
            </w:pPr>
            <w:r w:rsidRPr="00D53CB9">
              <w:rPr>
                <w:sz w:val="16"/>
                <w:szCs w:val="16"/>
              </w:rPr>
              <w:t>share foreign bills</w:t>
            </w:r>
          </w:p>
        </w:tc>
        <w:tc>
          <w:tcPr>
            <w:tcW w:w="1019" w:type="dxa"/>
            <w:tcBorders>
              <w:top w:val="nil"/>
              <w:left w:val="nil"/>
              <w:bottom w:val="nil"/>
              <w:right w:val="nil"/>
            </w:tcBorders>
            <w:shd w:val="clear" w:color="auto" w:fill="auto"/>
            <w:noWrap/>
            <w:vAlign w:val="bottom"/>
            <w:hideMark/>
          </w:tcPr>
          <w:p w14:paraId="43B214A6" w14:textId="77777777" w:rsidR="00711AA3" w:rsidRPr="00D53CB9" w:rsidRDefault="00711AA3" w:rsidP="00711AA3">
            <w:pPr>
              <w:spacing w:after="200" w:line="276" w:lineRule="auto"/>
              <w:rPr>
                <w:sz w:val="16"/>
                <w:szCs w:val="16"/>
              </w:rPr>
            </w:pPr>
            <w:r w:rsidRPr="00D53CB9">
              <w:rPr>
                <w:sz w:val="16"/>
                <w:szCs w:val="16"/>
              </w:rPr>
              <w:t>0,8447</w:t>
            </w:r>
          </w:p>
        </w:tc>
        <w:tc>
          <w:tcPr>
            <w:tcW w:w="1019" w:type="dxa"/>
            <w:tcBorders>
              <w:top w:val="nil"/>
              <w:left w:val="nil"/>
              <w:bottom w:val="nil"/>
              <w:right w:val="nil"/>
            </w:tcBorders>
            <w:shd w:val="clear" w:color="auto" w:fill="auto"/>
            <w:noWrap/>
            <w:vAlign w:val="bottom"/>
            <w:hideMark/>
          </w:tcPr>
          <w:p w14:paraId="21CEFB4C" w14:textId="77777777" w:rsidR="00711AA3" w:rsidRPr="00D53CB9" w:rsidRDefault="00711AA3" w:rsidP="00711AA3">
            <w:pPr>
              <w:spacing w:after="200" w:line="276" w:lineRule="auto"/>
              <w:rPr>
                <w:sz w:val="16"/>
                <w:szCs w:val="16"/>
              </w:rPr>
            </w:pPr>
            <w:r w:rsidRPr="00D53CB9">
              <w:rPr>
                <w:sz w:val="16"/>
                <w:szCs w:val="16"/>
              </w:rPr>
              <w:t>0,0478</w:t>
            </w:r>
          </w:p>
        </w:tc>
        <w:tc>
          <w:tcPr>
            <w:tcW w:w="1019" w:type="dxa"/>
            <w:tcBorders>
              <w:top w:val="nil"/>
              <w:left w:val="nil"/>
              <w:bottom w:val="nil"/>
              <w:right w:val="nil"/>
            </w:tcBorders>
            <w:shd w:val="clear" w:color="auto" w:fill="auto"/>
            <w:noWrap/>
            <w:vAlign w:val="bottom"/>
            <w:hideMark/>
          </w:tcPr>
          <w:p w14:paraId="1C8B6808" w14:textId="77777777" w:rsidR="00711AA3" w:rsidRPr="00D53CB9" w:rsidRDefault="00711AA3" w:rsidP="00711AA3">
            <w:pPr>
              <w:spacing w:after="200" w:line="276" w:lineRule="auto"/>
              <w:rPr>
                <w:sz w:val="16"/>
                <w:szCs w:val="16"/>
              </w:rPr>
            </w:pPr>
            <w:r w:rsidRPr="00D53CB9">
              <w:rPr>
                <w:sz w:val="16"/>
                <w:szCs w:val="16"/>
              </w:rPr>
              <w:t>0,0146</w:t>
            </w:r>
          </w:p>
        </w:tc>
        <w:tc>
          <w:tcPr>
            <w:tcW w:w="1019" w:type="dxa"/>
            <w:tcBorders>
              <w:top w:val="nil"/>
              <w:left w:val="nil"/>
              <w:bottom w:val="nil"/>
              <w:right w:val="nil"/>
            </w:tcBorders>
            <w:shd w:val="clear" w:color="auto" w:fill="auto"/>
            <w:noWrap/>
            <w:vAlign w:val="bottom"/>
            <w:hideMark/>
          </w:tcPr>
          <w:p w14:paraId="2B22B115" w14:textId="77777777" w:rsidR="00711AA3" w:rsidRPr="00D53CB9" w:rsidRDefault="00711AA3" w:rsidP="00711AA3">
            <w:pPr>
              <w:spacing w:after="200" w:line="276" w:lineRule="auto"/>
              <w:rPr>
                <w:sz w:val="16"/>
                <w:szCs w:val="16"/>
              </w:rPr>
            </w:pPr>
            <w:r w:rsidRPr="00D53CB9">
              <w:rPr>
                <w:sz w:val="16"/>
                <w:szCs w:val="16"/>
              </w:rPr>
              <w:t>0</w:t>
            </w:r>
          </w:p>
        </w:tc>
        <w:tc>
          <w:tcPr>
            <w:tcW w:w="1019" w:type="dxa"/>
            <w:tcBorders>
              <w:top w:val="nil"/>
              <w:left w:val="nil"/>
              <w:bottom w:val="nil"/>
              <w:right w:val="nil"/>
            </w:tcBorders>
            <w:shd w:val="clear" w:color="auto" w:fill="auto"/>
            <w:noWrap/>
            <w:vAlign w:val="bottom"/>
            <w:hideMark/>
          </w:tcPr>
          <w:p w14:paraId="6CF0329E" w14:textId="77777777" w:rsidR="00711AA3" w:rsidRPr="00D53CB9" w:rsidRDefault="00711AA3" w:rsidP="00711AA3">
            <w:pPr>
              <w:spacing w:after="200" w:line="276" w:lineRule="auto"/>
              <w:rPr>
                <w:sz w:val="16"/>
                <w:szCs w:val="16"/>
              </w:rPr>
            </w:pPr>
            <w:r w:rsidRPr="00D53CB9">
              <w:rPr>
                <w:sz w:val="16"/>
                <w:szCs w:val="16"/>
              </w:rPr>
              <w:t>0</w:t>
            </w:r>
          </w:p>
        </w:tc>
        <w:tc>
          <w:tcPr>
            <w:tcW w:w="1019" w:type="dxa"/>
            <w:tcBorders>
              <w:top w:val="nil"/>
              <w:left w:val="nil"/>
              <w:bottom w:val="nil"/>
              <w:right w:val="nil"/>
            </w:tcBorders>
            <w:shd w:val="clear" w:color="auto" w:fill="auto"/>
            <w:noWrap/>
            <w:vAlign w:val="bottom"/>
            <w:hideMark/>
          </w:tcPr>
          <w:p w14:paraId="55D2B5E2" w14:textId="77777777" w:rsidR="00711AA3" w:rsidRPr="00D53CB9" w:rsidRDefault="00711AA3" w:rsidP="00711AA3">
            <w:pPr>
              <w:spacing w:after="200" w:line="276" w:lineRule="auto"/>
              <w:rPr>
                <w:sz w:val="16"/>
                <w:szCs w:val="16"/>
              </w:rPr>
            </w:pPr>
            <w:r w:rsidRPr="00D53CB9">
              <w:rPr>
                <w:sz w:val="16"/>
                <w:szCs w:val="16"/>
              </w:rPr>
              <w:t>0,0975</w:t>
            </w:r>
          </w:p>
        </w:tc>
        <w:tc>
          <w:tcPr>
            <w:tcW w:w="1019" w:type="dxa"/>
            <w:tcBorders>
              <w:top w:val="nil"/>
              <w:left w:val="nil"/>
              <w:bottom w:val="nil"/>
              <w:right w:val="nil"/>
            </w:tcBorders>
            <w:shd w:val="clear" w:color="auto" w:fill="auto"/>
            <w:noWrap/>
            <w:vAlign w:val="bottom"/>
            <w:hideMark/>
          </w:tcPr>
          <w:p w14:paraId="0F987AE4" w14:textId="77777777" w:rsidR="00711AA3" w:rsidRPr="00D53CB9" w:rsidRDefault="00711AA3" w:rsidP="00711AA3">
            <w:pPr>
              <w:spacing w:after="200" w:line="276" w:lineRule="auto"/>
              <w:rPr>
                <w:sz w:val="16"/>
                <w:szCs w:val="16"/>
              </w:rPr>
            </w:pPr>
            <w:r w:rsidRPr="00D53CB9">
              <w:rPr>
                <w:sz w:val="16"/>
                <w:szCs w:val="16"/>
              </w:rPr>
              <w:t>0,0548</w:t>
            </w:r>
          </w:p>
        </w:tc>
      </w:tr>
      <w:tr w:rsidR="00711AA3" w:rsidRPr="00D53CB9" w14:paraId="6AD5869F" w14:textId="77777777" w:rsidTr="00AC0A94">
        <w:trPr>
          <w:trHeight w:val="234"/>
        </w:trPr>
        <w:tc>
          <w:tcPr>
            <w:tcW w:w="1758" w:type="dxa"/>
            <w:tcBorders>
              <w:top w:val="nil"/>
              <w:left w:val="nil"/>
              <w:bottom w:val="nil"/>
              <w:right w:val="single" w:sz="4" w:space="0" w:color="auto"/>
            </w:tcBorders>
            <w:shd w:val="clear" w:color="auto" w:fill="auto"/>
            <w:noWrap/>
            <w:vAlign w:val="bottom"/>
            <w:hideMark/>
          </w:tcPr>
          <w:p w14:paraId="49CB3041" w14:textId="77777777" w:rsidR="00711AA3" w:rsidRPr="00D53CB9" w:rsidRDefault="00711AA3" w:rsidP="00711AA3">
            <w:pPr>
              <w:spacing w:after="200" w:line="276" w:lineRule="auto"/>
              <w:rPr>
                <w:sz w:val="16"/>
                <w:szCs w:val="16"/>
              </w:rPr>
            </w:pPr>
            <w:r w:rsidRPr="00D53CB9">
              <w:rPr>
                <w:sz w:val="16"/>
                <w:szCs w:val="16"/>
              </w:rPr>
              <w:t>share foreign funds</w:t>
            </w:r>
          </w:p>
        </w:tc>
        <w:tc>
          <w:tcPr>
            <w:tcW w:w="1019" w:type="dxa"/>
            <w:tcBorders>
              <w:top w:val="nil"/>
              <w:left w:val="nil"/>
              <w:bottom w:val="nil"/>
              <w:right w:val="nil"/>
            </w:tcBorders>
            <w:shd w:val="clear" w:color="auto" w:fill="auto"/>
            <w:noWrap/>
            <w:vAlign w:val="bottom"/>
            <w:hideMark/>
          </w:tcPr>
          <w:p w14:paraId="13070595" w14:textId="77777777" w:rsidR="00711AA3" w:rsidRPr="00D53CB9" w:rsidRDefault="00711AA3" w:rsidP="00711AA3">
            <w:pPr>
              <w:spacing w:after="200" w:line="276" w:lineRule="auto"/>
              <w:rPr>
                <w:sz w:val="16"/>
                <w:szCs w:val="16"/>
              </w:rPr>
            </w:pPr>
            <w:r w:rsidRPr="00D53CB9">
              <w:rPr>
                <w:sz w:val="16"/>
                <w:szCs w:val="16"/>
              </w:rPr>
              <w:t>0</w:t>
            </w:r>
          </w:p>
        </w:tc>
        <w:tc>
          <w:tcPr>
            <w:tcW w:w="1019" w:type="dxa"/>
            <w:tcBorders>
              <w:top w:val="nil"/>
              <w:left w:val="nil"/>
              <w:bottom w:val="nil"/>
              <w:right w:val="nil"/>
            </w:tcBorders>
            <w:shd w:val="clear" w:color="auto" w:fill="auto"/>
            <w:noWrap/>
            <w:vAlign w:val="bottom"/>
            <w:hideMark/>
          </w:tcPr>
          <w:p w14:paraId="0F6DE20D" w14:textId="77777777" w:rsidR="00711AA3" w:rsidRPr="00D53CB9" w:rsidRDefault="00711AA3" w:rsidP="00711AA3">
            <w:pPr>
              <w:spacing w:after="200" w:line="276" w:lineRule="auto"/>
              <w:rPr>
                <w:sz w:val="16"/>
                <w:szCs w:val="16"/>
              </w:rPr>
            </w:pPr>
            <w:r w:rsidRPr="00D53CB9">
              <w:rPr>
                <w:sz w:val="16"/>
                <w:szCs w:val="16"/>
              </w:rPr>
              <w:t>0,036</w:t>
            </w:r>
          </w:p>
        </w:tc>
        <w:tc>
          <w:tcPr>
            <w:tcW w:w="1019" w:type="dxa"/>
            <w:tcBorders>
              <w:top w:val="nil"/>
              <w:left w:val="nil"/>
              <w:bottom w:val="nil"/>
              <w:right w:val="nil"/>
            </w:tcBorders>
            <w:shd w:val="clear" w:color="auto" w:fill="auto"/>
            <w:noWrap/>
            <w:vAlign w:val="bottom"/>
            <w:hideMark/>
          </w:tcPr>
          <w:p w14:paraId="0585B3B0" w14:textId="77777777" w:rsidR="00711AA3" w:rsidRPr="00D53CB9" w:rsidRDefault="00711AA3" w:rsidP="00711AA3">
            <w:pPr>
              <w:spacing w:after="200" w:line="276" w:lineRule="auto"/>
              <w:rPr>
                <w:sz w:val="16"/>
                <w:szCs w:val="16"/>
              </w:rPr>
            </w:pPr>
            <w:r w:rsidRPr="00D53CB9">
              <w:rPr>
                <w:sz w:val="16"/>
                <w:szCs w:val="16"/>
              </w:rPr>
              <w:t>0,0842</w:t>
            </w:r>
          </w:p>
        </w:tc>
        <w:tc>
          <w:tcPr>
            <w:tcW w:w="1019" w:type="dxa"/>
            <w:tcBorders>
              <w:top w:val="nil"/>
              <w:left w:val="nil"/>
              <w:bottom w:val="nil"/>
              <w:right w:val="nil"/>
            </w:tcBorders>
            <w:shd w:val="clear" w:color="auto" w:fill="auto"/>
            <w:noWrap/>
            <w:vAlign w:val="bottom"/>
            <w:hideMark/>
          </w:tcPr>
          <w:p w14:paraId="754B2BCB" w14:textId="77777777" w:rsidR="00711AA3" w:rsidRPr="00D53CB9" w:rsidRDefault="00711AA3" w:rsidP="00711AA3">
            <w:pPr>
              <w:spacing w:after="200" w:line="276" w:lineRule="auto"/>
              <w:rPr>
                <w:sz w:val="16"/>
                <w:szCs w:val="16"/>
              </w:rPr>
            </w:pPr>
            <w:r w:rsidRPr="00D53CB9">
              <w:rPr>
                <w:sz w:val="16"/>
                <w:szCs w:val="16"/>
              </w:rPr>
              <w:t>0</w:t>
            </w:r>
          </w:p>
        </w:tc>
        <w:tc>
          <w:tcPr>
            <w:tcW w:w="1019" w:type="dxa"/>
            <w:tcBorders>
              <w:top w:val="nil"/>
              <w:left w:val="nil"/>
              <w:bottom w:val="nil"/>
              <w:right w:val="nil"/>
            </w:tcBorders>
            <w:shd w:val="clear" w:color="auto" w:fill="auto"/>
            <w:noWrap/>
            <w:vAlign w:val="bottom"/>
            <w:hideMark/>
          </w:tcPr>
          <w:p w14:paraId="5FDC082D" w14:textId="77777777" w:rsidR="00711AA3" w:rsidRPr="00D53CB9" w:rsidRDefault="00711AA3" w:rsidP="00711AA3">
            <w:pPr>
              <w:spacing w:after="200" w:line="276" w:lineRule="auto"/>
              <w:rPr>
                <w:sz w:val="16"/>
                <w:szCs w:val="16"/>
              </w:rPr>
            </w:pPr>
            <w:r w:rsidRPr="00D53CB9">
              <w:rPr>
                <w:sz w:val="16"/>
                <w:szCs w:val="16"/>
              </w:rPr>
              <w:t>0,0984</w:t>
            </w:r>
          </w:p>
        </w:tc>
        <w:tc>
          <w:tcPr>
            <w:tcW w:w="1019" w:type="dxa"/>
            <w:tcBorders>
              <w:top w:val="nil"/>
              <w:left w:val="nil"/>
              <w:bottom w:val="nil"/>
              <w:right w:val="nil"/>
            </w:tcBorders>
            <w:shd w:val="clear" w:color="auto" w:fill="auto"/>
            <w:noWrap/>
            <w:vAlign w:val="bottom"/>
            <w:hideMark/>
          </w:tcPr>
          <w:p w14:paraId="173282E3" w14:textId="77777777" w:rsidR="00711AA3" w:rsidRPr="00D53CB9" w:rsidRDefault="00711AA3" w:rsidP="00711AA3">
            <w:pPr>
              <w:spacing w:after="200" w:line="276" w:lineRule="auto"/>
              <w:rPr>
                <w:sz w:val="16"/>
                <w:szCs w:val="16"/>
              </w:rPr>
            </w:pPr>
            <w:r w:rsidRPr="00D53CB9">
              <w:rPr>
                <w:sz w:val="16"/>
                <w:szCs w:val="16"/>
              </w:rPr>
              <w:t>0</w:t>
            </w:r>
          </w:p>
        </w:tc>
        <w:tc>
          <w:tcPr>
            <w:tcW w:w="1019" w:type="dxa"/>
            <w:tcBorders>
              <w:top w:val="nil"/>
              <w:left w:val="nil"/>
              <w:bottom w:val="nil"/>
              <w:right w:val="nil"/>
            </w:tcBorders>
            <w:shd w:val="clear" w:color="auto" w:fill="auto"/>
            <w:noWrap/>
            <w:vAlign w:val="bottom"/>
            <w:hideMark/>
          </w:tcPr>
          <w:p w14:paraId="07D3FE75" w14:textId="77777777" w:rsidR="00711AA3" w:rsidRPr="00D53CB9" w:rsidRDefault="00711AA3" w:rsidP="00711AA3">
            <w:pPr>
              <w:spacing w:after="200" w:line="276" w:lineRule="auto"/>
              <w:rPr>
                <w:sz w:val="16"/>
                <w:szCs w:val="16"/>
              </w:rPr>
            </w:pPr>
            <w:r w:rsidRPr="00D53CB9">
              <w:rPr>
                <w:sz w:val="16"/>
                <w:szCs w:val="16"/>
              </w:rPr>
              <w:t>0,4138</w:t>
            </w:r>
          </w:p>
        </w:tc>
      </w:tr>
      <w:tr w:rsidR="00711AA3" w:rsidRPr="00D53CB9" w14:paraId="593DB6E4" w14:textId="77777777" w:rsidTr="00AC0A94">
        <w:trPr>
          <w:trHeight w:val="234"/>
        </w:trPr>
        <w:tc>
          <w:tcPr>
            <w:tcW w:w="1758" w:type="dxa"/>
            <w:tcBorders>
              <w:top w:val="nil"/>
              <w:left w:val="nil"/>
              <w:bottom w:val="nil"/>
              <w:right w:val="single" w:sz="4" w:space="0" w:color="auto"/>
            </w:tcBorders>
            <w:shd w:val="clear" w:color="auto" w:fill="auto"/>
            <w:noWrap/>
            <w:vAlign w:val="bottom"/>
            <w:hideMark/>
          </w:tcPr>
          <w:p w14:paraId="1C9A83D7" w14:textId="77777777" w:rsidR="00711AA3" w:rsidRPr="00D53CB9" w:rsidRDefault="00711AA3" w:rsidP="00711AA3">
            <w:pPr>
              <w:spacing w:after="200" w:line="276" w:lineRule="auto"/>
              <w:rPr>
                <w:sz w:val="16"/>
                <w:szCs w:val="16"/>
              </w:rPr>
            </w:pPr>
            <w:r w:rsidRPr="00D53CB9">
              <w:rPr>
                <w:sz w:val="16"/>
                <w:szCs w:val="16"/>
              </w:rPr>
              <w:t>share discount</w:t>
            </w:r>
          </w:p>
        </w:tc>
        <w:tc>
          <w:tcPr>
            <w:tcW w:w="1019" w:type="dxa"/>
            <w:tcBorders>
              <w:top w:val="nil"/>
              <w:left w:val="nil"/>
              <w:bottom w:val="nil"/>
              <w:right w:val="nil"/>
            </w:tcBorders>
            <w:shd w:val="clear" w:color="auto" w:fill="auto"/>
            <w:noWrap/>
            <w:vAlign w:val="bottom"/>
            <w:hideMark/>
          </w:tcPr>
          <w:p w14:paraId="6EC08F2B" w14:textId="77777777" w:rsidR="00711AA3" w:rsidRPr="00D53CB9" w:rsidRDefault="00711AA3" w:rsidP="00711AA3">
            <w:pPr>
              <w:spacing w:after="200" w:line="276" w:lineRule="auto"/>
              <w:rPr>
                <w:sz w:val="16"/>
                <w:szCs w:val="16"/>
              </w:rPr>
            </w:pPr>
            <w:r w:rsidRPr="00D53CB9">
              <w:rPr>
                <w:sz w:val="16"/>
                <w:szCs w:val="16"/>
              </w:rPr>
              <w:t>0,7244</w:t>
            </w:r>
          </w:p>
        </w:tc>
        <w:tc>
          <w:tcPr>
            <w:tcW w:w="1019" w:type="dxa"/>
            <w:tcBorders>
              <w:top w:val="nil"/>
              <w:left w:val="nil"/>
              <w:bottom w:val="nil"/>
              <w:right w:val="nil"/>
            </w:tcBorders>
            <w:shd w:val="clear" w:color="auto" w:fill="auto"/>
            <w:noWrap/>
            <w:vAlign w:val="bottom"/>
            <w:hideMark/>
          </w:tcPr>
          <w:p w14:paraId="6C414A12" w14:textId="77777777" w:rsidR="00711AA3" w:rsidRPr="00D53CB9" w:rsidRDefault="00711AA3" w:rsidP="00711AA3">
            <w:pPr>
              <w:spacing w:after="200" w:line="276" w:lineRule="auto"/>
              <w:rPr>
                <w:sz w:val="16"/>
                <w:szCs w:val="16"/>
              </w:rPr>
            </w:pPr>
            <w:r w:rsidRPr="00D53CB9">
              <w:rPr>
                <w:sz w:val="16"/>
                <w:szCs w:val="16"/>
              </w:rPr>
              <w:t>0,7211</w:t>
            </w:r>
          </w:p>
        </w:tc>
        <w:tc>
          <w:tcPr>
            <w:tcW w:w="1019" w:type="dxa"/>
            <w:tcBorders>
              <w:top w:val="nil"/>
              <w:left w:val="nil"/>
              <w:bottom w:val="nil"/>
              <w:right w:val="nil"/>
            </w:tcBorders>
            <w:shd w:val="clear" w:color="auto" w:fill="auto"/>
            <w:noWrap/>
            <w:vAlign w:val="bottom"/>
            <w:hideMark/>
          </w:tcPr>
          <w:p w14:paraId="1FC392A5" w14:textId="77777777" w:rsidR="00711AA3" w:rsidRPr="00D53CB9" w:rsidRDefault="00711AA3" w:rsidP="00711AA3">
            <w:pPr>
              <w:spacing w:after="200" w:line="276" w:lineRule="auto"/>
              <w:rPr>
                <w:sz w:val="16"/>
                <w:szCs w:val="16"/>
              </w:rPr>
            </w:pPr>
            <w:r w:rsidRPr="00D53CB9">
              <w:rPr>
                <w:sz w:val="16"/>
                <w:szCs w:val="16"/>
              </w:rPr>
              <w:t>0,5477</w:t>
            </w:r>
          </w:p>
        </w:tc>
        <w:tc>
          <w:tcPr>
            <w:tcW w:w="1019" w:type="dxa"/>
            <w:tcBorders>
              <w:top w:val="nil"/>
              <w:left w:val="nil"/>
              <w:bottom w:val="nil"/>
              <w:right w:val="nil"/>
            </w:tcBorders>
            <w:shd w:val="clear" w:color="auto" w:fill="auto"/>
            <w:noWrap/>
            <w:vAlign w:val="bottom"/>
            <w:hideMark/>
          </w:tcPr>
          <w:p w14:paraId="2CDD9265" w14:textId="77777777" w:rsidR="00711AA3" w:rsidRPr="00D53CB9" w:rsidRDefault="00711AA3" w:rsidP="00711AA3">
            <w:pPr>
              <w:spacing w:after="200" w:line="276" w:lineRule="auto"/>
              <w:rPr>
                <w:sz w:val="16"/>
                <w:szCs w:val="16"/>
              </w:rPr>
            </w:pPr>
            <w:r w:rsidRPr="00D53CB9">
              <w:rPr>
                <w:sz w:val="16"/>
                <w:szCs w:val="16"/>
              </w:rPr>
              <w:t>0,7127</w:t>
            </w:r>
          </w:p>
        </w:tc>
        <w:tc>
          <w:tcPr>
            <w:tcW w:w="1019" w:type="dxa"/>
            <w:tcBorders>
              <w:top w:val="nil"/>
              <w:left w:val="nil"/>
              <w:bottom w:val="nil"/>
              <w:right w:val="nil"/>
            </w:tcBorders>
            <w:shd w:val="clear" w:color="auto" w:fill="auto"/>
            <w:noWrap/>
            <w:vAlign w:val="bottom"/>
            <w:hideMark/>
          </w:tcPr>
          <w:p w14:paraId="4B45E6FC" w14:textId="77777777" w:rsidR="00711AA3" w:rsidRPr="00D53CB9" w:rsidRDefault="00711AA3" w:rsidP="00711AA3">
            <w:pPr>
              <w:spacing w:after="200" w:line="276" w:lineRule="auto"/>
              <w:rPr>
                <w:sz w:val="16"/>
                <w:szCs w:val="16"/>
              </w:rPr>
            </w:pPr>
            <w:r w:rsidRPr="00D53CB9">
              <w:rPr>
                <w:sz w:val="16"/>
                <w:szCs w:val="16"/>
              </w:rPr>
              <w:t>0,4346</w:t>
            </w:r>
          </w:p>
        </w:tc>
        <w:tc>
          <w:tcPr>
            <w:tcW w:w="1019" w:type="dxa"/>
            <w:tcBorders>
              <w:top w:val="nil"/>
              <w:left w:val="nil"/>
              <w:bottom w:val="nil"/>
              <w:right w:val="nil"/>
            </w:tcBorders>
            <w:shd w:val="clear" w:color="auto" w:fill="auto"/>
            <w:noWrap/>
            <w:vAlign w:val="bottom"/>
            <w:hideMark/>
          </w:tcPr>
          <w:p w14:paraId="53BB3786" w14:textId="77777777" w:rsidR="00711AA3" w:rsidRPr="00D53CB9" w:rsidRDefault="00711AA3" w:rsidP="00711AA3">
            <w:pPr>
              <w:spacing w:after="200" w:line="276" w:lineRule="auto"/>
              <w:rPr>
                <w:sz w:val="16"/>
                <w:szCs w:val="16"/>
              </w:rPr>
            </w:pPr>
            <w:r w:rsidRPr="00D53CB9">
              <w:rPr>
                <w:sz w:val="16"/>
                <w:szCs w:val="16"/>
              </w:rPr>
              <w:t>0,3321</w:t>
            </w:r>
          </w:p>
        </w:tc>
        <w:tc>
          <w:tcPr>
            <w:tcW w:w="1019" w:type="dxa"/>
            <w:tcBorders>
              <w:top w:val="nil"/>
              <w:left w:val="nil"/>
              <w:bottom w:val="nil"/>
              <w:right w:val="nil"/>
            </w:tcBorders>
            <w:shd w:val="clear" w:color="auto" w:fill="auto"/>
            <w:noWrap/>
            <w:vAlign w:val="bottom"/>
            <w:hideMark/>
          </w:tcPr>
          <w:p w14:paraId="504DF1AF" w14:textId="77777777" w:rsidR="00711AA3" w:rsidRPr="00D53CB9" w:rsidRDefault="00711AA3" w:rsidP="00711AA3">
            <w:pPr>
              <w:spacing w:after="200" w:line="276" w:lineRule="auto"/>
              <w:rPr>
                <w:sz w:val="16"/>
                <w:szCs w:val="16"/>
              </w:rPr>
            </w:pPr>
            <w:r w:rsidRPr="00D53CB9">
              <w:rPr>
                <w:sz w:val="16"/>
                <w:szCs w:val="16"/>
              </w:rPr>
              <w:t>0,6423</w:t>
            </w:r>
          </w:p>
        </w:tc>
      </w:tr>
      <w:tr w:rsidR="00711AA3" w:rsidRPr="00D53CB9" w14:paraId="2C164286" w14:textId="77777777" w:rsidTr="00AC0A94">
        <w:trPr>
          <w:trHeight w:val="234"/>
        </w:trPr>
        <w:tc>
          <w:tcPr>
            <w:tcW w:w="1758" w:type="dxa"/>
            <w:tcBorders>
              <w:top w:val="nil"/>
              <w:left w:val="nil"/>
              <w:bottom w:val="nil"/>
              <w:right w:val="single" w:sz="4" w:space="0" w:color="auto"/>
            </w:tcBorders>
            <w:shd w:val="clear" w:color="auto" w:fill="auto"/>
            <w:noWrap/>
            <w:vAlign w:val="bottom"/>
            <w:hideMark/>
          </w:tcPr>
          <w:p w14:paraId="2F9E2D62" w14:textId="77777777" w:rsidR="00711AA3" w:rsidRPr="00D53CB9" w:rsidRDefault="00711AA3" w:rsidP="00711AA3">
            <w:pPr>
              <w:spacing w:after="200" w:line="276" w:lineRule="auto"/>
              <w:rPr>
                <w:sz w:val="16"/>
                <w:szCs w:val="16"/>
              </w:rPr>
            </w:pPr>
            <w:r w:rsidRPr="00D53CB9">
              <w:rPr>
                <w:sz w:val="16"/>
                <w:szCs w:val="16"/>
              </w:rPr>
              <w:t>share advances</w:t>
            </w:r>
          </w:p>
        </w:tc>
        <w:tc>
          <w:tcPr>
            <w:tcW w:w="1019" w:type="dxa"/>
            <w:tcBorders>
              <w:top w:val="nil"/>
              <w:left w:val="nil"/>
              <w:bottom w:val="nil"/>
              <w:right w:val="nil"/>
            </w:tcBorders>
            <w:shd w:val="clear" w:color="auto" w:fill="auto"/>
            <w:noWrap/>
            <w:vAlign w:val="bottom"/>
            <w:hideMark/>
          </w:tcPr>
          <w:p w14:paraId="623FD94C" w14:textId="77777777" w:rsidR="00711AA3" w:rsidRPr="00D53CB9" w:rsidRDefault="00711AA3" w:rsidP="00711AA3">
            <w:pPr>
              <w:spacing w:after="200" w:line="276" w:lineRule="auto"/>
              <w:rPr>
                <w:sz w:val="16"/>
                <w:szCs w:val="16"/>
              </w:rPr>
            </w:pPr>
            <w:r w:rsidRPr="00D53CB9">
              <w:rPr>
                <w:sz w:val="16"/>
                <w:szCs w:val="16"/>
              </w:rPr>
              <w:t>0,2756</w:t>
            </w:r>
          </w:p>
        </w:tc>
        <w:tc>
          <w:tcPr>
            <w:tcW w:w="1019" w:type="dxa"/>
            <w:tcBorders>
              <w:top w:val="nil"/>
              <w:left w:val="nil"/>
              <w:bottom w:val="nil"/>
              <w:right w:val="nil"/>
            </w:tcBorders>
            <w:shd w:val="clear" w:color="auto" w:fill="auto"/>
            <w:noWrap/>
            <w:vAlign w:val="bottom"/>
            <w:hideMark/>
          </w:tcPr>
          <w:p w14:paraId="46802A80" w14:textId="77777777" w:rsidR="00711AA3" w:rsidRPr="00D53CB9" w:rsidRDefault="00711AA3" w:rsidP="00711AA3">
            <w:pPr>
              <w:spacing w:after="200" w:line="276" w:lineRule="auto"/>
              <w:rPr>
                <w:sz w:val="16"/>
                <w:szCs w:val="16"/>
              </w:rPr>
            </w:pPr>
            <w:r w:rsidRPr="00D53CB9">
              <w:rPr>
                <w:sz w:val="16"/>
                <w:szCs w:val="16"/>
              </w:rPr>
              <w:t>0,2789</w:t>
            </w:r>
          </w:p>
        </w:tc>
        <w:tc>
          <w:tcPr>
            <w:tcW w:w="1019" w:type="dxa"/>
            <w:tcBorders>
              <w:top w:val="nil"/>
              <w:left w:val="nil"/>
              <w:bottom w:val="nil"/>
              <w:right w:val="nil"/>
            </w:tcBorders>
            <w:shd w:val="clear" w:color="auto" w:fill="auto"/>
            <w:noWrap/>
            <w:vAlign w:val="bottom"/>
            <w:hideMark/>
          </w:tcPr>
          <w:p w14:paraId="3DEB4DF0" w14:textId="77777777" w:rsidR="00711AA3" w:rsidRPr="00D53CB9" w:rsidRDefault="00711AA3" w:rsidP="00711AA3">
            <w:pPr>
              <w:spacing w:after="200" w:line="276" w:lineRule="auto"/>
              <w:rPr>
                <w:sz w:val="16"/>
                <w:szCs w:val="16"/>
              </w:rPr>
            </w:pPr>
            <w:r w:rsidRPr="00D53CB9">
              <w:rPr>
                <w:sz w:val="16"/>
                <w:szCs w:val="16"/>
              </w:rPr>
              <w:t>0,4523</w:t>
            </w:r>
          </w:p>
        </w:tc>
        <w:tc>
          <w:tcPr>
            <w:tcW w:w="1019" w:type="dxa"/>
            <w:tcBorders>
              <w:top w:val="nil"/>
              <w:left w:val="nil"/>
              <w:bottom w:val="nil"/>
              <w:right w:val="nil"/>
            </w:tcBorders>
            <w:shd w:val="clear" w:color="auto" w:fill="auto"/>
            <w:noWrap/>
            <w:vAlign w:val="bottom"/>
            <w:hideMark/>
          </w:tcPr>
          <w:p w14:paraId="0719B713" w14:textId="77777777" w:rsidR="00711AA3" w:rsidRPr="00D53CB9" w:rsidRDefault="00711AA3" w:rsidP="00711AA3">
            <w:pPr>
              <w:spacing w:after="200" w:line="276" w:lineRule="auto"/>
              <w:rPr>
                <w:sz w:val="16"/>
                <w:szCs w:val="16"/>
              </w:rPr>
            </w:pPr>
            <w:r w:rsidRPr="00D53CB9">
              <w:rPr>
                <w:sz w:val="16"/>
                <w:szCs w:val="16"/>
              </w:rPr>
              <w:t>0,2873</w:t>
            </w:r>
          </w:p>
        </w:tc>
        <w:tc>
          <w:tcPr>
            <w:tcW w:w="1019" w:type="dxa"/>
            <w:tcBorders>
              <w:top w:val="nil"/>
              <w:left w:val="nil"/>
              <w:bottom w:val="nil"/>
              <w:right w:val="nil"/>
            </w:tcBorders>
            <w:shd w:val="clear" w:color="auto" w:fill="auto"/>
            <w:noWrap/>
            <w:vAlign w:val="bottom"/>
            <w:hideMark/>
          </w:tcPr>
          <w:p w14:paraId="009100F0" w14:textId="77777777" w:rsidR="00711AA3" w:rsidRPr="00D53CB9" w:rsidRDefault="00711AA3" w:rsidP="00711AA3">
            <w:pPr>
              <w:spacing w:after="200" w:line="276" w:lineRule="auto"/>
              <w:rPr>
                <w:sz w:val="16"/>
                <w:szCs w:val="16"/>
              </w:rPr>
            </w:pPr>
            <w:r w:rsidRPr="00D53CB9">
              <w:rPr>
                <w:sz w:val="16"/>
                <w:szCs w:val="16"/>
              </w:rPr>
              <w:t>0,5654</w:t>
            </w:r>
          </w:p>
        </w:tc>
        <w:tc>
          <w:tcPr>
            <w:tcW w:w="1019" w:type="dxa"/>
            <w:tcBorders>
              <w:top w:val="nil"/>
              <w:left w:val="nil"/>
              <w:bottom w:val="nil"/>
              <w:right w:val="nil"/>
            </w:tcBorders>
            <w:shd w:val="clear" w:color="auto" w:fill="auto"/>
            <w:noWrap/>
            <w:vAlign w:val="bottom"/>
            <w:hideMark/>
          </w:tcPr>
          <w:p w14:paraId="55DDB108" w14:textId="77777777" w:rsidR="00711AA3" w:rsidRPr="00D53CB9" w:rsidRDefault="00711AA3" w:rsidP="00711AA3">
            <w:pPr>
              <w:spacing w:after="200" w:line="276" w:lineRule="auto"/>
              <w:rPr>
                <w:sz w:val="16"/>
                <w:szCs w:val="16"/>
              </w:rPr>
            </w:pPr>
            <w:r w:rsidRPr="00D53CB9">
              <w:rPr>
                <w:sz w:val="16"/>
                <w:szCs w:val="16"/>
              </w:rPr>
              <w:t>0,6679</w:t>
            </w:r>
          </w:p>
        </w:tc>
        <w:tc>
          <w:tcPr>
            <w:tcW w:w="1019" w:type="dxa"/>
            <w:tcBorders>
              <w:top w:val="nil"/>
              <w:left w:val="nil"/>
              <w:bottom w:val="nil"/>
              <w:right w:val="nil"/>
            </w:tcBorders>
            <w:shd w:val="clear" w:color="auto" w:fill="auto"/>
            <w:noWrap/>
            <w:vAlign w:val="bottom"/>
            <w:hideMark/>
          </w:tcPr>
          <w:p w14:paraId="34DD6270" w14:textId="77777777" w:rsidR="00711AA3" w:rsidRPr="00D53CB9" w:rsidRDefault="00711AA3" w:rsidP="00711AA3">
            <w:pPr>
              <w:spacing w:after="200" w:line="276" w:lineRule="auto"/>
              <w:rPr>
                <w:sz w:val="16"/>
                <w:szCs w:val="16"/>
              </w:rPr>
            </w:pPr>
            <w:r w:rsidRPr="00D53CB9">
              <w:rPr>
                <w:sz w:val="16"/>
                <w:szCs w:val="16"/>
              </w:rPr>
              <w:t>0,3577</w:t>
            </w:r>
          </w:p>
        </w:tc>
      </w:tr>
      <w:tr w:rsidR="00711AA3" w:rsidRPr="00D53CB9" w14:paraId="03488491" w14:textId="77777777" w:rsidTr="00AC0A94">
        <w:trPr>
          <w:trHeight w:val="234"/>
        </w:trPr>
        <w:tc>
          <w:tcPr>
            <w:tcW w:w="1758" w:type="dxa"/>
            <w:tcBorders>
              <w:top w:val="nil"/>
              <w:left w:val="nil"/>
              <w:bottom w:val="single" w:sz="4" w:space="0" w:color="auto"/>
              <w:right w:val="single" w:sz="4" w:space="0" w:color="auto"/>
            </w:tcBorders>
            <w:shd w:val="clear" w:color="auto" w:fill="auto"/>
            <w:noWrap/>
            <w:vAlign w:val="bottom"/>
            <w:hideMark/>
          </w:tcPr>
          <w:p w14:paraId="6D02CE5E" w14:textId="77777777" w:rsidR="00711AA3" w:rsidRPr="00D53CB9" w:rsidRDefault="00711AA3" w:rsidP="00711AA3">
            <w:pPr>
              <w:spacing w:after="200" w:line="276" w:lineRule="auto"/>
              <w:rPr>
                <w:sz w:val="16"/>
                <w:szCs w:val="16"/>
              </w:rPr>
            </w:pPr>
            <w:r w:rsidRPr="00D53CB9">
              <w:rPr>
                <w:sz w:val="16"/>
                <w:szCs w:val="16"/>
              </w:rPr>
              <w:t>discount rate</w:t>
            </w:r>
          </w:p>
        </w:tc>
        <w:tc>
          <w:tcPr>
            <w:tcW w:w="1019" w:type="dxa"/>
            <w:tcBorders>
              <w:top w:val="nil"/>
              <w:left w:val="nil"/>
              <w:bottom w:val="single" w:sz="4" w:space="0" w:color="auto"/>
              <w:right w:val="nil"/>
            </w:tcBorders>
            <w:shd w:val="clear" w:color="auto" w:fill="auto"/>
            <w:noWrap/>
            <w:vAlign w:val="bottom"/>
            <w:hideMark/>
          </w:tcPr>
          <w:p w14:paraId="1FB3D520" w14:textId="77777777" w:rsidR="00711AA3" w:rsidRPr="00D53CB9" w:rsidRDefault="00711AA3" w:rsidP="00711AA3">
            <w:pPr>
              <w:spacing w:after="200" w:line="276" w:lineRule="auto"/>
              <w:rPr>
                <w:sz w:val="16"/>
                <w:szCs w:val="16"/>
              </w:rPr>
            </w:pPr>
            <w:r w:rsidRPr="00D53CB9">
              <w:rPr>
                <w:sz w:val="16"/>
                <w:szCs w:val="16"/>
              </w:rPr>
              <w:t>6,3304</w:t>
            </w:r>
          </w:p>
        </w:tc>
        <w:tc>
          <w:tcPr>
            <w:tcW w:w="1019" w:type="dxa"/>
            <w:tcBorders>
              <w:top w:val="nil"/>
              <w:left w:val="nil"/>
              <w:bottom w:val="single" w:sz="4" w:space="0" w:color="auto"/>
              <w:right w:val="nil"/>
            </w:tcBorders>
            <w:shd w:val="clear" w:color="auto" w:fill="auto"/>
            <w:noWrap/>
            <w:vAlign w:val="bottom"/>
            <w:hideMark/>
          </w:tcPr>
          <w:p w14:paraId="5103F288" w14:textId="77777777" w:rsidR="00711AA3" w:rsidRPr="00D53CB9" w:rsidRDefault="00711AA3" w:rsidP="00711AA3">
            <w:pPr>
              <w:spacing w:after="200" w:line="276" w:lineRule="auto"/>
              <w:rPr>
                <w:sz w:val="16"/>
                <w:szCs w:val="16"/>
              </w:rPr>
            </w:pPr>
            <w:r w:rsidRPr="00D53CB9">
              <w:rPr>
                <w:sz w:val="16"/>
                <w:szCs w:val="16"/>
              </w:rPr>
              <w:t>4,5688</w:t>
            </w:r>
          </w:p>
        </w:tc>
        <w:tc>
          <w:tcPr>
            <w:tcW w:w="1019" w:type="dxa"/>
            <w:tcBorders>
              <w:top w:val="nil"/>
              <w:left w:val="nil"/>
              <w:bottom w:val="single" w:sz="4" w:space="0" w:color="auto"/>
              <w:right w:val="nil"/>
            </w:tcBorders>
            <w:shd w:val="clear" w:color="auto" w:fill="auto"/>
            <w:noWrap/>
            <w:vAlign w:val="bottom"/>
            <w:hideMark/>
          </w:tcPr>
          <w:p w14:paraId="1F7C374E" w14:textId="77777777" w:rsidR="00711AA3" w:rsidRPr="00D53CB9" w:rsidRDefault="00711AA3" w:rsidP="00711AA3">
            <w:pPr>
              <w:spacing w:after="200" w:line="276" w:lineRule="auto"/>
              <w:rPr>
                <w:sz w:val="16"/>
                <w:szCs w:val="16"/>
              </w:rPr>
            </w:pPr>
            <w:r w:rsidRPr="00D53CB9">
              <w:rPr>
                <w:sz w:val="16"/>
                <w:szCs w:val="16"/>
              </w:rPr>
              <w:t>7,4946</w:t>
            </w:r>
          </w:p>
        </w:tc>
        <w:tc>
          <w:tcPr>
            <w:tcW w:w="1019" w:type="dxa"/>
            <w:tcBorders>
              <w:top w:val="nil"/>
              <w:left w:val="nil"/>
              <w:bottom w:val="single" w:sz="4" w:space="0" w:color="auto"/>
              <w:right w:val="nil"/>
            </w:tcBorders>
            <w:shd w:val="clear" w:color="auto" w:fill="auto"/>
            <w:noWrap/>
            <w:vAlign w:val="bottom"/>
            <w:hideMark/>
          </w:tcPr>
          <w:p w14:paraId="7B627463" w14:textId="77777777" w:rsidR="00711AA3" w:rsidRPr="00D53CB9" w:rsidRDefault="00711AA3" w:rsidP="00711AA3">
            <w:pPr>
              <w:spacing w:after="200" w:line="276" w:lineRule="auto"/>
              <w:rPr>
                <w:sz w:val="16"/>
                <w:szCs w:val="16"/>
              </w:rPr>
            </w:pPr>
            <w:r w:rsidRPr="00D53CB9">
              <w:rPr>
                <w:sz w:val="16"/>
                <w:szCs w:val="16"/>
              </w:rPr>
              <w:t>5,7355</w:t>
            </w:r>
          </w:p>
        </w:tc>
        <w:tc>
          <w:tcPr>
            <w:tcW w:w="1019" w:type="dxa"/>
            <w:tcBorders>
              <w:top w:val="nil"/>
              <w:left w:val="nil"/>
              <w:bottom w:val="single" w:sz="4" w:space="0" w:color="auto"/>
              <w:right w:val="nil"/>
            </w:tcBorders>
            <w:shd w:val="clear" w:color="auto" w:fill="auto"/>
            <w:noWrap/>
            <w:vAlign w:val="bottom"/>
            <w:hideMark/>
          </w:tcPr>
          <w:p w14:paraId="0B17FDFE" w14:textId="77777777" w:rsidR="00711AA3" w:rsidRPr="00D53CB9" w:rsidRDefault="00711AA3" w:rsidP="00711AA3">
            <w:pPr>
              <w:spacing w:after="200" w:line="276" w:lineRule="auto"/>
              <w:rPr>
                <w:sz w:val="16"/>
                <w:szCs w:val="16"/>
              </w:rPr>
            </w:pPr>
            <w:r w:rsidRPr="00D53CB9">
              <w:rPr>
                <w:sz w:val="16"/>
                <w:szCs w:val="16"/>
              </w:rPr>
              <w:t>7,0225</w:t>
            </w:r>
          </w:p>
        </w:tc>
        <w:tc>
          <w:tcPr>
            <w:tcW w:w="1019" w:type="dxa"/>
            <w:tcBorders>
              <w:top w:val="nil"/>
              <w:left w:val="nil"/>
              <w:bottom w:val="single" w:sz="4" w:space="0" w:color="auto"/>
              <w:right w:val="nil"/>
            </w:tcBorders>
            <w:shd w:val="clear" w:color="auto" w:fill="auto"/>
            <w:noWrap/>
            <w:vAlign w:val="bottom"/>
            <w:hideMark/>
          </w:tcPr>
          <w:p w14:paraId="3277AED9" w14:textId="77777777" w:rsidR="00711AA3" w:rsidRPr="00D53CB9" w:rsidRDefault="00711AA3" w:rsidP="00711AA3">
            <w:pPr>
              <w:spacing w:after="200" w:line="276" w:lineRule="auto"/>
              <w:rPr>
                <w:sz w:val="16"/>
                <w:szCs w:val="16"/>
              </w:rPr>
            </w:pPr>
            <w:r w:rsidRPr="00D53CB9">
              <w:rPr>
                <w:sz w:val="16"/>
                <w:szCs w:val="16"/>
              </w:rPr>
              <w:t>6,6989</w:t>
            </w:r>
          </w:p>
        </w:tc>
        <w:tc>
          <w:tcPr>
            <w:tcW w:w="1019" w:type="dxa"/>
            <w:tcBorders>
              <w:top w:val="nil"/>
              <w:left w:val="nil"/>
              <w:bottom w:val="single" w:sz="4" w:space="0" w:color="auto"/>
              <w:right w:val="nil"/>
            </w:tcBorders>
            <w:shd w:val="clear" w:color="auto" w:fill="auto"/>
            <w:noWrap/>
            <w:vAlign w:val="bottom"/>
            <w:hideMark/>
          </w:tcPr>
          <w:p w14:paraId="347B8FCD" w14:textId="77777777" w:rsidR="00711AA3" w:rsidRPr="00D53CB9" w:rsidRDefault="00711AA3" w:rsidP="00711AA3">
            <w:pPr>
              <w:spacing w:after="200" w:line="276" w:lineRule="auto"/>
              <w:rPr>
                <w:sz w:val="16"/>
                <w:szCs w:val="16"/>
              </w:rPr>
            </w:pPr>
            <w:r w:rsidRPr="00D53CB9">
              <w:rPr>
                <w:sz w:val="16"/>
                <w:szCs w:val="16"/>
              </w:rPr>
              <w:t>5,1171</w:t>
            </w:r>
          </w:p>
        </w:tc>
      </w:tr>
    </w:tbl>
    <w:p w14:paraId="13DE8D4D" w14:textId="77777777" w:rsidR="00AC0A94" w:rsidRDefault="00AC0A94" w:rsidP="008313AD">
      <w:pPr>
        <w:pStyle w:val="Heading1"/>
      </w:pPr>
    </w:p>
    <w:p w14:paraId="6C04CD2A" w14:textId="65E6E469" w:rsidR="00AC0A94" w:rsidRDefault="00AC0A94" w:rsidP="008313AD">
      <w:pPr>
        <w:pStyle w:val="Heading1"/>
      </w:pPr>
      <w:r>
        <w:br w:type="page"/>
      </w:r>
    </w:p>
    <w:p w14:paraId="424B9AA2" w14:textId="02D40542" w:rsidR="00724901" w:rsidRPr="00CA2C7F" w:rsidRDefault="00724901" w:rsidP="008313AD">
      <w:pPr>
        <w:pStyle w:val="Heading1"/>
      </w:pPr>
      <w:bookmarkStart w:id="21" w:name="_Toc2521991"/>
      <w:r w:rsidRPr="00CA2C7F">
        <w:t>References</w:t>
      </w:r>
      <w:bookmarkEnd w:id="21"/>
    </w:p>
    <w:p w14:paraId="697813F6" w14:textId="77777777" w:rsidR="00724901" w:rsidRPr="004C5B23" w:rsidRDefault="00724901" w:rsidP="00CA2C7F">
      <w:pPr>
        <w:spacing w:line="360" w:lineRule="auto"/>
        <w:jc w:val="both"/>
        <w:rPr>
          <w:rFonts w:ascii="Garamond" w:hAnsi="Garamond"/>
        </w:rPr>
      </w:pPr>
    </w:p>
    <w:p w14:paraId="3EA2BFC6" w14:textId="77777777" w:rsidR="00724901" w:rsidRPr="004C5B23" w:rsidRDefault="00724901" w:rsidP="00CA2C7F">
      <w:pPr>
        <w:spacing w:line="360" w:lineRule="auto"/>
        <w:jc w:val="both"/>
        <w:rPr>
          <w:rFonts w:ascii="Garamond" w:hAnsi="Garamond"/>
        </w:rPr>
      </w:pPr>
      <w:r w:rsidRPr="004C5B23">
        <w:rPr>
          <w:rFonts w:ascii="Garamond" w:hAnsi="Garamond"/>
        </w:rPr>
        <w:t xml:space="preserve">Aizenman, J., Chinn, M. D., &amp; Ito, H. (2010). The emerging global financial architecture: Tracing and evaluating new patterns of the trilemma configuration. </w:t>
      </w:r>
      <w:r w:rsidRPr="004C5B23">
        <w:rPr>
          <w:rFonts w:ascii="Garamond" w:hAnsi="Garamond"/>
          <w:i/>
          <w:iCs/>
        </w:rPr>
        <w:t>Journal of international Money and Finance</w:t>
      </w:r>
      <w:r w:rsidRPr="004C5B23">
        <w:rPr>
          <w:rFonts w:ascii="Garamond" w:hAnsi="Garamond"/>
        </w:rPr>
        <w:t xml:space="preserve">, </w:t>
      </w:r>
      <w:r w:rsidRPr="004C5B23">
        <w:rPr>
          <w:rFonts w:ascii="Garamond" w:hAnsi="Garamond"/>
          <w:i/>
          <w:iCs/>
        </w:rPr>
        <w:t>29</w:t>
      </w:r>
      <w:r w:rsidRPr="004C5B23">
        <w:rPr>
          <w:rFonts w:ascii="Garamond" w:hAnsi="Garamond"/>
        </w:rPr>
        <w:t>(4), 615-641.</w:t>
      </w:r>
    </w:p>
    <w:p w14:paraId="0434C8BA" w14:textId="77777777" w:rsidR="008D51C9" w:rsidRPr="004C5B23" w:rsidRDefault="008D51C9" w:rsidP="00CA2C7F">
      <w:pPr>
        <w:spacing w:line="360" w:lineRule="auto"/>
        <w:jc w:val="both"/>
        <w:rPr>
          <w:rFonts w:ascii="Garamond" w:hAnsi="Garamond"/>
        </w:rPr>
      </w:pPr>
    </w:p>
    <w:p w14:paraId="16C1207B" w14:textId="77777777" w:rsidR="008D51C9" w:rsidRDefault="008D51C9" w:rsidP="00CA2C7F">
      <w:pPr>
        <w:spacing w:line="360" w:lineRule="auto"/>
        <w:jc w:val="both"/>
        <w:rPr>
          <w:rFonts w:ascii="Garamond" w:hAnsi="Garamond"/>
        </w:rPr>
      </w:pPr>
      <w:r w:rsidRPr="004C5B23">
        <w:rPr>
          <w:rFonts w:ascii="Garamond" w:hAnsi="Garamond"/>
        </w:rPr>
        <w:t>Aizenman, J., &amp; Glick, R. (2009). Sterilization, monetary policy, and global financial integration. Review of International Economics, 17(4), 777-801.</w:t>
      </w:r>
    </w:p>
    <w:p w14:paraId="735C025A" w14:textId="5DA2A198" w:rsidR="00CA2C7F" w:rsidRDefault="00CA2C7F" w:rsidP="00CA2C7F">
      <w:pPr>
        <w:spacing w:line="360" w:lineRule="auto"/>
        <w:jc w:val="both"/>
        <w:rPr>
          <w:rFonts w:ascii="Garamond" w:hAnsi="Garamond"/>
        </w:rPr>
      </w:pPr>
    </w:p>
    <w:p w14:paraId="2305BEBC" w14:textId="77777777" w:rsidR="00AB64FD" w:rsidRPr="004C5B23" w:rsidRDefault="00AB64FD" w:rsidP="00AB64FD">
      <w:pPr>
        <w:spacing w:line="360" w:lineRule="auto"/>
        <w:jc w:val="both"/>
        <w:rPr>
          <w:rFonts w:ascii="Garamond" w:hAnsi="Garamond"/>
        </w:rPr>
      </w:pPr>
      <w:r w:rsidRPr="004C5B23">
        <w:rPr>
          <w:rFonts w:ascii="Garamond" w:hAnsi="Garamond"/>
        </w:rPr>
        <w:t xml:space="preserve">Baubeau, P. (2018). The Bank of France's balance sheets database, 1840–1998: an introduction to 158 years of central banking. </w:t>
      </w:r>
      <w:r w:rsidRPr="004C5B23">
        <w:rPr>
          <w:rFonts w:ascii="Garamond" w:hAnsi="Garamond"/>
          <w:i/>
        </w:rPr>
        <w:t>Financial History Review</w:t>
      </w:r>
      <w:r w:rsidRPr="004C5B23">
        <w:rPr>
          <w:rFonts w:ascii="Garamond" w:hAnsi="Garamond"/>
        </w:rPr>
        <w:t>, 25(2), 203-230.</w:t>
      </w:r>
    </w:p>
    <w:p w14:paraId="431E3CEE" w14:textId="77777777" w:rsidR="00AB64FD" w:rsidRPr="004C5B23" w:rsidRDefault="00AB64FD" w:rsidP="00CA2C7F">
      <w:pPr>
        <w:spacing w:line="360" w:lineRule="auto"/>
        <w:jc w:val="both"/>
        <w:rPr>
          <w:rFonts w:ascii="Garamond" w:hAnsi="Garamond"/>
        </w:rPr>
      </w:pPr>
    </w:p>
    <w:p w14:paraId="20143482" w14:textId="6D4D62E5" w:rsidR="00724901" w:rsidRDefault="00724901" w:rsidP="00CA2C7F">
      <w:pPr>
        <w:spacing w:line="360" w:lineRule="auto"/>
        <w:jc w:val="both"/>
        <w:rPr>
          <w:rFonts w:ascii="Garamond" w:hAnsi="Garamond"/>
        </w:rPr>
      </w:pPr>
      <w:r w:rsidRPr="004C5B23">
        <w:rPr>
          <w:rFonts w:ascii="Garamond" w:hAnsi="Garamond"/>
        </w:rPr>
        <w:t xml:space="preserve">Bazot, G., Bordo, M. D., &amp; Monnet, E. (2016). International shocks and the balance sheet of the Bank of France under the classical gold standard. </w:t>
      </w:r>
      <w:r w:rsidRPr="004C5B23">
        <w:rPr>
          <w:rFonts w:ascii="Garamond" w:hAnsi="Garamond"/>
          <w:i/>
          <w:iCs/>
        </w:rPr>
        <w:t>Explorations in Economic History</w:t>
      </w:r>
      <w:r w:rsidRPr="004C5B23">
        <w:rPr>
          <w:rFonts w:ascii="Garamond" w:hAnsi="Garamond"/>
        </w:rPr>
        <w:t xml:space="preserve">, </w:t>
      </w:r>
      <w:r w:rsidRPr="004C5B23">
        <w:rPr>
          <w:rFonts w:ascii="Garamond" w:hAnsi="Garamond"/>
          <w:i/>
          <w:iCs/>
        </w:rPr>
        <w:t>62</w:t>
      </w:r>
      <w:r w:rsidRPr="004C5B23">
        <w:rPr>
          <w:rFonts w:ascii="Garamond" w:hAnsi="Garamond"/>
        </w:rPr>
        <w:t>, 87-107.</w:t>
      </w:r>
    </w:p>
    <w:p w14:paraId="4CD7DE35" w14:textId="00055A87" w:rsidR="00B82A34" w:rsidRDefault="00B82A34" w:rsidP="00CA2C7F">
      <w:pPr>
        <w:spacing w:line="360" w:lineRule="auto"/>
        <w:jc w:val="both"/>
        <w:rPr>
          <w:rFonts w:ascii="Garamond" w:hAnsi="Garamond"/>
        </w:rPr>
      </w:pPr>
    </w:p>
    <w:p w14:paraId="686EA90F" w14:textId="01868D70" w:rsidR="00B82A34" w:rsidRPr="004C5B23" w:rsidRDefault="00B82A34" w:rsidP="00CA2C7F">
      <w:pPr>
        <w:spacing w:line="360" w:lineRule="auto"/>
        <w:jc w:val="both"/>
        <w:rPr>
          <w:rFonts w:ascii="Garamond" w:hAnsi="Garamond"/>
        </w:rPr>
      </w:pPr>
      <w:r>
        <w:rPr>
          <w:rFonts w:ascii="Garamond" w:hAnsi="Garamond"/>
        </w:rPr>
        <w:t xml:space="preserve">Bazot, G., Monnet, E., &amp; Morys, M. (2019), </w:t>
      </w:r>
      <w:r w:rsidRPr="00B82A34">
        <w:rPr>
          <w:rFonts w:ascii="Garamond" w:hAnsi="Garamond"/>
        </w:rPr>
        <w:t>The Flexibility of the Classical Gold Standard (1870s-1914).  Any Lessons for the Eurozone?</w:t>
      </w:r>
      <w:r>
        <w:rPr>
          <w:rFonts w:ascii="Garamond" w:hAnsi="Garamond"/>
        </w:rPr>
        <w:t xml:space="preserve">, </w:t>
      </w:r>
      <w:r w:rsidRPr="00B82A34">
        <w:rPr>
          <w:rFonts w:ascii="Garamond" w:hAnsi="Garamond"/>
          <w:i/>
        </w:rPr>
        <w:t>mimeo</w:t>
      </w:r>
    </w:p>
    <w:p w14:paraId="5249DCE4" w14:textId="13154809" w:rsidR="008D51C9" w:rsidRDefault="008D51C9" w:rsidP="00CA2C7F">
      <w:pPr>
        <w:spacing w:line="360" w:lineRule="auto"/>
        <w:jc w:val="both"/>
        <w:rPr>
          <w:rFonts w:ascii="Garamond" w:hAnsi="Garamond"/>
        </w:rPr>
      </w:pPr>
    </w:p>
    <w:p w14:paraId="40B0E7D2" w14:textId="36967442" w:rsidR="00112AD7" w:rsidRDefault="00112AD7" w:rsidP="00112AD7">
      <w:pPr>
        <w:spacing w:line="360" w:lineRule="auto"/>
        <w:jc w:val="both"/>
        <w:rPr>
          <w:rFonts w:ascii="Garamond" w:hAnsi="Garamond"/>
        </w:rPr>
      </w:pPr>
      <w:r>
        <w:rPr>
          <w:rFonts w:ascii="Garamond" w:hAnsi="Garamond"/>
        </w:rPr>
        <w:t>Bazot, G. (</w:t>
      </w:r>
      <w:r w:rsidRPr="00112AD7">
        <w:rPr>
          <w:rFonts w:ascii="Garamond" w:hAnsi="Garamond"/>
        </w:rPr>
        <w:t>2014</w:t>
      </w:r>
      <w:r>
        <w:rPr>
          <w:rFonts w:ascii="Garamond" w:hAnsi="Garamond"/>
        </w:rPr>
        <w:t>)</w:t>
      </w:r>
      <w:r w:rsidRPr="00112AD7">
        <w:rPr>
          <w:rFonts w:ascii="Garamond" w:hAnsi="Garamond"/>
        </w:rPr>
        <w:t>.</w:t>
      </w:r>
      <w:r>
        <w:rPr>
          <w:rFonts w:ascii="Garamond" w:hAnsi="Garamond"/>
        </w:rPr>
        <w:t xml:space="preserve"> </w:t>
      </w:r>
      <w:r w:rsidRPr="00112AD7">
        <w:rPr>
          <w:rFonts w:ascii="Garamond" w:hAnsi="Garamond"/>
        </w:rPr>
        <w:t>Local</w:t>
      </w:r>
      <w:r>
        <w:rPr>
          <w:rFonts w:ascii="Garamond" w:hAnsi="Garamond"/>
        </w:rPr>
        <w:t xml:space="preserve"> </w:t>
      </w:r>
      <w:r w:rsidRPr="00112AD7">
        <w:rPr>
          <w:rFonts w:ascii="Garamond" w:hAnsi="Garamond"/>
        </w:rPr>
        <w:t>liquidity</w:t>
      </w:r>
      <w:r>
        <w:rPr>
          <w:rFonts w:ascii="Garamond" w:hAnsi="Garamond"/>
        </w:rPr>
        <w:t xml:space="preserve"> </w:t>
      </w:r>
      <w:r w:rsidRPr="00112AD7">
        <w:rPr>
          <w:rFonts w:ascii="Garamond" w:hAnsi="Garamond"/>
        </w:rPr>
        <w:t>constraints:</w:t>
      </w:r>
      <w:r>
        <w:rPr>
          <w:rFonts w:ascii="Garamond" w:hAnsi="Garamond"/>
        </w:rPr>
        <w:t xml:space="preserve"> </w:t>
      </w:r>
      <w:r w:rsidRPr="00112AD7">
        <w:rPr>
          <w:rFonts w:ascii="Garamond" w:hAnsi="Garamond"/>
        </w:rPr>
        <w:t>what</w:t>
      </w:r>
      <w:r>
        <w:rPr>
          <w:rFonts w:ascii="Garamond" w:hAnsi="Garamond"/>
        </w:rPr>
        <w:t xml:space="preserve"> </w:t>
      </w:r>
      <w:r w:rsidRPr="00112AD7">
        <w:rPr>
          <w:rFonts w:ascii="Garamond" w:hAnsi="Garamond"/>
        </w:rPr>
        <w:t>place</w:t>
      </w:r>
      <w:r>
        <w:rPr>
          <w:rFonts w:ascii="Garamond" w:hAnsi="Garamond"/>
        </w:rPr>
        <w:t xml:space="preserve"> </w:t>
      </w:r>
      <w:r w:rsidRPr="00112AD7">
        <w:rPr>
          <w:rFonts w:ascii="Garamond" w:hAnsi="Garamond"/>
        </w:rPr>
        <w:t>for</w:t>
      </w:r>
      <w:r>
        <w:rPr>
          <w:rFonts w:ascii="Garamond" w:hAnsi="Garamond"/>
        </w:rPr>
        <w:t xml:space="preserve"> </w:t>
      </w:r>
      <w:r w:rsidRPr="00112AD7">
        <w:rPr>
          <w:rFonts w:ascii="Garamond" w:hAnsi="Garamond"/>
        </w:rPr>
        <w:t>central</w:t>
      </w:r>
      <w:r>
        <w:rPr>
          <w:rFonts w:ascii="Garamond" w:hAnsi="Garamond"/>
        </w:rPr>
        <w:t xml:space="preserve"> </w:t>
      </w:r>
      <w:r w:rsidRPr="00112AD7">
        <w:rPr>
          <w:rFonts w:ascii="Garamond" w:hAnsi="Garamond"/>
        </w:rPr>
        <w:t>bank</w:t>
      </w:r>
      <w:r>
        <w:rPr>
          <w:rFonts w:ascii="Garamond" w:hAnsi="Garamond"/>
        </w:rPr>
        <w:t xml:space="preserve"> </w:t>
      </w:r>
      <w:r w:rsidRPr="00112AD7">
        <w:rPr>
          <w:rFonts w:ascii="Garamond" w:hAnsi="Garamond"/>
        </w:rPr>
        <w:t>regional</w:t>
      </w:r>
      <w:r>
        <w:rPr>
          <w:rFonts w:ascii="Garamond" w:hAnsi="Garamond"/>
        </w:rPr>
        <w:t xml:space="preserve"> </w:t>
      </w:r>
      <w:r w:rsidRPr="00112AD7">
        <w:rPr>
          <w:rFonts w:ascii="Garamond" w:hAnsi="Garamond"/>
        </w:rPr>
        <w:t>policy?</w:t>
      </w:r>
      <w:r>
        <w:rPr>
          <w:rFonts w:ascii="Garamond" w:hAnsi="Garamond"/>
        </w:rPr>
        <w:t xml:space="preserve"> </w:t>
      </w:r>
      <w:r w:rsidRPr="00112AD7">
        <w:rPr>
          <w:rFonts w:ascii="Garamond" w:hAnsi="Garamond"/>
        </w:rPr>
        <w:t>The</w:t>
      </w:r>
      <w:r>
        <w:rPr>
          <w:rFonts w:ascii="Garamond" w:hAnsi="Garamond"/>
        </w:rPr>
        <w:t xml:space="preserve"> </w:t>
      </w:r>
      <w:r w:rsidRPr="00112AD7">
        <w:rPr>
          <w:rFonts w:ascii="Garamond" w:hAnsi="Garamond"/>
        </w:rPr>
        <w:t>French</w:t>
      </w:r>
      <w:r>
        <w:rPr>
          <w:rFonts w:ascii="Garamond" w:hAnsi="Garamond"/>
        </w:rPr>
        <w:t xml:space="preserve"> </w:t>
      </w:r>
      <w:r w:rsidRPr="00112AD7">
        <w:rPr>
          <w:rFonts w:ascii="Garamond" w:hAnsi="Garamond"/>
        </w:rPr>
        <w:t>experience</w:t>
      </w:r>
      <w:r>
        <w:rPr>
          <w:rFonts w:ascii="Garamond" w:hAnsi="Garamond"/>
        </w:rPr>
        <w:t xml:space="preserve"> </w:t>
      </w:r>
      <w:r w:rsidRPr="00112AD7">
        <w:rPr>
          <w:rFonts w:ascii="Garamond" w:hAnsi="Garamond"/>
        </w:rPr>
        <w:t>during</w:t>
      </w:r>
      <w:r>
        <w:rPr>
          <w:rFonts w:ascii="Garamond" w:hAnsi="Garamond"/>
        </w:rPr>
        <w:t xml:space="preserve"> </w:t>
      </w:r>
      <w:r w:rsidRPr="00112AD7">
        <w:rPr>
          <w:rFonts w:ascii="Garamond" w:hAnsi="Garamond"/>
        </w:rPr>
        <w:t>the</w:t>
      </w:r>
      <w:r>
        <w:rPr>
          <w:rFonts w:ascii="Garamond" w:hAnsi="Garamond"/>
        </w:rPr>
        <w:t xml:space="preserve"> </w:t>
      </w:r>
      <w:r w:rsidRPr="00112AD7">
        <w:rPr>
          <w:rFonts w:ascii="Garamond" w:hAnsi="Garamond"/>
        </w:rPr>
        <w:t>Belle</w:t>
      </w:r>
      <w:r>
        <w:rPr>
          <w:rFonts w:ascii="Garamond" w:hAnsi="Garamond"/>
        </w:rPr>
        <w:t xml:space="preserve"> </w:t>
      </w:r>
      <w:r w:rsidRPr="00112AD7">
        <w:rPr>
          <w:rFonts w:ascii="Garamond" w:hAnsi="Garamond"/>
        </w:rPr>
        <w:t>Époque</w:t>
      </w:r>
      <w:r>
        <w:rPr>
          <w:rFonts w:ascii="Garamond" w:hAnsi="Garamond"/>
        </w:rPr>
        <w:t xml:space="preserve"> (1880–1913), </w:t>
      </w:r>
      <w:r w:rsidRPr="00112AD7">
        <w:rPr>
          <w:rFonts w:ascii="Garamond" w:hAnsi="Garamond"/>
          <w:i/>
        </w:rPr>
        <w:t>Exploration in Economic History</w:t>
      </w:r>
      <w:r w:rsidRPr="00112AD7">
        <w:rPr>
          <w:rFonts w:ascii="Garamond" w:hAnsi="Garamond"/>
        </w:rPr>
        <w:t>. Vol. 52(C), 44–62.</w:t>
      </w:r>
    </w:p>
    <w:p w14:paraId="6385D806" w14:textId="77777777" w:rsidR="00112AD7" w:rsidRPr="004C5B23" w:rsidRDefault="00112AD7" w:rsidP="00112AD7">
      <w:pPr>
        <w:spacing w:line="360" w:lineRule="auto"/>
        <w:jc w:val="both"/>
        <w:rPr>
          <w:rFonts w:ascii="Garamond" w:hAnsi="Garamond"/>
        </w:rPr>
      </w:pPr>
    </w:p>
    <w:p w14:paraId="7979D769" w14:textId="2D4E827D" w:rsidR="008D51C9" w:rsidRPr="004C5B23" w:rsidRDefault="008D51C9" w:rsidP="00CA2C7F">
      <w:pPr>
        <w:spacing w:line="360" w:lineRule="auto"/>
        <w:jc w:val="both"/>
        <w:rPr>
          <w:rFonts w:ascii="Garamond" w:hAnsi="Garamond"/>
        </w:rPr>
      </w:pPr>
      <w:r w:rsidRPr="004C5B23">
        <w:rPr>
          <w:rFonts w:ascii="Garamond" w:hAnsi="Garamond"/>
        </w:rPr>
        <w:t>Blanchard, O., &amp; Adler, G. (2015). Can Foreign Exchange Intervention Stem Exchange Rate Pressures from Global Capital Flow Shocks? (No. w21427). National Bureau of Economic Research.</w:t>
      </w:r>
    </w:p>
    <w:p w14:paraId="76126E27" w14:textId="77777777" w:rsidR="00724901" w:rsidRPr="004C5B23" w:rsidRDefault="00724901" w:rsidP="00CA2C7F">
      <w:pPr>
        <w:spacing w:line="360" w:lineRule="auto"/>
        <w:jc w:val="both"/>
        <w:rPr>
          <w:rFonts w:ascii="Garamond" w:hAnsi="Garamond"/>
        </w:rPr>
      </w:pPr>
    </w:p>
    <w:p w14:paraId="3C18D09E" w14:textId="77777777" w:rsidR="00724901" w:rsidRPr="004C5B23" w:rsidRDefault="00724901" w:rsidP="00CA2C7F">
      <w:pPr>
        <w:spacing w:line="360" w:lineRule="auto"/>
        <w:jc w:val="both"/>
        <w:rPr>
          <w:rFonts w:ascii="Garamond" w:hAnsi="Garamond"/>
        </w:rPr>
      </w:pPr>
      <w:r w:rsidRPr="004C5B23">
        <w:rPr>
          <w:rFonts w:ascii="Garamond" w:hAnsi="Garamond"/>
        </w:rPr>
        <w:t xml:space="preserve">Bloomfield, A.I, (1959), </w:t>
      </w:r>
      <w:r w:rsidRPr="004C5B23">
        <w:rPr>
          <w:rFonts w:ascii="Garamond" w:hAnsi="Garamond"/>
          <w:i/>
        </w:rPr>
        <w:t>Monetary Policy under the International Gold Standard: 1880–1915</w:t>
      </w:r>
      <w:r w:rsidRPr="004C5B23">
        <w:rPr>
          <w:rFonts w:ascii="Garamond" w:hAnsi="Garamond"/>
        </w:rPr>
        <w:t>. New York: Federal Reserve Bank of New York.</w:t>
      </w:r>
    </w:p>
    <w:p w14:paraId="77A8A52E" w14:textId="77777777" w:rsidR="00117EE5" w:rsidRPr="004C5B23" w:rsidRDefault="00117EE5" w:rsidP="00CA2C7F">
      <w:pPr>
        <w:spacing w:line="360" w:lineRule="auto"/>
        <w:jc w:val="both"/>
        <w:rPr>
          <w:rFonts w:ascii="Garamond" w:hAnsi="Garamond"/>
        </w:rPr>
      </w:pPr>
    </w:p>
    <w:p w14:paraId="1BD5D012" w14:textId="713B257D" w:rsidR="00117EE5" w:rsidRDefault="00117EE5" w:rsidP="00CA2C7F">
      <w:pPr>
        <w:spacing w:line="360" w:lineRule="auto"/>
        <w:jc w:val="both"/>
        <w:rPr>
          <w:rFonts w:ascii="Garamond" w:hAnsi="Garamond"/>
        </w:rPr>
      </w:pPr>
      <w:r w:rsidRPr="004C5B23">
        <w:rPr>
          <w:rFonts w:ascii="Garamond" w:hAnsi="Garamond"/>
        </w:rPr>
        <w:t>Bloomfield, A. I. (1963). Short-term capital movements under the pre-1914 gold standard (No. 11). International Finance Section, Dept. of Economics, Princeton University.</w:t>
      </w:r>
    </w:p>
    <w:p w14:paraId="051A2187" w14:textId="79AEE801" w:rsidR="00AB64FD" w:rsidRDefault="00AB64FD" w:rsidP="00CA2C7F">
      <w:pPr>
        <w:spacing w:line="360" w:lineRule="auto"/>
        <w:jc w:val="both"/>
        <w:rPr>
          <w:rFonts w:ascii="Garamond" w:hAnsi="Garamond"/>
        </w:rPr>
      </w:pPr>
    </w:p>
    <w:p w14:paraId="460774B6" w14:textId="485F0D26" w:rsidR="00AB64FD" w:rsidRPr="004C5B23" w:rsidRDefault="00AB64FD" w:rsidP="00CA2C7F">
      <w:pPr>
        <w:spacing w:line="360" w:lineRule="auto"/>
        <w:jc w:val="both"/>
        <w:rPr>
          <w:rFonts w:ascii="Garamond" w:hAnsi="Garamond"/>
        </w:rPr>
      </w:pPr>
      <w:r w:rsidRPr="00AB64FD">
        <w:rPr>
          <w:rFonts w:ascii="Garamond" w:hAnsi="Garamond"/>
        </w:rPr>
        <w:t xml:space="preserve">Bordo, M. D., &amp; Kydland, F. E. (1995). The gold standard as a rule: An essay in exploration. </w:t>
      </w:r>
      <w:r w:rsidRPr="00AB64FD">
        <w:rPr>
          <w:rFonts w:ascii="Garamond" w:hAnsi="Garamond"/>
          <w:i/>
        </w:rPr>
        <w:t>Explorations in Economic History</w:t>
      </w:r>
      <w:r w:rsidRPr="00AB64FD">
        <w:rPr>
          <w:rFonts w:ascii="Garamond" w:hAnsi="Garamond"/>
        </w:rPr>
        <w:t>, 32(4), 423-464.</w:t>
      </w:r>
    </w:p>
    <w:p w14:paraId="1F082062" w14:textId="77777777" w:rsidR="00724901" w:rsidRPr="004C5B23" w:rsidRDefault="00724901" w:rsidP="00CA2C7F">
      <w:pPr>
        <w:spacing w:line="360" w:lineRule="auto"/>
        <w:jc w:val="both"/>
        <w:rPr>
          <w:rFonts w:ascii="Garamond" w:hAnsi="Garamond"/>
        </w:rPr>
      </w:pPr>
    </w:p>
    <w:p w14:paraId="15CF010F" w14:textId="164A8F6D" w:rsidR="00724901" w:rsidRDefault="00724901" w:rsidP="00CA2C7F">
      <w:pPr>
        <w:spacing w:line="360" w:lineRule="auto"/>
        <w:jc w:val="both"/>
        <w:rPr>
          <w:rFonts w:ascii="Garamond" w:hAnsi="Garamond" w:cs="Arial"/>
          <w:color w:val="222222"/>
          <w:shd w:val="clear" w:color="auto" w:fill="FFFFFF"/>
        </w:rPr>
      </w:pPr>
      <w:r w:rsidRPr="004C5B23">
        <w:rPr>
          <w:rFonts w:ascii="Garamond" w:hAnsi="Garamond" w:cs="Arial"/>
          <w:color w:val="222222"/>
          <w:shd w:val="clear" w:color="auto" w:fill="FFFFFF"/>
        </w:rPr>
        <w:t>Bordo, M. D., &amp; Flandreau, M. (2003). “Core, periphery, exchange rate regimes, and globalization”. In </w:t>
      </w:r>
      <w:r w:rsidRPr="004C5B23">
        <w:rPr>
          <w:rFonts w:ascii="Garamond" w:hAnsi="Garamond" w:cs="Arial"/>
          <w:i/>
          <w:iCs/>
          <w:color w:val="222222"/>
          <w:shd w:val="clear" w:color="auto" w:fill="FFFFFF"/>
        </w:rPr>
        <w:t>Globalization in historical perspective</w:t>
      </w:r>
      <w:r w:rsidRPr="004C5B23">
        <w:rPr>
          <w:rFonts w:ascii="Garamond" w:hAnsi="Garamond" w:cs="Arial"/>
          <w:color w:val="222222"/>
          <w:shd w:val="clear" w:color="auto" w:fill="FFFFFF"/>
        </w:rPr>
        <w:t> (pp. 417-472). University of Chicago Press.</w:t>
      </w:r>
    </w:p>
    <w:p w14:paraId="456CF4CE" w14:textId="665EB7D8" w:rsidR="00E11EC3" w:rsidRDefault="00E11EC3" w:rsidP="00CA2C7F">
      <w:pPr>
        <w:spacing w:line="360" w:lineRule="auto"/>
        <w:jc w:val="both"/>
        <w:rPr>
          <w:rFonts w:ascii="Garamond" w:hAnsi="Garamond" w:cs="Arial"/>
          <w:color w:val="222222"/>
          <w:shd w:val="clear" w:color="auto" w:fill="FFFFFF"/>
        </w:rPr>
      </w:pPr>
    </w:p>
    <w:p w14:paraId="5ABFC9C9" w14:textId="55B6CCA7" w:rsidR="00E11EC3" w:rsidRDefault="00E11EC3" w:rsidP="00CA2C7F">
      <w:pPr>
        <w:spacing w:line="360" w:lineRule="auto"/>
        <w:jc w:val="both"/>
        <w:rPr>
          <w:rFonts w:ascii="Garamond" w:hAnsi="Garamond" w:cs="Arial"/>
          <w:color w:val="222222"/>
          <w:shd w:val="clear" w:color="auto" w:fill="FFFFFF"/>
        </w:rPr>
      </w:pPr>
      <w:r w:rsidRPr="00E11EC3">
        <w:rPr>
          <w:rFonts w:ascii="Garamond" w:hAnsi="Garamond" w:cs="Arial"/>
          <w:color w:val="222222"/>
          <w:shd w:val="clear" w:color="auto" w:fill="FFFFFF"/>
        </w:rPr>
        <w:t>Bordo, M. D., &amp; Wheelock, D. C. (2011). The promise and performance of the Federal Reserve as lender of last resort 1914-1933 (No. w16763). National Bureau of Economic Research.</w:t>
      </w:r>
    </w:p>
    <w:p w14:paraId="60D607BF" w14:textId="384CE25A" w:rsidR="00C63B9B" w:rsidRDefault="00C63B9B" w:rsidP="00CA2C7F">
      <w:pPr>
        <w:spacing w:line="360" w:lineRule="auto"/>
        <w:jc w:val="both"/>
        <w:rPr>
          <w:rFonts w:ascii="Garamond" w:hAnsi="Garamond" w:cs="Arial"/>
          <w:color w:val="222222"/>
          <w:shd w:val="clear" w:color="auto" w:fill="FFFFFF"/>
        </w:rPr>
      </w:pPr>
    </w:p>
    <w:p w14:paraId="7894649E" w14:textId="7826C982" w:rsidR="00C63B9B" w:rsidRPr="004C5B23" w:rsidRDefault="00C63B9B" w:rsidP="00CA2C7F">
      <w:pPr>
        <w:spacing w:line="360" w:lineRule="auto"/>
        <w:jc w:val="both"/>
        <w:rPr>
          <w:rFonts w:ascii="Garamond" w:hAnsi="Garamond" w:cs="Arial"/>
          <w:color w:val="222222"/>
          <w:shd w:val="clear" w:color="auto" w:fill="FFFFFF"/>
        </w:rPr>
      </w:pPr>
      <w:r w:rsidRPr="00C63B9B">
        <w:rPr>
          <w:rFonts w:ascii="Garamond" w:hAnsi="Garamond" w:cs="Arial"/>
          <w:color w:val="222222"/>
          <w:shd w:val="clear" w:color="auto" w:fill="FFFFFF"/>
        </w:rPr>
        <w:t xml:space="preserve">Bordo, M. D., Humpage, O. F., &amp; Schwartz, A. J. (2015). </w:t>
      </w:r>
      <w:r w:rsidRPr="00C63B9B">
        <w:rPr>
          <w:rFonts w:ascii="Garamond" w:hAnsi="Garamond" w:cs="Arial"/>
          <w:i/>
          <w:color w:val="222222"/>
          <w:shd w:val="clear" w:color="auto" w:fill="FFFFFF"/>
        </w:rPr>
        <w:t>Strained Relations: US Foreign-Exchange Operations and Monetary Policy in the Twentieth Century</w:t>
      </w:r>
      <w:r w:rsidRPr="00C63B9B">
        <w:rPr>
          <w:rFonts w:ascii="Garamond" w:hAnsi="Garamond" w:cs="Arial"/>
          <w:color w:val="222222"/>
          <w:shd w:val="clear" w:color="auto" w:fill="FFFFFF"/>
        </w:rPr>
        <w:t>. University of Chicago Press.</w:t>
      </w:r>
    </w:p>
    <w:p w14:paraId="41684B6E" w14:textId="77777777" w:rsidR="00724901" w:rsidRPr="004C5B23" w:rsidRDefault="00724901" w:rsidP="00CA2C7F">
      <w:pPr>
        <w:spacing w:line="360" w:lineRule="auto"/>
        <w:jc w:val="both"/>
        <w:rPr>
          <w:rFonts w:ascii="Garamond" w:hAnsi="Garamond"/>
        </w:rPr>
      </w:pPr>
    </w:p>
    <w:p w14:paraId="59229087" w14:textId="77777777" w:rsidR="00724901" w:rsidRPr="004C5B23" w:rsidRDefault="00724901" w:rsidP="00CA2C7F">
      <w:pPr>
        <w:spacing w:line="360" w:lineRule="auto"/>
        <w:jc w:val="both"/>
        <w:rPr>
          <w:rFonts w:ascii="Garamond" w:hAnsi="Garamond"/>
        </w:rPr>
      </w:pPr>
      <w:r w:rsidRPr="004C5B23">
        <w:rPr>
          <w:rFonts w:ascii="Garamond" w:hAnsi="Garamond"/>
        </w:rPr>
        <w:t xml:space="preserve">Bruno, V., &amp; Shin, H. S. (2015). Capital flows and the risk-taking channel of monetary policy. </w:t>
      </w:r>
      <w:r w:rsidRPr="004C5B23">
        <w:rPr>
          <w:rFonts w:ascii="Garamond" w:hAnsi="Garamond"/>
          <w:i/>
          <w:iCs/>
        </w:rPr>
        <w:t>Journal of Monetary Economics</w:t>
      </w:r>
      <w:r w:rsidRPr="004C5B23">
        <w:rPr>
          <w:rFonts w:ascii="Garamond" w:hAnsi="Garamond"/>
        </w:rPr>
        <w:t xml:space="preserve">, </w:t>
      </w:r>
      <w:r w:rsidRPr="004C5B23">
        <w:rPr>
          <w:rFonts w:ascii="Garamond" w:hAnsi="Garamond"/>
          <w:i/>
          <w:iCs/>
        </w:rPr>
        <w:t>71</w:t>
      </w:r>
      <w:r w:rsidRPr="004C5B23">
        <w:rPr>
          <w:rFonts w:ascii="Garamond" w:hAnsi="Garamond"/>
        </w:rPr>
        <w:t>, 119-132.</w:t>
      </w:r>
    </w:p>
    <w:p w14:paraId="007EB731" w14:textId="77777777" w:rsidR="00544ABB" w:rsidRPr="004C5B23" w:rsidRDefault="00544ABB" w:rsidP="00CA2C7F">
      <w:pPr>
        <w:spacing w:line="360" w:lineRule="auto"/>
        <w:jc w:val="both"/>
        <w:rPr>
          <w:rFonts w:ascii="Garamond" w:hAnsi="Garamond"/>
        </w:rPr>
      </w:pPr>
    </w:p>
    <w:p w14:paraId="1846823C" w14:textId="30325666" w:rsidR="00544ABB" w:rsidRPr="004C5B23" w:rsidRDefault="00544ABB" w:rsidP="00CA2C7F">
      <w:pPr>
        <w:spacing w:line="360" w:lineRule="auto"/>
        <w:jc w:val="both"/>
        <w:rPr>
          <w:rFonts w:ascii="Garamond" w:hAnsi="Garamond"/>
        </w:rPr>
      </w:pPr>
      <w:r w:rsidRPr="004C5B23">
        <w:rPr>
          <w:rFonts w:ascii="Garamond" w:hAnsi="Garamond"/>
        </w:rPr>
        <w:t xml:space="preserve">Cesarano, F., Cifarelli, G., &amp; Toniolo, G. (2012). Exchange Rate Regimes and Reserve Policy: The Italian Lira, 1883–1911. </w:t>
      </w:r>
      <w:r w:rsidRPr="004C5B23">
        <w:rPr>
          <w:rFonts w:ascii="Garamond" w:hAnsi="Garamond"/>
          <w:i/>
        </w:rPr>
        <w:t>Open Economies Review</w:t>
      </w:r>
      <w:r w:rsidRPr="004C5B23">
        <w:rPr>
          <w:rFonts w:ascii="Garamond" w:hAnsi="Garamond"/>
        </w:rPr>
        <w:t>, 23(2), 253-275.</w:t>
      </w:r>
    </w:p>
    <w:p w14:paraId="1E0F7585" w14:textId="77777777" w:rsidR="00724901" w:rsidRPr="004C5B23" w:rsidRDefault="00724901" w:rsidP="00CA2C7F">
      <w:pPr>
        <w:spacing w:line="360" w:lineRule="auto"/>
        <w:jc w:val="both"/>
        <w:rPr>
          <w:rFonts w:ascii="Garamond" w:hAnsi="Garamond"/>
        </w:rPr>
      </w:pPr>
    </w:p>
    <w:p w14:paraId="521C2710" w14:textId="77777777" w:rsidR="00724901" w:rsidRPr="004C5B23" w:rsidRDefault="00724901" w:rsidP="00CA2C7F">
      <w:pPr>
        <w:spacing w:line="360" w:lineRule="auto"/>
        <w:jc w:val="both"/>
        <w:rPr>
          <w:rFonts w:ascii="Garamond" w:hAnsi="Garamond"/>
          <w:lang w:val="fr-FR"/>
        </w:rPr>
      </w:pPr>
      <w:r w:rsidRPr="004C5B23">
        <w:rPr>
          <w:rFonts w:ascii="Garamond" w:hAnsi="Garamond"/>
        </w:rPr>
        <w:t xml:space="preserve">Conant, C. A. (1915). </w:t>
      </w:r>
      <w:r w:rsidRPr="004C5B23">
        <w:rPr>
          <w:rFonts w:ascii="Garamond" w:hAnsi="Garamond"/>
          <w:i/>
        </w:rPr>
        <w:t>A history of modern banks of issue</w:t>
      </w:r>
      <w:r w:rsidRPr="004C5B23">
        <w:rPr>
          <w:rFonts w:ascii="Garamond" w:hAnsi="Garamond"/>
        </w:rPr>
        <w:t xml:space="preserve">. </w:t>
      </w:r>
      <w:r w:rsidRPr="004C5B23">
        <w:rPr>
          <w:rFonts w:ascii="Garamond" w:hAnsi="Garamond"/>
          <w:lang w:val="fr-FR"/>
        </w:rPr>
        <w:t>GP Putnam's sons.</w:t>
      </w:r>
    </w:p>
    <w:p w14:paraId="1D13700C" w14:textId="77777777" w:rsidR="00724901" w:rsidRPr="004C5B23" w:rsidRDefault="00724901" w:rsidP="00CA2C7F">
      <w:pPr>
        <w:spacing w:line="360" w:lineRule="auto"/>
        <w:jc w:val="both"/>
        <w:rPr>
          <w:rFonts w:ascii="Garamond" w:hAnsi="Garamond"/>
          <w:lang w:val="fr-FR"/>
        </w:rPr>
      </w:pPr>
    </w:p>
    <w:p w14:paraId="0DBE5108" w14:textId="77777777" w:rsidR="00724901" w:rsidRPr="004C5B23" w:rsidRDefault="00724901" w:rsidP="00CA2C7F">
      <w:pPr>
        <w:spacing w:line="360" w:lineRule="auto"/>
        <w:jc w:val="both"/>
        <w:rPr>
          <w:rFonts w:ascii="Garamond" w:hAnsi="Garamond"/>
          <w:lang w:val="fr-FR"/>
        </w:rPr>
      </w:pPr>
      <w:r w:rsidRPr="004C5B23">
        <w:rPr>
          <w:rFonts w:ascii="Garamond" w:hAnsi="Garamond"/>
          <w:lang w:val="fr-FR"/>
        </w:rPr>
        <w:t xml:space="preserve">Contamin, R. (2003). Interdépendances financières et dilemme de politique monétaire. </w:t>
      </w:r>
      <w:r w:rsidRPr="004C5B23">
        <w:rPr>
          <w:rFonts w:ascii="Garamond" w:hAnsi="Garamond"/>
          <w:i/>
          <w:iCs/>
          <w:lang w:val="fr-FR"/>
        </w:rPr>
        <w:t>Revue économique</w:t>
      </w:r>
      <w:r w:rsidRPr="004C5B23">
        <w:rPr>
          <w:rFonts w:ascii="Garamond" w:hAnsi="Garamond"/>
          <w:lang w:val="fr-FR"/>
        </w:rPr>
        <w:t xml:space="preserve">, </w:t>
      </w:r>
      <w:r w:rsidRPr="004C5B23">
        <w:rPr>
          <w:rFonts w:ascii="Garamond" w:hAnsi="Garamond"/>
          <w:i/>
          <w:iCs/>
          <w:lang w:val="fr-FR"/>
        </w:rPr>
        <w:t>54</w:t>
      </w:r>
      <w:r w:rsidRPr="004C5B23">
        <w:rPr>
          <w:rFonts w:ascii="Garamond" w:hAnsi="Garamond"/>
          <w:lang w:val="fr-FR"/>
        </w:rPr>
        <w:t>(1), 157-179.</w:t>
      </w:r>
    </w:p>
    <w:p w14:paraId="59375D1F" w14:textId="77777777" w:rsidR="00724901" w:rsidRPr="004C5B23" w:rsidRDefault="00724901" w:rsidP="00CA2C7F">
      <w:pPr>
        <w:spacing w:line="360" w:lineRule="auto"/>
        <w:jc w:val="both"/>
        <w:rPr>
          <w:rFonts w:ascii="Garamond" w:hAnsi="Garamond"/>
          <w:lang w:val="fr-FR"/>
        </w:rPr>
      </w:pPr>
    </w:p>
    <w:p w14:paraId="3BFC5776" w14:textId="77777777" w:rsidR="00724901" w:rsidRPr="004C5B23" w:rsidRDefault="00724901" w:rsidP="00CA2C7F">
      <w:pPr>
        <w:spacing w:line="360" w:lineRule="auto"/>
        <w:jc w:val="both"/>
        <w:rPr>
          <w:rFonts w:ascii="Garamond" w:hAnsi="Garamond"/>
        </w:rPr>
      </w:pPr>
      <w:r w:rsidRPr="00CF151B">
        <w:rPr>
          <w:rFonts w:ascii="Garamond" w:hAnsi="Garamond"/>
          <w:lang w:val="fr-FR"/>
        </w:rPr>
        <w:t xml:space="preserve">Davis, J. H., Hanes, C., &amp; Rhode, P. W. (2009). </w:t>
      </w:r>
      <w:r w:rsidRPr="004C5B23">
        <w:rPr>
          <w:rFonts w:ascii="Garamond" w:hAnsi="Garamond"/>
        </w:rPr>
        <w:t xml:space="preserve">Harvests and business cycles in nineteenth-century America. </w:t>
      </w:r>
      <w:r w:rsidRPr="004C5B23">
        <w:rPr>
          <w:rFonts w:ascii="Garamond" w:hAnsi="Garamond"/>
          <w:i/>
        </w:rPr>
        <w:t>The Quarterly Journal of Economics</w:t>
      </w:r>
      <w:r w:rsidRPr="004C5B23">
        <w:rPr>
          <w:rFonts w:ascii="Garamond" w:hAnsi="Garamond"/>
        </w:rPr>
        <w:t>, 124(4), 1675-1727</w:t>
      </w:r>
    </w:p>
    <w:p w14:paraId="5AB4249B" w14:textId="77777777" w:rsidR="00724901" w:rsidRPr="004C5B23" w:rsidRDefault="00724901" w:rsidP="00CA2C7F">
      <w:pPr>
        <w:spacing w:line="360" w:lineRule="auto"/>
        <w:jc w:val="both"/>
        <w:rPr>
          <w:rFonts w:ascii="Garamond" w:hAnsi="Garamond"/>
        </w:rPr>
      </w:pPr>
    </w:p>
    <w:p w14:paraId="4BED26E0" w14:textId="77777777" w:rsidR="00724901" w:rsidRPr="004C5B23" w:rsidRDefault="00724901" w:rsidP="00CA2C7F">
      <w:pPr>
        <w:spacing w:line="360" w:lineRule="auto"/>
        <w:jc w:val="both"/>
        <w:rPr>
          <w:rFonts w:ascii="Garamond" w:hAnsi="Garamond"/>
        </w:rPr>
      </w:pPr>
      <w:r w:rsidRPr="004C5B23">
        <w:rPr>
          <w:rFonts w:ascii="Garamond" w:hAnsi="Garamond"/>
        </w:rPr>
        <w:t xml:space="preserve">Dutton, J. (1984). The Bank of England and the rules of the game under the international gold standard: new evidence. In </w:t>
      </w:r>
      <w:r w:rsidRPr="004C5B23">
        <w:rPr>
          <w:rFonts w:ascii="Garamond" w:hAnsi="Garamond"/>
          <w:i/>
          <w:iCs/>
        </w:rPr>
        <w:t>A retrospective on the classical gold standard, 1821-1931</w:t>
      </w:r>
      <w:r w:rsidRPr="004C5B23">
        <w:rPr>
          <w:rFonts w:ascii="Garamond" w:hAnsi="Garamond"/>
        </w:rPr>
        <w:t xml:space="preserve"> (pp. 173-202). University of Chicago Press.</w:t>
      </w:r>
    </w:p>
    <w:p w14:paraId="67F9F2BC" w14:textId="77777777" w:rsidR="00117EE5" w:rsidRPr="004C5B23" w:rsidRDefault="00117EE5" w:rsidP="00CA2C7F">
      <w:pPr>
        <w:spacing w:line="360" w:lineRule="auto"/>
        <w:jc w:val="both"/>
        <w:rPr>
          <w:rFonts w:ascii="Garamond" w:hAnsi="Garamond"/>
        </w:rPr>
      </w:pPr>
    </w:p>
    <w:p w14:paraId="3C546639" w14:textId="3ED762E6" w:rsidR="00117EE5" w:rsidRPr="004C5B23" w:rsidRDefault="00117EE5" w:rsidP="00CA2C7F">
      <w:pPr>
        <w:spacing w:line="360" w:lineRule="auto"/>
        <w:jc w:val="both"/>
        <w:rPr>
          <w:rFonts w:ascii="Garamond" w:hAnsi="Garamond"/>
        </w:rPr>
      </w:pPr>
      <w:r w:rsidRPr="004C5B23">
        <w:rPr>
          <w:rFonts w:ascii="Garamond" w:hAnsi="Garamond"/>
        </w:rPr>
        <w:t xml:space="preserve">Drummond, I. M. (1976). The Russian gold standard, 1897–1914. </w:t>
      </w:r>
      <w:r w:rsidRPr="004C5B23">
        <w:rPr>
          <w:rFonts w:ascii="Garamond" w:hAnsi="Garamond"/>
          <w:i/>
        </w:rPr>
        <w:t>The Journal of Economic History</w:t>
      </w:r>
      <w:r w:rsidRPr="004C5B23">
        <w:rPr>
          <w:rFonts w:ascii="Garamond" w:hAnsi="Garamond"/>
        </w:rPr>
        <w:t>, 36(3), 663-688.</w:t>
      </w:r>
    </w:p>
    <w:p w14:paraId="02BFF4B0" w14:textId="77777777" w:rsidR="00B27B20" w:rsidRPr="004C5B23" w:rsidRDefault="00B27B20" w:rsidP="00CA2C7F">
      <w:pPr>
        <w:spacing w:line="360" w:lineRule="auto"/>
        <w:jc w:val="both"/>
        <w:rPr>
          <w:rFonts w:ascii="Garamond" w:hAnsi="Garamond"/>
        </w:rPr>
      </w:pPr>
    </w:p>
    <w:p w14:paraId="07A928A4" w14:textId="568D3891" w:rsidR="00B27B20" w:rsidRPr="004C5B23" w:rsidRDefault="00B27B20" w:rsidP="00CA2C7F">
      <w:pPr>
        <w:spacing w:line="360" w:lineRule="auto"/>
        <w:jc w:val="both"/>
        <w:rPr>
          <w:rFonts w:ascii="Garamond" w:hAnsi="Garamond"/>
        </w:rPr>
      </w:pPr>
      <w:r w:rsidRPr="004C5B23">
        <w:rPr>
          <w:rFonts w:ascii="Garamond" w:hAnsi="Garamond"/>
        </w:rPr>
        <w:t xml:space="preserve">Eichengreen, B. (1987). Conducting the international orchestra: Bank of England leadership under the classical gold standard. </w:t>
      </w:r>
      <w:r w:rsidRPr="004C5B23">
        <w:rPr>
          <w:rFonts w:ascii="Garamond" w:hAnsi="Garamond"/>
          <w:i/>
        </w:rPr>
        <w:t>Journal of international Money and Finance</w:t>
      </w:r>
      <w:r w:rsidRPr="004C5B23">
        <w:rPr>
          <w:rFonts w:ascii="Garamond" w:hAnsi="Garamond"/>
        </w:rPr>
        <w:t>, 6(1), 5-29.</w:t>
      </w:r>
    </w:p>
    <w:p w14:paraId="63F92DAC" w14:textId="77777777" w:rsidR="00724901" w:rsidRPr="004C5B23" w:rsidRDefault="00724901" w:rsidP="00CA2C7F">
      <w:pPr>
        <w:spacing w:line="360" w:lineRule="auto"/>
        <w:jc w:val="both"/>
        <w:rPr>
          <w:rFonts w:ascii="Garamond" w:hAnsi="Garamond"/>
        </w:rPr>
      </w:pPr>
    </w:p>
    <w:p w14:paraId="695A1891" w14:textId="77777777" w:rsidR="00724901" w:rsidRPr="004C5B23" w:rsidRDefault="00724901" w:rsidP="00CA2C7F">
      <w:pPr>
        <w:spacing w:line="360" w:lineRule="auto"/>
        <w:jc w:val="both"/>
        <w:rPr>
          <w:rFonts w:ascii="Garamond" w:hAnsi="Garamond"/>
        </w:rPr>
      </w:pPr>
      <w:r w:rsidRPr="004C5B23">
        <w:rPr>
          <w:rFonts w:ascii="Garamond" w:hAnsi="Garamond"/>
        </w:rPr>
        <w:t xml:space="preserve">Esteves, R. P., Reis, J., &amp; Ferramosca, F. (2009). Market integration in the golden periphery. The Lisbon/London exchange, 1854–1891. </w:t>
      </w:r>
      <w:r w:rsidRPr="004C5B23">
        <w:rPr>
          <w:rFonts w:ascii="Garamond" w:hAnsi="Garamond"/>
          <w:i/>
          <w:iCs/>
        </w:rPr>
        <w:t>Explorations in Economic History</w:t>
      </w:r>
      <w:r w:rsidRPr="004C5B23">
        <w:rPr>
          <w:rFonts w:ascii="Garamond" w:hAnsi="Garamond"/>
        </w:rPr>
        <w:t xml:space="preserve">, </w:t>
      </w:r>
      <w:r w:rsidRPr="004C5B23">
        <w:rPr>
          <w:rFonts w:ascii="Garamond" w:hAnsi="Garamond"/>
          <w:i/>
          <w:iCs/>
        </w:rPr>
        <w:t>46</w:t>
      </w:r>
      <w:r w:rsidRPr="004C5B23">
        <w:rPr>
          <w:rFonts w:ascii="Garamond" w:hAnsi="Garamond"/>
        </w:rPr>
        <w:t>(3), 324-345.</w:t>
      </w:r>
    </w:p>
    <w:p w14:paraId="406D60E5" w14:textId="77777777" w:rsidR="00724901" w:rsidRPr="004C5B23" w:rsidRDefault="00724901" w:rsidP="00CA2C7F">
      <w:pPr>
        <w:spacing w:line="360" w:lineRule="auto"/>
        <w:jc w:val="both"/>
        <w:rPr>
          <w:rFonts w:ascii="Garamond" w:hAnsi="Garamond"/>
        </w:rPr>
      </w:pPr>
    </w:p>
    <w:p w14:paraId="3F2B1273" w14:textId="77777777" w:rsidR="00724901" w:rsidRPr="004C5B23" w:rsidRDefault="00724901" w:rsidP="00CA2C7F">
      <w:pPr>
        <w:spacing w:line="360" w:lineRule="auto"/>
        <w:jc w:val="both"/>
        <w:rPr>
          <w:rFonts w:ascii="Garamond" w:hAnsi="Garamond"/>
        </w:rPr>
      </w:pPr>
      <w:r w:rsidRPr="004C5B23">
        <w:rPr>
          <w:rFonts w:ascii="Garamond" w:hAnsi="Garamond"/>
        </w:rPr>
        <w:t xml:space="preserve">Farhi, E., &amp; Werning, I. (2014). Dilemma not trilemma? Capital controls and exchange rates with volatile capital flows. </w:t>
      </w:r>
      <w:r w:rsidRPr="004C5B23">
        <w:rPr>
          <w:rFonts w:ascii="Garamond" w:hAnsi="Garamond"/>
          <w:i/>
          <w:iCs/>
        </w:rPr>
        <w:t>IMF Economic Review</w:t>
      </w:r>
      <w:r w:rsidRPr="004C5B23">
        <w:rPr>
          <w:rFonts w:ascii="Garamond" w:hAnsi="Garamond"/>
        </w:rPr>
        <w:t xml:space="preserve">, </w:t>
      </w:r>
      <w:r w:rsidRPr="004C5B23">
        <w:rPr>
          <w:rFonts w:ascii="Garamond" w:hAnsi="Garamond"/>
          <w:i/>
          <w:iCs/>
        </w:rPr>
        <w:t>62</w:t>
      </w:r>
      <w:r w:rsidRPr="004C5B23">
        <w:rPr>
          <w:rFonts w:ascii="Garamond" w:hAnsi="Garamond"/>
        </w:rPr>
        <w:t>(4), 569-605.</w:t>
      </w:r>
    </w:p>
    <w:p w14:paraId="726F96C6" w14:textId="77777777" w:rsidR="00724901" w:rsidRPr="004C5B23" w:rsidRDefault="00724901" w:rsidP="00CA2C7F">
      <w:pPr>
        <w:spacing w:line="360" w:lineRule="auto"/>
        <w:jc w:val="both"/>
        <w:rPr>
          <w:rFonts w:ascii="Garamond" w:hAnsi="Garamond"/>
        </w:rPr>
      </w:pPr>
    </w:p>
    <w:p w14:paraId="3DF81155" w14:textId="3F8C1B83" w:rsidR="00724901" w:rsidRDefault="00724901" w:rsidP="00CA2C7F">
      <w:pPr>
        <w:spacing w:line="360" w:lineRule="auto"/>
        <w:jc w:val="both"/>
        <w:rPr>
          <w:rFonts w:ascii="Garamond" w:hAnsi="Garamond"/>
        </w:rPr>
      </w:pPr>
      <w:r w:rsidRPr="004C5B23">
        <w:rPr>
          <w:rFonts w:ascii="Garamond" w:hAnsi="Garamond"/>
        </w:rPr>
        <w:t xml:space="preserve">Ferguson, N., Schaab, A., &amp; Schularick, M. (2015). </w:t>
      </w:r>
      <w:r w:rsidRPr="004C5B23">
        <w:rPr>
          <w:rFonts w:ascii="Garamond" w:hAnsi="Garamond"/>
          <w:i/>
          <w:iCs/>
        </w:rPr>
        <w:t>Central Bank Balance Sheets: Expansion and Reduction since 1900</w:t>
      </w:r>
      <w:r w:rsidRPr="004C5B23">
        <w:rPr>
          <w:rFonts w:ascii="Garamond" w:hAnsi="Garamond"/>
        </w:rPr>
        <w:t xml:space="preserve"> (No. 10635). CEPR Discussion Papers.</w:t>
      </w:r>
    </w:p>
    <w:p w14:paraId="7D083991" w14:textId="77777777" w:rsidR="00B77BDA" w:rsidRDefault="00B77BDA" w:rsidP="00CA2C7F">
      <w:pPr>
        <w:spacing w:line="360" w:lineRule="auto"/>
        <w:jc w:val="both"/>
        <w:rPr>
          <w:rFonts w:ascii="Garamond" w:hAnsi="Garamond"/>
        </w:rPr>
      </w:pPr>
    </w:p>
    <w:p w14:paraId="7DCF2C39" w14:textId="51F1A76B" w:rsidR="00B77BDA" w:rsidRPr="004C5B23" w:rsidRDefault="00B77BDA" w:rsidP="00CA2C7F">
      <w:pPr>
        <w:spacing w:line="360" w:lineRule="auto"/>
        <w:jc w:val="both"/>
        <w:rPr>
          <w:rFonts w:ascii="Garamond" w:hAnsi="Garamond"/>
        </w:rPr>
      </w:pPr>
      <w:r w:rsidRPr="00B77BDA">
        <w:rPr>
          <w:rFonts w:ascii="Garamond" w:hAnsi="Garamond"/>
        </w:rPr>
        <w:t>Fratianni, M., &amp; Spinelli, F. (1984). Italy in the gold standard period, 1861-1914. In A Retrospective on the Classical Gold Standard, 1821-1931 (pp. 405-454). University of Chicago Press.</w:t>
      </w:r>
    </w:p>
    <w:p w14:paraId="70BDB6D4" w14:textId="77777777" w:rsidR="00724901" w:rsidRPr="004C5B23" w:rsidRDefault="00724901" w:rsidP="00CA2C7F">
      <w:pPr>
        <w:spacing w:line="360" w:lineRule="auto"/>
        <w:jc w:val="both"/>
        <w:rPr>
          <w:rFonts w:ascii="Garamond" w:hAnsi="Garamond"/>
        </w:rPr>
      </w:pPr>
    </w:p>
    <w:p w14:paraId="391BD1C3" w14:textId="77777777" w:rsidR="00724901" w:rsidRDefault="00724901" w:rsidP="00CA2C7F">
      <w:pPr>
        <w:spacing w:line="360" w:lineRule="auto"/>
        <w:jc w:val="both"/>
        <w:rPr>
          <w:rFonts w:ascii="Garamond" w:hAnsi="Garamond"/>
        </w:rPr>
      </w:pPr>
      <w:r w:rsidRPr="004C5B23">
        <w:rPr>
          <w:rFonts w:ascii="Garamond" w:hAnsi="Garamond"/>
        </w:rPr>
        <w:t xml:space="preserve">Hanes, C., &amp; Rhode, P. W. (2013). Harvests and financial crises in gold standard america. </w:t>
      </w:r>
      <w:r w:rsidRPr="004C5B23">
        <w:rPr>
          <w:rFonts w:ascii="Garamond" w:hAnsi="Garamond"/>
          <w:i/>
          <w:iCs/>
        </w:rPr>
        <w:t>The Journal of Economic History</w:t>
      </w:r>
      <w:r w:rsidRPr="004C5B23">
        <w:rPr>
          <w:rFonts w:ascii="Garamond" w:hAnsi="Garamond"/>
        </w:rPr>
        <w:t xml:space="preserve">, </w:t>
      </w:r>
      <w:r w:rsidRPr="004C5B23">
        <w:rPr>
          <w:rFonts w:ascii="Garamond" w:hAnsi="Garamond"/>
          <w:i/>
          <w:iCs/>
        </w:rPr>
        <w:t>73</w:t>
      </w:r>
      <w:r w:rsidRPr="004C5B23">
        <w:rPr>
          <w:rFonts w:ascii="Garamond" w:hAnsi="Garamond"/>
        </w:rPr>
        <w:t>(1), 201-246.</w:t>
      </w:r>
    </w:p>
    <w:p w14:paraId="42A609B2" w14:textId="77777777" w:rsidR="000E61CD" w:rsidRDefault="000E61CD" w:rsidP="00CA2C7F">
      <w:pPr>
        <w:spacing w:line="360" w:lineRule="auto"/>
        <w:jc w:val="both"/>
        <w:rPr>
          <w:rFonts w:ascii="Garamond" w:hAnsi="Garamond"/>
        </w:rPr>
      </w:pPr>
    </w:p>
    <w:p w14:paraId="76CEC3DB" w14:textId="661339FF" w:rsidR="000E61CD" w:rsidRPr="004C5B23" w:rsidRDefault="000E61CD" w:rsidP="00CA2C7F">
      <w:pPr>
        <w:spacing w:line="360" w:lineRule="auto"/>
        <w:jc w:val="both"/>
        <w:rPr>
          <w:rFonts w:ascii="Garamond" w:hAnsi="Garamond"/>
        </w:rPr>
      </w:pPr>
      <w:r w:rsidRPr="000E61CD">
        <w:rPr>
          <w:rFonts w:ascii="Garamond" w:hAnsi="Garamond"/>
        </w:rPr>
        <w:t xml:space="preserve">Hautcoeur, P. C., Riva, A., &amp; White, E. N. (2014). Floating a “lifeboat”: The Banque de France and the crisis of 1889. </w:t>
      </w:r>
      <w:r w:rsidRPr="000E61CD">
        <w:rPr>
          <w:rFonts w:ascii="Garamond" w:hAnsi="Garamond"/>
          <w:i/>
        </w:rPr>
        <w:t>Journal of Monetary Economics</w:t>
      </w:r>
      <w:r w:rsidRPr="000E61CD">
        <w:rPr>
          <w:rFonts w:ascii="Garamond" w:hAnsi="Garamond"/>
        </w:rPr>
        <w:t>, 65, 104-119.</w:t>
      </w:r>
    </w:p>
    <w:p w14:paraId="58E32332" w14:textId="77777777" w:rsidR="00544ABB" w:rsidRPr="004C5B23" w:rsidRDefault="00544ABB" w:rsidP="00CA2C7F">
      <w:pPr>
        <w:spacing w:line="360" w:lineRule="auto"/>
        <w:jc w:val="both"/>
        <w:rPr>
          <w:rFonts w:ascii="Garamond" w:hAnsi="Garamond"/>
        </w:rPr>
      </w:pPr>
    </w:p>
    <w:p w14:paraId="64DA301F" w14:textId="08E130E2" w:rsidR="00544ABB" w:rsidRDefault="00544ABB" w:rsidP="00CA2C7F">
      <w:pPr>
        <w:spacing w:line="360" w:lineRule="auto"/>
        <w:jc w:val="both"/>
        <w:rPr>
          <w:rFonts w:ascii="Garamond" w:hAnsi="Garamond"/>
        </w:rPr>
      </w:pPr>
      <w:r w:rsidRPr="004C5B23">
        <w:rPr>
          <w:rFonts w:ascii="Garamond" w:hAnsi="Garamond"/>
        </w:rPr>
        <w:t xml:space="preserve">Jonung, L. (1984). Swedish experience under the classical gold standard, 1873-1914. In </w:t>
      </w:r>
      <w:r w:rsidRPr="004C5B23">
        <w:rPr>
          <w:rFonts w:ascii="Garamond" w:hAnsi="Garamond"/>
          <w:i/>
        </w:rPr>
        <w:t>A Retrospective on the Classical Gold Standard, 1821-1931</w:t>
      </w:r>
      <w:r w:rsidRPr="004C5B23">
        <w:rPr>
          <w:rFonts w:ascii="Garamond" w:hAnsi="Garamond"/>
        </w:rPr>
        <w:t xml:space="preserve"> (pp. 361-404). University of Chicago Press.</w:t>
      </w:r>
    </w:p>
    <w:p w14:paraId="421CF1FE" w14:textId="6C011E21" w:rsidR="00FF0CB7" w:rsidRDefault="00FF0CB7" w:rsidP="00CA2C7F">
      <w:pPr>
        <w:spacing w:line="360" w:lineRule="auto"/>
        <w:jc w:val="both"/>
        <w:rPr>
          <w:rFonts w:ascii="Garamond" w:hAnsi="Garamond"/>
        </w:rPr>
      </w:pPr>
    </w:p>
    <w:p w14:paraId="01EDC6A9" w14:textId="43698215" w:rsidR="00112AD7" w:rsidRPr="00734D90" w:rsidRDefault="00112AD7" w:rsidP="00112AD7">
      <w:pPr>
        <w:spacing w:line="360" w:lineRule="auto"/>
        <w:jc w:val="both"/>
        <w:rPr>
          <w:rFonts w:ascii="Garamond" w:hAnsi="Garamond"/>
        </w:rPr>
      </w:pPr>
      <w:r w:rsidRPr="00112AD7">
        <w:rPr>
          <w:rFonts w:ascii="Garamond" w:hAnsi="Garamond"/>
          <w:lang w:val="fr-FR"/>
        </w:rPr>
        <w:t>Jobst, C., 2010. Gouverner une banque centrale décentralisée : l'exemple</w:t>
      </w:r>
      <w:r>
        <w:rPr>
          <w:rFonts w:ascii="Garamond" w:hAnsi="Garamond"/>
          <w:lang w:val="fr-FR"/>
        </w:rPr>
        <w:t xml:space="preserve"> austro-hongrois</w:t>
      </w:r>
      <w:r w:rsidRPr="00112AD7">
        <w:rPr>
          <w:rFonts w:ascii="Garamond" w:hAnsi="Garamond"/>
          <w:lang w:val="fr-FR"/>
        </w:rPr>
        <w:t xml:space="preserve"> (1847–1914). In: Feiertag, O., Margairaz, M. (Eds.), Gouverner une banque centrale. </w:t>
      </w:r>
      <w:r w:rsidRPr="00112AD7">
        <w:rPr>
          <w:rFonts w:ascii="Garamond" w:hAnsi="Garamond"/>
        </w:rPr>
        <w:t>Albin Michel, Paris</w:t>
      </w:r>
    </w:p>
    <w:p w14:paraId="711E194E" w14:textId="77777777" w:rsidR="00112AD7" w:rsidRDefault="00112AD7" w:rsidP="00112AD7">
      <w:pPr>
        <w:spacing w:line="360" w:lineRule="auto"/>
        <w:jc w:val="both"/>
        <w:rPr>
          <w:rFonts w:ascii="Garamond" w:hAnsi="Garamond"/>
        </w:rPr>
      </w:pPr>
    </w:p>
    <w:p w14:paraId="1B6488E4" w14:textId="4CBBCD77" w:rsidR="00FF0CB7" w:rsidRDefault="00FF0CB7" w:rsidP="00CA2C7F">
      <w:pPr>
        <w:spacing w:line="360" w:lineRule="auto"/>
        <w:jc w:val="both"/>
        <w:rPr>
          <w:rFonts w:ascii="Garamond" w:hAnsi="Garamond"/>
        </w:rPr>
      </w:pPr>
      <w:r w:rsidRPr="00FF0CB7">
        <w:rPr>
          <w:rFonts w:ascii="Garamond" w:hAnsi="Garamond"/>
        </w:rPr>
        <w:t xml:space="preserve">Jordà, Ò. (2005). Estimation and inference of impulse responses by local projections. </w:t>
      </w:r>
      <w:r w:rsidRPr="00FF0CB7">
        <w:rPr>
          <w:rFonts w:ascii="Garamond" w:hAnsi="Garamond"/>
          <w:i/>
        </w:rPr>
        <w:t>American economic review,</w:t>
      </w:r>
      <w:r w:rsidRPr="00FF0CB7">
        <w:rPr>
          <w:rFonts w:ascii="Garamond" w:hAnsi="Garamond"/>
        </w:rPr>
        <w:t xml:space="preserve"> 95(1), 161-182.</w:t>
      </w:r>
    </w:p>
    <w:p w14:paraId="5BC62179" w14:textId="35ACAAEB" w:rsidR="00616F25" w:rsidRDefault="00616F25" w:rsidP="00CA2C7F">
      <w:pPr>
        <w:spacing w:line="360" w:lineRule="auto"/>
        <w:jc w:val="both"/>
        <w:rPr>
          <w:rFonts w:ascii="Garamond" w:hAnsi="Garamond"/>
        </w:rPr>
      </w:pPr>
    </w:p>
    <w:p w14:paraId="3C25C9EB" w14:textId="0E680648" w:rsidR="00616F25" w:rsidRDefault="00616F25" w:rsidP="00CA2C7F">
      <w:pPr>
        <w:spacing w:line="360" w:lineRule="auto"/>
        <w:jc w:val="both"/>
        <w:rPr>
          <w:rFonts w:ascii="Garamond" w:hAnsi="Garamond"/>
        </w:rPr>
      </w:pPr>
      <w:r w:rsidRPr="00616F25">
        <w:rPr>
          <w:rFonts w:ascii="Garamond" w:hAnsi="Garamond"/>
        </w:rPr>
        <w:t xml:space="preserve">Jordà, Ò., Schularick, M., &amp; Taylor, A. M. (2015). Betting the house. </w:t>
      </w:r>
      <w:r w:rsidRPr="00616F25">
        <w:rPr>
          <w:rFonts w:ascii="Garamond" w:hAnsi="Garamond"/>
          <w:i/>
        </w:rPr>
        <w:t>Journal of International Economics,</w:t>
      </w:r>
      <w:r w:rsidRPr="00616F25">
        <w:rPr>
          <w:rFonts w:ascii="Garamond" w:hAnsi="Garamond"/>
        </w:rPr>
        <w:t xml:space="preserve"> 96, S2-S18.</w:t>
      </w:r>
    </w:p>
    <w:p w14:paraId="386839AC" w14:textId="77777777" w:rsidR="00FF0CB7" w:rsidRDefault="00FF0CB7" w:rsidP="00CA2C7F">
      <w:pPr>
        <w:spacing w:line="360" w:lineRule="auto"/>
        <w:jc w:val="both"/>
        <w:rPr>
          <w:rFonts w:ascii="Garamond" w:hAnsi="Garamond"/>
        </w:rPr>
      </w:pPr>
    </w:p>
    <w:p w14:paraId="1E863214" w14:textId="7C06070B" w:rsidR="00FF0CB7" w:rsidRPr="004C5B23" w:rsidRDefault="00FF0CB7" w:rsidP="00CA2C7F">
      <w:pPr>
        <w:spacing w:line="360" w:lineRule="auto"/>
        <w:jc w:val="both"/>
        <w:rPr>
          <w:rFonts w:ascii="Garamond" w:hAnsi="Garamond"/>
        </w:rPr>
      </w:pPr>
      <w:r w:rsidRPr="00FF0CB7">
        <w:rPr>
          <w:rFonts w:ascii="Garamond" w:hAnsi="Garamond"/>
        </w:rPr>
        <w:t xml:space="preserve">Jordà, Ò., Schularick, M., &amp; Taylor, A. M. (2019). The effects of quasi-random monetary experiments. </w:t>
      </w:r>
      <w:r w:rsidRPr="00FF0CB7">
        <w:rPr>
          <w:rFonts w:ascii="Garamond" w:hAnsi="Garamond"/>
          <w:i/>
        </w:rPr>
        <w:t>Journal of Monetary Economics.</w:t>
      </w:r>
    </w:p>
    <w:p w14:paraId="7B4AEB4C" w14:textId="77777777" w:rsidR="00724901" w:rsidRPr="004C5B23" w:rsidRDefault="00724901" w:rsidP="00CA2C7F">
      <w:pPr>
        <w:spacing w:line="360" w:lineRule="auto"/>
        <w:jc w:val="both"/>
        <w:rPr>
          <w:rFonts w:ascii="Garamond" w:hAnsi="Garamond"/>
        </w:rPr>
      </w:pPr>
    </w:p>
    <w:p w14:paraId="0431AB10" w14:textId="77777777" w:rsidR="00724901" w:rsidRPr="004C5B23" w:rsidRDefault="00724901" w:rsidP="00CA2C7F">
      <w:pPr>
        <w:spacing w:line="360" w:lineRule="auto"/>
        <w:jc w:val="both"/>
        <w:rPr>
          <w:rFonts w:ascii="Garamond" w:hAnsi="Garamond"/>
        </w:rPr>
      </w:pPr>
      <w:r w:rsidRPr="004C5B23">
        <w:rPr>
          <w:rFonts w:ascii="Garamond" w:hAnsi="Garamond"/>
        </w:rPr>
        <w:t xml:space="preserve">Kim, S. (2001). International transmission of US monetary policy shocks: Evidence from VAR's. </w:t>
      </w:r>
      <w:r w:rsidRPr="004C5B23">
        <w:rPr>
          <w:rFonts w:ascii="Garamond" w:hAnsi="Garamond"/>
          <w:i/>
          <w:iCs/>
        </w:rPr>
        <w:t>Journal of Monetary Economics</w:t>
      </w:r>
      <w:r w:rsidRPr="004C5B23">
        <w:rPr>
          <w:rFonts w:ascii="Garamond" w:hAnsi="Garamond"/>
        </w:rPr>
        <w:t xml:space="preserve">, </w:t>
      </w:r>
      <w:r w:rsidRPr="004C5B23">
        <w:rPr>
          <w:rFonts w:ascii="Garamond" w:hAnsi="Garamond"/>
          <w:i/>
          <w:iCs/>
        </w:rPr>
        <w:t>48</w:t>
      </w:r>
      <w:r w:rsidRPr="004C5B23">
        <w:rPr>
          <w:rFonts w:ascii="Garamond" w:hAnsi="Garamond"/>
        </w:rPr>
        <w:t>(2), 339-372.</w:t>
      </w:r>
    </w:p>
    <w:p w14:paraId="007C4062" w14:textId="77777777" w:rsidR="00724901" w:rsidRPr="004C5B23" w:rsidRDefault="00724901" w:rsidP="00CA2C7F">
      <w:pPr>
        <w:spacing w:line="360" w:lineRule="auto"/>
        <w:jc w:val="both"/>
        <w:rPr>
          <w:rFonts w:ascii="Garamond" w:hAnsi="Garamond"/>
        </w:rPr>
      </w:pPr>
    </w:p>
    <w:p w14:paraId="39BEB297" w14:textId="77777777" w:rsidR="00724901" w:rsidRPr="00CF151B" w:rsidRDefault="00724901" w:rsidP="00CA2C7F">
      <w:pPr>
        <w:spacing w:line="360" w:lineRule="auto"/>
        <w:jc w:val="both"/>
        <w:rPr>
          <w:rFonts w:ascii="Garamond" w:hAnsi="Garamond"/>
          <w:lang w:val="en-US"/>
        </w:rPr>
      </w:pPr>
      <w:r w:rsidRPr="004C5B23">
        <w:rPr>
          <w:rFonts w:ascii="Garamond" w:hAnsi="Garamond"/>
        </w:rPr>
        <w:t xml:space="preserve">Klein, M. W., &amp; Shambaugh, J. C. (2015). Rounding the corners of the policy trilemma: sources of monetary policy autonomy. </w:t>
      </w:r>
      <w:r w:rsidRPr="00CF151B">
        <w:rPr>
          <w:rFonts w:ascii="Garamond" w:hAnsi="Garamond"/>
          <w:i/>
          <w:iCs/>
          <w:lang w:val="en-US"/>
        </w:rPr>
        <w:t>American Economic Journal: Macroeconomics</w:t>
      </w:r>
      <w:r w:rsidRPr="00CF151B">
        <w:rPr>
          <w:rFonts w:ascii="Garamond" w:hAnsi="Garamond"/>
          <w:lang w:val="en-US"/>
        </w:rPr>
        <w:t xml:space="preserve">, </w:t>
      </w:r>
      <w:r w:rsidRPr="00CF151B">
        <w:rPr>
          <w:rFonts w:ascii="Garamond" w:hAnsi="Garamond"/>
          <w:i/>
          <w:iCs/>
          <w:lang w:val="en-US"/>
        </w:rPr>
        <w:t>7</w:t>
      </w:r>
      <w:r w:rsidRPr="00CF151B">
        <w:rPr>
          <w:rFonts w:ascii="Garamond" w:hAnsi="Garamond"/>
          <w:lang w:val="en-US"/>
        </w:rPr>
        <w:t>(4), 33-66.</w:t>
      </w:r>
    </w:p>
    <w:p w14:paraId="78142854" w14:textId="77777777" w:rsidR="0007323B" w:rsidRPr="00CF151B" w:rsidRDefault="0007323B" w:rsidP="00CA2C7F">
      <w:pPr>
        <w:spacing w:line="360" w:lineRule="auto"/>
        <w:jc w:val="both"/>
        <w:rPr>
          <w:rFonts w:ascii="Garamond" w:hAnsi="Garamond"/>
          <w:lang w:val="en-US"/>
        </w:rPr>
      </w:pPr>
    </w:p>
    <w:p w14:paraId="385C0924" w14:textId="2D76ED46" w:rsidR="0007323B" w:rsidRPr="004C5B23" w:rsidRDefault="0007323B" w:rsidP="00CA2C7F">
      <w:pPr>
        <w:spacing w:line="360" w:lineRule="auto"/>
        <w:jc w:val="both"/>
        <w:rPr>
          <w:rFonts w:ascii="Garamond" w:hAnsi="Garamond"/>
          <w:lang w:val="fr-FR"/>
        </w:rPr>
      </w:pPr>
      <w:r w:rsidRPr="004C5B23">
        <w:rPr>
          <w:rFonts w:ascii="Garamond" w:hAnsi="Garamond"/>
          <w:lang w:val="en-US"/>
        </w:rPr>
        <w:t xml:space="preserve">Lennard, J. (2018). Did monetary policy matter? Narrative evidence from the classical gold standard. </w:t>
      </w:r>
      <w:r w:rsidRPr="004C5B23">
        <w:rPr>
          <w:rFonts w:ascii="Garamond" w:hAnsi="Garamond"/>
          <w:i/>
          <w:lang w:val="fr-FR"/>
        </w:rPr>
        <w:t>Explorations in Economic History,</w:t>
      </w:r>
      <w:r w:rsidRPr="004C5B23">
        <w:rPr>
          <w:rFonts w:ascii="Garamond" w:hAnsi="Garamond"/>
          <w:lang w:val="fr-FR"/>
        </w:rPr>
        <w:t xml:space="preserve"> 68, 16-36.</w:t>
      </w:r>
    </w:p>
    <w:p w14:paraId="63D60D2B" w14:textId="77777777" w:rsidR="00724901" w:rsidRPr="004C5B23" w:rsidRDefault="00724901" w:rsidP="00CA2C7F">
      <w:pPr>
        <w:spacing w:line="360" w:lineRule="auto"/>
        <w:jc w:val="both"/>
        <w:rPr>
          <w:rFonts w:ascii="Garamond" w:hAnsi="Garamond"/>
          <w:lang w:val="fr-FR"/>
        </w:rPr>
      </w:pPr>
    </w:p>
    <w:p w14:paraId="25C40669" w14:textId="77777777" w:rsidR="00724901" w:rsidRPr="00CF151B" w:rsidRDefault="00724901" w:rsidP="00CA2C7F">
      <w:pPr>
        <w:spacing w:line="360" w:lineRule="auto"/>
        <w:jc w:val="both"/>
        <w:rPr>
          <w:rFonts w:ascii="Garamond" w:hAnsi="Garamond"/>
          <w:lang w:val="fr-FR"/>
        </w:rPr>
      </w:pPr>
      <w:r w:rsidRPr="004C5B23">
        <w:rPr>
          <w:rFonts w:ascii="Garamond" w:hAnsi="Garamond"/>
          <w:lang w:val="fr-FR"/>
        </w:rPr>
        <w:t xml:space="preserve">Lévy, R. G. (1911). </w:t>
      </w:r>
      <w:r w:rsidRPr="004C5B23">
        <w:rPr>
          <w:rFonts w:ascii="Garamond" w:hAnsi="Garamond"/>
          <w:i/>
          <w:lang w:val="fr-FR"/>
        </w:rPr>
        <w:t>Banques d'émission et Trésors publics</w:t>
      </w:r>
      <w:r w:rsidRPr="004C5B23">
        <w:rPr>
          <w:rFonts w:ascii="Garamond" w:hAnsi="Garamond"/>
          <w:lang w:val="fr-FR"/>
        </w:rPr>
        <w:t xml:space="preserve">. </w:t>
      </w:r>
      <w:r w:rsidRPr="00CF151B">
        <w:rPr>
          <w:rFonts w:ascii="Garamond" w:hAnsi="Garamond"/>
          <w:lang w:val="fr-FR"/>
        </w:rPr>
        <w:t>Hachette.</w:t>
      </w:r>
    </w:p>
    <w:p w14:paraId="44083803" w14:textId="77777777" w:rsidR="00DB36B9" w:rsidRPr="00CF151B" w:rsidRDefault="00DB36B9" w:rsidP="00CA2C7F">
      <w:pPr>
        <w:spacing w:line="360" w:lineRule="auto"/>
        <w:jc w:val="both"/>
        <w:rPr>
          <w:rFonts w:ascii="Garamond" w:hAnsi="Garamond"/>
          <w:lang w:val="fr-FR"/>
        </w:rPr>
      </w:pPr>
    </w:p>
    <w:p w14:paraId="6C36B12D" w14:textId="77777777" w:rsidR="00724901" w:rsidRDefault="00724901" w:rsidP="00CA2C7F">
      <w:pPr>
        <w:spacing w:line="360" w:lineRule="auto"/>
        <w:jc w:val="both"/>
        <w:rPr>
          <w:rFonts w:ascii="Garamond" w:hAnsi="Garamond"/>
        </w:rPr>
      </w:pPr>
      <w:r w:rsidRPr="004C5B23">
        <w:rPr>
          <w:rFonts w:ascii="Garamond" w:hAnsi="Garamond"/>
        </w:rPr>
        <w:t xml:space="preserve">Lindert, P. H. (1969). </w:t>
      </w:r>
      <w:r w:rsidRPr="004C5B23">
        <w:rPr>
          <w:rFonts w:ascii="Garamond" w:hAnsi="Garamond"/>
          <w:i/>
          <w:iCs/>
        </w:rPr>
        <w:t>Key currencies and gold, 1900-1913</w:t>
      </w:r>
      <w:r w:rsidRPr="004C5B23">
        <w:rPr>
          <w:rFonts w:ascii="Garamond" w:hAnsi="Garamond"/>
        </w:rPr>
        <w:t xml:space="preserve"> (No. 24). International Finance Section, Princeton University.</w:t>
      </w:r>
    </w:p>
    <w:p w14:paraId="78328933" w14:textId="77777777" w:rsidR="000E61CD" w:rsidRDefault="000E61CD" w:rsidP="00CA2C7F">
      <w:pPr>
        <w:spacing w:line="360" w:lineRule="auto"/>
        <w:jc w:val="both"/>
        <w:rPr>
          <w:rFonts w:ascii="Garamond" w:hAnsi="Garamond"/>
        </w:rPr>
      </w:pPr>
    </w:p>
    <w:p w14:paraId="45C659FF" w14:textId="2A8B7220" w:rsidR="000E61CD" w:rsidRPr="004C5B23" w:rsidRDefault="000E61CD" w:rsidP="00CA2C7F">
      <w:pPr>
        <w:spacing w:line="360" w:lineRule="auto"/>
        <w:jc w:val="both"/>
        <w:rPr>
          <w:rFonts w:ascii="Garamond" w:hAnsi="Garamond"/>
        </w:rPr>
      </w:pPr>
      <w:r w:rsidRPr="000E61CD">
        <w:rPr>
          <w:rFonts w:ascii="Garamond" w:hAnsi="Garamond"/>
        </w:rPr>
        <w:t xml:space="preserve">Mankiw, N. G., &amp; Miron, J. A. (1986). The changing behavior of the term structure of interest rates. </w:t>
      </w:r>
      <w:r w:rsidRPr="000E61CD">
        <w:rPr>
          <w:rFonts w:ascii="Garamond" w:hAnsi="Garamond"/>
          <w:i/>
        </w:rPr>
        <w:t>The Quarterly Journal of Economics</w:t>
      </w:r>
      <w:r w:rsidRPr="000E61CD">
        <w:rPr>
          <w:rFonts w:ascii="Garamond" w:hAnsi="Garamond"/>
        </w:rPr>
        <w:t>, 101(2), 211-228.</w:t>
      </w:r>
    </w:p>
    <w:p w14:paraId="0937ECAF" w14:textId="77777777" w:rsidR="00724901" w:rsidRPr="004C5B23" w:rsidRDefault="00724901" w:rsidP="00CA2C7F">
      <w:pPr>
        <w:spacing w:line="360" w:lineRule="auto"/>
        <w:jc w:val="both"/>
        <w:rPr>
          <w:rFonts w:ascii="Garamond" w:hAnsi="Garamond"/>
        </w:rPr>
      </w:pPr>
    </w:p>
    <w:p w14:paraId="417FA740" w14:textId="77777777" w:rsidR="00724901" w:rsidRPr="004C5B23" w:rsidRDefault="00724901" w:rsidP="00CA2C7F">
      <w:pPr>
        <w:spacing w:line="360" w:lineRule="auto"/>
        <w:jc w:val="both"/>
        <w:rPr>
          <w:rFonts w:ascii="Garamond" w:hAnsi="Garamond"/>
        </w:rPr>
      </w:pPr>
      <w:r w:rsidRPr="004C5B23">
        <w:rPr>
          <w:rFonts w:ascii="Garamond" w:hAnsi="Garamond"/>
        </w:rPr>
        <w:t xml:space="preserve">Martín-Aceña P. and Tortella T. (2013). Regulation and Supervision: The Rise of Central Banks’ Research Departments. In Battilossi S. and Reis, J.  </w:t>
      </w:r>
      <w:r w:rsidRPr="004C5B23">
        <w:rPr>
          <w:rFonts w:ascii="Garamond" w:hAnsi="Garamond"/>
          <w:i/>
        </w:rPr>
        <w:t xml:space="preserve">State and Financial Systems in Europe and the USA </w:t>
      </w:r>
      <w:r w:rsidRPr="004C5B23">
        <w:rPr>
          <w:rFonts w:ascii="Garamond" w:hAnsi="Garamond"/>
        </w:rPr>
        <w:t>(pp. 155-164). Routledge.</w:t>
      </w:r>
    </w:p>
    <w:p w14:paraId="59402C7F" w14:textId="77777777" w:rsidR="00724901" w:rsidRPr="004C5B23" w:rsidRDefault="00724901" w:rsidP="00CA2C7F">
      <w:pPr>
        <w:spacing w:line="360" w:lineRule="auto"/>
        <w:jc w:val="both"/>
        <w:rPr>
          <w:rFonts w:ascii="Garamond" w:hAnsi="Garamond"/>
        </w:rPr>
      </w:pPr>
    </w:p>
    <w:p w14:paraId="0DF7F3B5" w14:textId="77777777" w:rsidR="00724901" w:rsidRDefault="00724901" w:rsidP="00CA2C7F">
      <w:pPr>
        <w:spacing w:line="360" w:lineRule="auto"/>
        <w:jc w:val="both"/>
        <w:rPr>
          <w:rFonts w:ascii="Garamond" w:hAnsi="Garamond"/>
        </w:rPr>
      </w:pPr>
      <w:r w:rsidRPr="004C5B23">
        <w:rPr>
          <w:rFonts w:ascii="Garamond" w:hAnsi="Garamond"/>
        </w:rPr>
        <w:t xml:space="preserve">Martín-Aceña, P., Martínez-Ruiz, E., &amp; Nogues-Marco, P. (2012). Floating against the Tide: Spanish Monetary Policy 1870–1931. In </w:t>
      </w:r>
      <w:r w:rsidRPr="004C5B23">
        <w:rPr>
          <w:rFonts w:ascii="Garamond" w:hAnsi="Garamond"/>
          <w:i/>
          <w:iCs/>
        </w:rPr>
        <w:t>The Gold Standard Peripheries</w:t>
      </w:r>
      <w:r w:rsidRPr="004C5B23">
        <w:rPr>
          <w:rFonts w:ascii="Garamond" w:hAnsi="Garamond"/>
        </w:rPr>
        <w:t xml:space="preserve"> (pp. 145-173). Palgrave Macmillan, London.</w:t>
      </w:r>
    </w:p>
    <w:p w14:paraId="7C4D2BFC" w14:textId="77777777" w:rsidR="00724901" w:rsidRPr="004C5B23" w:rsidRDefault="00724901" w:rsidP="00CA2C7F">
      <w:pPr>
        <w:spacing w:line="360" w:lineRule="auto"/>
        <w:jc w:val="both"/>
        <w:rPr>
          <w:rFonts w:ascii="Garamond" w:hAnsi="Garamond"/>
        </w:rPr>
      </w:pPr>
    </w:p>
    <w:p w14:paraId="379D5C75" w14:textId="77777777" w:rsidR="00724901" w:rsidRPr="004C5B23" w:rsidRDefault="00724901" w:rsidP="00CA2C7F">
      <w:pPr>
        <w:spacing w:line="360" w:lineRule="auto"/>
        <w:jc w:val="both"/>
        <w:rPr>
          <w:rFonts w:ascii="Garamond" w:hAnsi="Garamond"/>
        </w:rPr>
      </w:pPr>
      <w:r w:rsidRPr="004C5B23">
        <w:rPr>
          <w:rFonts w:ascii="Garamond" w:hAnsi="Garamond"/>
        </w:rPr>
        <w:t xml:space="preserve">McGouldrick, P. (1984). Operations of the German Central Bank and the Rules of the Game, 1879-1913. In </w:t>
      </w:r>
      <w:r w:rsidRPr="004C5B23">
        <w:rPr>
          <w:rFonts w:ascii="Garamond" w:hAnsi="Garamond"/>
          <w:i/>
          <w:iCs/>
        </w:rPr>
        <w:t>A Retrospective on the Classical Gold Standard, 1821-1931</w:t>
      </w:r>
      <w:r w:rsidRPr="004C5B23">
        <w:rPr>
          <w:rFonts w:ascii="Garamond" w:hAnsi="Garamond"/>
        </w:rPr>
        <w:t xml:space="preserve"> (pp. 311-360). University of Chicago Press.</w:t>
      </w:r>
    </w:p>
    <w:p w14:paraId="2AF0BC5D" w14:textId="77777777" w:rsidR="00724901" w:rsidRPr="004C5B23" w:rsidRDefault="00724901" w:rsidP="00CA2C7F">
      <w:pPr>
        <w:spacing w:line="360" w:lineRule="auto"/>
        <w:jc w:val="both"/>
        <w:rPr>
          <w:rFonts w:ascii="Garamond" w:hAnsi="Garamond"/>
        </w:rPr>
      </w:pPr>
    </w:p>
    <w:p w14:paraId="7076F6AD" w14:textId="77777777" w:rsidR="00724901" w:rsidRPr="004C5B23" w:rsidRDefault="00724901" w:rsidP="00CA2C7F">
      <w:pPr>
        <w:spacing w:line="360" w:lineRule="auto"/>
        <w:jc w:val="both"/>
        <w:rPr>
          <w:rFonts w:ascii="Garamond" w:hAnsi="Garamond"/>
        </w:rPr>
      </w:pPr>
      <w:r w:rsidRPr="004C5B23">
        <w:rPr>
          <w:rFonts w:ascii="Garamond" w:hAnsi="Garamond"/>
        </w:rPr>
        <w:t xml:space="preserve">Miranda-Agrippino, S., &amp; Rey, H. (2018). US monetary policy and the global financial cycle. </w:t>
      </w:r>
      <w:r w:rsidRPr="004C5B23">
        <w:rPr>
          <w:rFonts w:ascii="Garamond" w:hAnsi="Garamond"/>
          <w:i/>
          <w:iCs/>
        </w:rPr>
        <w:t>NBER working paper</w:t>
      </w:r>
      <w:r w:rsidRPr="004C5B23">
        <w:rPr>
          <w:rFonts w:ascii="Garamond" w:hAnsi="Garamond"/>
        </w:rPr>
        <w:t>, n°</w:t>
      </w:r>
      <w:r w:rsidRPr="004C5B23">
        <w:rPr>
          <w:rFonts w:ascii="Garamond" w:hAnsi="Garamond"/>
          <w:i/>
          <w:iCs/>
        </w:rPr>
        <w:t>21722</w:t>
      </w:r>
      <w:r w:rsidRPr="004C5B23">
        <w:rPr>
          <w:rFonts w:ascii="Garamond" w:hAnsi="Garamond"/>
        </w:rPr>
        <w:t>.</w:t>
      </w:r>
    </w:p>
    <w:p w14:paraId="18442D0C" w14:textId="77777777" w:rsidR="00171CDE" w:rsidRPr="004C5B23" w:rsidRDefault="00171CDE" w:rsidP="00CA2C7F">
      <w:pPr>
        <w:spacing w:line="360" w:lineRule="auto"/>
        <w:jc w:val="both"/>
        <w:rPr>
          <w:rFonts w:ascii="Garamond" w:hAnsi="Garamond"/>
        </w:rPr>
      </w:pPr>
    </w:p>
    <w:p w14:paraId="0A80E99F" w14:textId="47CC2FA9" w:rsidR="00171CDE" w:rsidRPr="004C5B23" w:rsidRDefault="00171CDE" w:rsidP="00CA2C7F">
      <w:pPr>
        <w:spacing w:line="360" w:lineRule="auto"/>
        <w:jc w:val="both"/>
        <w:rPr>
          <w:rFonts w:ascii="Garamond" w:hAnsi="Garamond"/>
        </w:rPr>
      </w:pPr>
      <w:r w:rsidRPr="004C5B23">
        <w:rPr>
          <w:rFonts w:ascii="Garamond" w:hAnsi="Garamond"/>
        </w:rPr>
        <w:t xml:space="preserve">Mitchener, K. J., &amp; Weidenmier, M. D. (2010). Supersanctions and sovereign debt repayment. </w:t>
      </w:r>
      <w:r w:rsidRPr="004C5B23">
        <w:rPr>
          <w:rFonts w:ascii="Garamond" w:hAnsi="Garamond"/>
          <w:i/>
          <w:iCs/>
        </w:rPr>
        <w:t>Journal of International Money and Finance</w:t>
      </w:r>
      <w:r w:rsidRPr="004C5B23">
        <w:rPr>
          <w:rFonts w:ascii="Garamond" w:hAnsi="Garamond"/>
        </w:rPr>
        <w:t xml:space="preserve">, </w:t>
      </w:r>
      <w:r w:rsidRPr="004C5B23">
        <w:rPr>
          <w:rFonts w:ascii="Garamond" w:hAnsi="Garamond"/>
          <w:i/>
          <w:iCs/>
        </w:rPr>
        <w:t>29</w:t>
      </w:r>
      <w:r w:rsidRPr="004C5B23">
        <w:rPr>
          <w:rFonts w:ascii="Garamond" w:hAnsi="Garamond"/>
        </w:rPr>
        <w:t>(1), 19-36.</w:t>
      </w:r>
    </w:p>
    <w:p w14:paraId="1EE24236" w14:textId="77777777" w:rsidR="00724901" w:rsidRPr="004C5B23" w:rsidRDefault="00724901" w:rsidP="00CA2C7F">
      <w:pPr>
        <w:spacing w:line="360" w:lineRule="auto"/>
        <w:jc w:val="both"/>
        <w:rPr>
          <w:rFonts w:ascii="Garamond" w:hAnsi="Garamond"/>
        </w:rPr>
      </w:pPr>
    </w:p>
    <w:p w14:paraId="6912D2BA" w14:textId="77777777" w:rsidR="00724901" w:rsidRPr="004C5B23" w:rsidRDefault="00724901" w:rsidP="00CA2C7F">
      <w:pPr>
        <w:spacing w:line="360" w:lineRule="auto"/>
        <w:jc w:val="both"/>
        <w:rPr>
          <w:rFonts w:ascii="Garamond" w:hAnsi="Garamond"/>
        </w:rPr>
      </w:pPr>
      <w:r w:rsidRPr="004C5B23">
        <w:rPr>
          <w:rFonts w:ascii="Garamond" w:hAnsi="Garamond"/>
        </w:rPr>
        <w:t xml:space="preserve">Mitchener, K. J., &amp; Weidenmier, M. D. (2015). Was the classical gold standard credible on the periphery? Evidence from currency risk. </w:t>
      </w:r>
      <w:r w:rsidRPr="004C5B23">
        <w:rPr>
          <w:rFonts w:ascii="Garamond" w:hAnsi="Garamond"/>
          <w:i/>
        </w:rPr>
        <w:t>The Journal of Economic History</w:t>
      </w:r>
      <w:r w:rsidRPr="004C5B23">
        <w:rPr>
          <w:rFonts w:ascii="Garamond" w:hAnsi="Garamond"/>
        </w:rPr>
        <w:t>, 75(2), 479-511.</w:t>
      </w:r>
    </w:p>
    <w:p w14:paraId="122B23DB" w14:textId="77777777" w:rsidR="00724901" w:rsidRPr="004C5B23" w:rsidRDefault="00724901" w:rsidP="00CA2C7F">
      <w:pPr>
        <w:spacing w:line="360" w:lineRule="auto"/>
        <w:jc w:val="both"/>
        <w:rPr>
          <w:rFonts w:ascii="Garamond" w:hAnsi="Garamond"/>
        </w:rPr>
      </w:pPr>
    </w:p>
    <w:p w14:paraId="1C0B4CD2" w14:textId="2B33FF6D" w:rsidR="00724901" w:rsidRDefault="00724901" w:rsidP="00CA2C7F">
      <w:pPr>
        <w:spacing w:line="360" w:lineRule="auto"/>
        <w:jc w:val="both"/>
        <w:rPr>
          <w:rFonts w:ascii="Garamond" w:hAnsi="Garamond"/>
        </w:rPr>
      </w:pPr>
      <w:r w:rsidRPr="004C5B23">
        <w:rPr>
          <w:rFonts w:ascii="Garamond" w:hAnsi="Garamond"/>
        </w:rPr>
        <w:t xml:space="preserve">Morys, M. (2013). Discount rate policy under the Classical Gold Standard: Core versus periphery (1870s–1914). </w:t>
      </w:r>
      <w:r w:rsidRPr="004C5B23">
        <w:rPr>
          <w:rFonts w:ascii="Garamond" w:hAnsi="Garamond"/>
          <w:i/>
          <w:iCs/>
        </w:rPr>
        <w:t>Explorations in Economic History</w:t>
      </w:r>
      <w:r w:rsidRPr="004C5B23">
        <w:rPr>
          <w:rFonts w:ascii="Garamond" w:hAnsi="Garamond"/>
        </w:rPr>
        <w:t xml:space="preserve">, </w:t>
      </w:r>
      <w:r w:rsidRPr="004C5B23">
        <w:rPr>
          <w:rFonts w:ascii="Garamond" w:hAnsi="Garamond"/>
          <w:i/>
          <w:iCs/>
        </w:rPr>
        <w:t>50</w:t>
      </w:r>
      <w:r w:rsidRPr="004C5B23">
        <w:rPr>
          <w:rFonts w:ascii="Garamond" w:hAnsi="Garamond"/>
        </w:rPr>
        <w:t>(2), 205-226.</w:t>
      </w:r>
    </w:p>
    <w:p w14:paraId="04DAAFE6" w14:textId="5298E8AB" w:rsidR="008F5F94" w:rsidRDefault="008F5F94" w:rsidP="00CA2C7F">
      <w:pPr>
        <w:spacing w:line="360" w:lineRule="auto"/>
        <w:jc w:val="both"/>
        <w:rPr>
          <w:rFonts w:ascii="Garamond" w:hAnsi="Garamond"/>
        </w:rPr>
      </w:pPr>
    </w:p>
    <w:p w14:paraId="4F22BAFE" w14:textId="07494368" w:rsidR="008F5F94" w:rsidRPr="008F5F94" w:rsidRDefault="008F5F94" w:rsidP="00CA2C7F">
      <w:pPr>
        <w:spacing w:line="360" w:lineRule="auto"/>
        <w:jc w:val="both"/>
        <w:rPr>
          <w:rFonts w:ascii="Garamond" w:hAnsi="Garamond"/>
          <w:lang w:val="fr-FR"/>
        </w:rPr>
      </w:pPr>
      <w:r w:rsidRPr="008F5F94">
        <w:rPr>
          <w:rFonts w:ascii="Garamond" w:hAnsi="Garamond"/>
          <w:lang w:val="en-US"/>
        </w:rPr>
        <w:t xml:space="preserve">Mundell, R. A. (1963). Capital mobility and stabilization policy under fixed and flexible exchange rates. </w:t>
      </w:r>
      <w:r w:rsidRPr="008F5F94">
        <w:rPr>
          <w:rFonts w:ascii="Garamond" w:hAnsi="Garamond"/>
          <w:i/>
          <w:lang w:val="fr-FR"/>
        </w:rPr>
        <w:t>Canadian Journal of Economics and Political Science</w:t>
      </w:r>
      <w:r w:rsidRPr="008F5F94">
        <w:rPr>
          <w:rFonts w:ascii="Garamond" w:hAnsi="Garamond"/>
          <w:lang w:val="fr-FR"/>
        </w:rPr>
        <w:t>, 29(4), 475-485.</w:t>
      </w:r>
    </w:p>
    <w:p w14:paraId="6D91E84C" w14:textId="77777777" w:rsidR="00B77BDA" w:rsidRPr="008F5F94" w:rsidRDefault="00B77BDA" w:rsidP="00CA2C7F">
      <w:pPr>
        <w:spacing w:line="360" w:lineRule="auto"/>
        <w:jc w:val="both"/>
        <w:rPr>
          <w:rFonts w:ascii="Garamond" w:hAnsi="Garamond"/>
          <w:lang w:val="fr-FR"/>
        </w:rPr>
      </w:pPr>
    </w:p>
    <w:p w14:paraId="7FF23FE2" w14:textId="7EE898FC" w:rsidR="00B77BDA" w:rsidRPr="004C5B23" w:rsidRDefault="00B77BDA" w:rsidP="00CA2C7F">
      <w:pPr>
        <w:spacing w:line="360" w:lineRule="auto"/>
        <w:jc w:val="both"/>
        <w:rPr>
          <w:rFonts w:ascii="Garamond" w:hAnsi="Garamond"/>
        </w:rPr>
      </w:pPr>
      <w:r w:rsidRPr="00B77BDA">
        <w:rPr>
          <w:rFonts w:ascii="Garamond" w:hAnsi="Garamond"/>
        </w:rPr>
        <w:t>Neal, L. D., &amp; Weidenmier, M. D. (2003). Crises in the global economy from tulips to today. In Globalization in historical perspective (pp. 473-514). University Of Chicago Press.</w:t>
      </w:r>
    </w:p>
    <w:p w14:paraId="788ED9F8" w14:textId="77777777" w:rsidR="00724901" w:rsidRPr="004C5B23" w:rsidRDefault="00724901" w:rsidP="00CA2C7F">
      <w:pPr>
        <w:spacing w:line="360" w:lineRule="auto"/>
        <w:jc w:val="both"/>
        <w:rPr>
          <w:rFonts w:ascii="Garamond" w:hAnsi="Garamond"/>
        </w:rPr>
      </w:pPr>
    </w:p>
    <w:p w14:paraId="1B4CFC74" w14:textId="77777777" w:rsidR="00724901" w:rsidRPr="004C5B23" w:rsidRDefault="00724901" w:rsidP="00CA2C7F">
      <w:pPr>
        <w:spacing w:line="360" w:lineRule="auto"/>
        <w:jc w:val="both"/>
        <w:rPr>
          <w:rFonts w:ascii="Garamond" w:hAnsi="Garamond"/>
        </w:rPr>
      </w:pPr>
      <w:r w:rsidRPr="004C5B23">
        <w:rPr>
          <w:rFonts w:ascii="Garamond" w:hAnsi="Garamond"/>
        </w:rPr>
        <w:t xml:space="preserve">Obstfeld, M., Shambaugh, J. C., &amp; Taylor, A. M. (2005). The trilemma in history: tradeoffs among exchange rates, monetary policies, and capital mobility. </w:t>
      </w:r>
      <w:r w:rsidRPr="004C5B23">
        <w:rPr>
          <w:rFonts w:ascii="Garamond" w:hAnsi="Garamond"/>
          <w:i/>
          <w:iCs/>
        </w:rPr>
        <w:t>Review of Economics and Statistics</w:t>
      </w:r>
      <w:r w:rsidRPr="004C5B23">
        <w:rPr>
          <w:rFonts w:ascii="Garamond" w:hAnsi="Garamond"/>
        </w:rPr>
        <w:t xml:space="preserve">, </w:t>
      </w:r>
      <w:r w:rsidRPr="004C5B23">
        <w:rPr>
          <w:rFonts w:ascii="Garamond" w:hAnsi="Garamond"/>
          <w:i/>
          <w:iCs/>
        </w:rPr>
        <w:t>87</w:t>
      </w:r>
      <w:r w:rsidRPr="004C5B23">
        <w:rPr>
          <w:rFonts w:ascii="Garamond" w:hAnsi="Garamond"/>
        </w:rPr>
        <w:t>(3), 423-438.</w:t>
      </w:r>
    </w:p>
    <w:p w14:paraId="737D9D45" w14:textId="77777777" w:rsidR="00724901" w:rsidRPr="004C5B23" w:rsidRDefault="00724901" w:rsidP="00CA2C7F">
      <w:pPr>
        <w:spacing w:line="360" w:lineRule="auto"/>
        <w:jc w:val="both"/>
        <w:rPr>
          <w:rFonts w:ascii="Garamond" w:hAnsi="Garamond"/>
        </w:rPr>
      </w:pPr>
    </w:p>
    <w:p w14:paraId="35074392" w14:textId="77777777" w:rsidR="00724901" w:rsidRPr="004C5B23" w:rsidRDefault="00724901" w:rsidP="00CA2C7F">
      <w:pPr>
        <w:spacing w:line="360" w:lineRule="auto"/>
        <w:jc w:val="both"/>
        <w:rPr>
          <w:rFonts w:ascii="Garamond" w:hAnsi="Garamond"/>
        </w:rPr>
      </w:pPr>
      <w:r w:rsidRPr="004C5B23">
        <w:rPr>
          <w:rFonts w:ascii="Garamond" w:hAnsi="Garamond"/>
        </w:rPr>
        <w:t xml:space="preserve">Obstfeld, M. (1982). Can We Sterilize? Theory and Evidence. </w:t>
      </w:r>
      <w:r w:rsidRPr="004C5B23">
        <w:rPr>
          <w:rFonts w:ascii="Garamond" w:hAnsi="Garamond"/>
          <w:i/>
          <w:iCs/>
        </w:rPr>
        <w:t>The American Economic Review</w:t>
      </w:r>
      <w:r w:rsidRPr="004C5B23">
        <w:rPr>
          <w:rFonts w:ascii="Garamond" w:hAnsi="Garamond"/>
        </w:rPr>
        <w:t xml:space="preserve">, </w:t>
      </w:r>
      <w:r w:rsidRPr="004C5B23">
        <w:rPr>
          <w:rFonts w:ascii="Garamond" w:hAnsi="Garamond"/>
          <w:i/>
          <w:iCs/>
        </w:rPr>
        <w:t>72</w:t>
      </w:r>
      <w:r w:rsidRPr="004C5B23">
        <w:rPr>
          <w:rFonts w:ascii="Garamond" w:hAnsi="Garamond"/>
        </w:rPr>
        <w:t>(2), 45-50.</w:t>
      </w:r>
    </w:p>
    <w:p w14:paraId="72B81A44" w14:textId="77777777" w:rsidR="00724901" w:rsidRPr="004C5B23" w:rsidRDefault="00724901" w:rsidP="00CA2C7F">
      <w:pPr>
        <w:spacing w:line="360" w:lineRule="auto"/>
        <w:jc w:val="both"/>
        <w:rPr>
          <w:rFonts w:ascii="Garamond" w:hAnsi="Garamond"/>
        </w:rPr>
      </w:pPr>
    </w:p>
    <w:p w14:paraId="1BD4A7EE" w14:textId="77777777" w:rsidR="00724901" w:rsidRPr="004C5B23" w:rsidRDefault="00724901" w:rsidP="00CA2C7F">
      <w:pPr>
        <w:spacing w:line="360" w:lineRule="auto"/>
        <w:jc w:val="both"/>
        <w:rPr>
          <w:rFonts w:ascii="Garamond" w:hAnsi="Garamond"/>
        </w:rPr>
      </w:pPr>
      <w:r w:rsidRPr="004C5B23">
        <w:rPr>
          <w:rFonts w:ascii="Garamond" w:hAnsi="Garamond"/>
        </w:rPr>
        <w:t xml:space="preserve">Obstfeld, M., &amp; Taylor, A. M. (2004). </w:t>
      </w:r>
      <w:r w:rsidRPr="004C5B23">
        <w:rPr>
          <w:rFonts w:ascii="Garamond" w:hAnsi="Garamond"/>
          <w:i/>
          <w:iCs/>
        </w:rPr>
        <w:t>Global capital markets: integration, crisis, and growth</w:t>
      </w:r>
      <w:r w:rsidRPr="004C5B23">
        <w:rPr>
          <w:rFonts w:ascii="Garamond" w:hAnsi="Garamond"/>
        </w:rPr>
        <w:t>. Cambridge University Press.</w:t>
      </w:r>
    </w:p>
    <w:p w14:paraId="483B0770" w14:textId="77777777" w:rsidR="00724901" w:rsidRPr="004C5B23" w:rsidRDefault="00724901" w:rsidP="00CA2C7F">
      <w:pPr>
        <w:spacing w:line="360" w:lineRule="auto"/>
        <w:jc w:val="both"/>
        <w:rPr>
          <w:rFonts w:ascii="Garamond" w:hAnsi="Garamond"/>
        </w:rPr>
      </w:pPr>
    </w:p>
    <w:p w14:paraId="1B993373" w14:textId="77777777" w:rsidR="00724901" w:rsidRPr="004C5B23" w:rsidRDefault="00724901" w:rsidP="00CA2C7F">
      <w:pPr>
        <w:spacing w:line="360" w:lineRule="auto"/>
        <w:jc w:val="both"/>
        <w:rPr>
          <w:rFonts w:ascii="Garamond" w:hAnsi="Garamond"/>
        </w:rPr>
      </w:pPr>
      <w:r w:rsidRPr="004C5B23">
        <w:rPr>
          <w:rFonts w:ascii="Garamond" w:hAnsi="Garamond"/>
        </w:rPr>
        <w:t xml:space="preserve">Ögren, A. (2012). Central Banking and Monetary Policy in Sweden during the long nineteenth century. In </w:t>
      </w:r>
      <w:r w:rsidRPr="004C5B23">
        <w:rPr>
          <w:rFonts w:ascii="Garamond" w:hAnsi="Garamond"/>
          <w:i/>
          <w:iCs/>
        </w:rPr>
        <w:t>The Gold Standard Peripheries</w:t>
      </w:r>
      <w:r w:rsidRPr="004C5B23">
        <w:rPr>
          <w:rFonts w:ascii="Garamond" w:hAnsi="Garamond"/>
        </w:rPr>
        <w:t xml:space="preserve"> (pp. 17-36). Palgrave Macmillan, London.</w:t>
      </w:r>
    </w:p>
    <w:p w14:paraId="5F577B7F" w14:textId="77777777" w:rsidR="00724901" w:rsidRPr="004C5B23" w:rsidRDefault="00724901" w:rsidP="00CA2C7F">
      <w:pPr>
        <w:spacing w:line="360" w:lineRule="auto"/>
        <w:jc w:val="both"/>
        <w:rPr>
          <w:rFonts w:ascii="Garamond" w:hAnsi="Garamond"/>
        </w:rPr>
      </w:pPr>
    </w:p>
    <w:p w14:paraId="3A29A43C" w14:textId="77777777" w:rsidR="00724901" w:rsidRPr="004C5B23" w:rsidRDefault="00724901" w:rsidP="00CA2C7F">
      <w:pPr>
        <w:spacing w:line="360" w:lineRule="auto"/>
        <w:jc w:val="both"/>
        <w:rPr>
          <w:rFonts w:ascii="Garamond" w:hAnsi="Garamond"/>
        </w:rPr>
      </w:pPr>
      <w:r w:rsidRPr="004C5B23">
        <w:rPr>
          <w:rFonts w:ascii="Garamond" w:hAnsi="Garamond"/>
        </w:rPr>
        <w:t xml:space="preserve">Øksendal, L. F. (2012). Freedom for Manoeuvre: The Norwegian Gold Standard Experience, 1874–1914. In </w:t>
      </w:r>
      <w:r w:rsidRPr="004C5B23">
        <w:rPr>
          <w:rFonts w:ascii="Garamond" w:hAnsi="Garamond"/>
          <w:i/>
          <w:iCs/>
        </w:rPr>
        <w:t>The Gold Standard Peripheries</w:t>
      </w:r>
      <w:r w:rsidRPr="004C5B23">
        <w:rPr>
          <w:rFonts w:ascii="Garamond" w:hAnsi="Garamond"/>
        </w:rPr>
        <w:t xml:space="preserve"> (pp. 37-57). Palgrave Macmillan, London.</w:t>
      </w:r>
    </w:p>
    <w:p w14:paraId="72D13891" w14:textId="77777777" w:rsidR="008D51C9" w:rsidRPr="004C5B23" w:rsidRDefault="008D51C9" w:rsidP="00CA2C7F">
      <w:pPr>
        <w:spacing w:line="360" w:lineRule="auto"/>
        <w:jc w:val="both"/>
        <w:rPr>
          <w:rFonts w:ascii="Garamond" w:hAnsi="Garamond"/>
        </w:rPr>
      </w:pPr>
    </w:p>
    <w:p w14:paraId="1C7BE382" w14:textId="77777777" w:rsidR="008D51C9" w:rsidRPr="004C5B23" w:rsidRDefault="008D51C9" w:rsidP="00CA2C7F">
      <w:pPr>
        <w:spacing w:line="360" w:lineRule="auto"/>
        <w:jc w:val="both"/>
        <w:rPr>
          <w:rFonts w:ascii="Garamond" w:hAnsi="Garamond"/>
        </w:rPr>
      </w:pPr>
      <w:r w:rsidRPr="004C5B23">
        <w:rPr>
          <w:rFonts w:ascii="Garamond" w:hAnsi="Garamond"/>
        </w:rPr>
        <w:t>Ouyang, A. Y., Rajan, R. S., &amp; Willett, T. D. (2010). China as a reserve sink: The evidence from offset and sterilization coefficients. Journal of International Money and Finance, 29(5), 951-972.</w:t>
      </w:r>
    </w:p>
    <w:p w14:paraId="6A8E5741" w14:textId="77777777" w:rsidR="00724901" w:rsidRPr="004C5B23" w:rsidRDefault="00724901" w:rsidP="00CA2C7F">
      <w:pPr>
        <w:spacing w:line="360" w:lineRule="auto"/>
        <w:jc w:val="both"/>
        <w:rPr>
          <w:rFonts w:ascii="Garamond" w:hAnsi="Garamond"/>
        </w:rPr>
      </w:pPr>
    </w:p>
    <w:p w14:paraId="71B64110" w14:textId="3490B5C5" w:rsidR="00724901" w:rsidRDefault="00724901" w:rsidP="00CA2C7F">
      <w:pPr>
        <w:spacing w:line="360" w:lineRule="auto"/>
        <w:jc w:val="both"/>
        <w:rPr>
          <w:rFonts w:ascii="Garamond" w:hAnsi="Garamond"/>
        </w:rPr>
      </w:pPr>
      <w:r w:rsidRPr="004C5B23">
        <w:rPr>
          <w:rFonts w:ascii="Garamond" w:hAnsi="Garamond"/>
        </w:rPr>
        <w:t xml:space="preserve">Pippenger, J. (1984). Bank of England operations, 1893-1913. In </w:t>
      </w:r>
      <w:r w:rsidRPr="004C5B23">
        <w:rPr>
          <w:rFonts w:ascii="Garamond" w:hAnsi="Garamond"/>
          <w:i/>
          <w:iCs/>
        </w:rPr>
        <w:t>A Retrospective on the Classical Gold Standard, 1821-1931</w:t>
      </w:r>
      <w:r w:rsidRPr="004C5B23">
        <w:rPr>
          <w:rFonts w:ascii="Garamond" w:hAnsi="Garamond"/>
        </w:rPr>
        <w:t xml:space="preserve"> (pp. 203-232). University of Chicago Press.</w:t>
      </w:r>
    </w:p>
    <w:p w14:paraId="2E9A219B" w14:textId="06257444" w:rsidR="00FF0CB7" w:rsidRDefault="00FF0CB7" w:rsidP="00CA2C7F">
      <w:pPr>
        <w:spacing w:line="360" w:lineRule="auto"/>
        <w:jc w:val="both"/>
        <w:rPr>
          <w:rFonts w:ascii="Garamond" w:hAnsi="Garamond"/>
        </w:rPr>
      </w:pPr>
    </w:p>
    <w:p w14:paraId="65EA1A62" w14:textId="472BB0C6" w:rsidR="00FF0CB7" w:rsidRDefault="00FF0CB7" w:rsidP="00CA2C7F">
      <w:pPr>
        <w:spacing w:line="360" w:lineRule="auto"/>
        <w:jc w:val="both"/>
        <w:rPr>
          <w:rFonts w:ascii="Garamond" w:hAnsi="Garamond"/>
        </w:rPr>
      </w:pPr>
      <w:r w:rsidRPr="00FF0CB7">
        <w:rPr>
          <w:rFonts w:ascii="Garamond" w:hAnsi="Garamond"/>
        </w:rPr>
        <w:t xml:space="preserve">Ramey, V. A. (2016). Macroeconomic shocks and their propagation. In </w:t>
      </w:r>
      <w:r w:rsidRPr="00FF0CB7">
        <w:rPr>
          <w:rFonts w:ascii="Garamond" w:hAnsi="Garamond"/>
          <w:i/>
        </w:rPr>
        <w:t>Handbook of macroeconomic</w:t>
      </w:r>
      <w:r w:rsidRPr="00FF0CB7">
        <w:rPr>
          <w:rFonts w:ascii="Garamond" w:hAnsi="Garamond"/>
        </w:rPr>
        <w:t>s (Vol. 2, pp. 71-162). Elsevier.</w:t>
      </w:r>
    </w:p>
    <w:p w14:paraId="7229874D" w14:textId="72C47639" w:rsidR="000F39EF" w:rsidRDefault="000F39EF" w:rsidP="00CA2C7F">
      <w:pPr>
        <w:spacing w:line="360" w:lineRule="auto"/>
        <w:jc w:val="both"/>
        <w:rPr>
          <w:rFonts w:ascii="Garamond" w:hAnsi="Garamond"/>
        </w:rPr>
      </w:pPr>
    </w:p>
    <w:p w14:paraId="75F86413" w14:textId="400B0293" w:rsidR="000F39EF" w:rsidRPr="004C5B23" w:rsidRDefault="000F39EF" w:rsidP="00CA2C7F">
      <w:pPr>
        <w:spacing w:line="360" w:lineRule="auto"/>
        <w:jc w:val="both"/>
        <w:rPr>
          <w:rFonts w:ascii="Garamond" w:hAnsi="Garamond"/>
        </w:rPr>
      </w:pPr>
      <w:r>
        <w:rPr>
          <w:rFonts w:ascii="Garamond" w:hAnsi="Garamond"/>
        </w:rPr>
        <w:t xml:space="preserve">Romer, C. and D. Romer (2004). </w:t>
      </w:r>
      <w:r w:rsidRPr="000F39EF">
        <w:rPr>
          <w:rFonts w:ascii="Garamond" w:hAnsi="Garamond"/>
        </w:rPr>
        <w:t>A New Measure of Monetary Shocks: Derivation and Implications</w:t>
      </w:r>
      <w:r>
        <w:rPr>
          <w:rFonts w:ascii="Garamond" w:hAnsi="Garamond"/>
        </w:rPr>
        <w:t xml:space="preserve">. </w:t>
      </w:r>
      <w:r w:rsidRPr="000F39EF">
        <w:rPr>
          <w:rFonts w:ascii="Garamond" w:hAnsi="Garamond"/>
          <w:i/>
        </w:rPr>
        <w:t>American Economic Review</w:t>
      </w:r>
      <w:r>
        <w:rPr>
          <w:rFonts w:ascii="Garamond" w:hAnsi="Garamond"/>
        </w:rPr>
        <w:t>, vol. 94(4), 1055-1084.</w:t>
      </w:r>
    </w:p>
    <w:p w14:paraId="77EAE497" w14:textId="77777777" w:rsidR="00724901" w:rsidRPr="004C5B23" w:rsidRDefault="00724901" w:rsidP="00CA2C7F">
      <w:pPr>
        <w:spacing w:line="360" w:lineRule="auto"/>
        <w:jc w:val="both"/>
        <w:rPr>
          <w:rFonts w:ascii="Garamond" w:hAnsi="Garamond"/>
        </w:rPr>
      </w:pPr>
    </w:p>
    <w:p w14:paraId="095076B6" w14:textId="77777777" w:rsidR="00724901" w:rsidRPr="004C5B23" w:rsidRDefault="00724901" w:rsidP="00CA2C7F">
      <w:pPr>
        <w:spacing w:line="360" w:lineRule="auto"/>
        <w:jc w:val="both"/>
        <w:rPr>
          <w:rFonts w:ascii="Garamond" w:hAnsi="Garamond"/>
        </w:rPr>
      </w:pPr>
      <w:r w:rsidRPr="004C5B23">
        <w:rPr>
          <w:rFonts w:ascii="Garamond" w:hAnsi="Garamond"/>
        </w:rPr>
        <w:t xml:space="preserve">Reis, J. (2007). An ‘art’, not a ‘science’? Central bank management in Portugal under the gold standard, 1863–87 1. </w:t>
      </w:r>
      <w:r w:rsidRPr="004C5B23">
        <w:rPr>
          <w:rFonts w:ascii="Garamond" w:hAnsi="Garamond"/>
          <w:i/>
          <w:iCs/>
        </w:rPr>
        <w:t>The Economic History Review</w:t>
      </w:r>
      <w:r w:rsidRPr="004C5B23">
        <w:rPr>
          <w:rFonts w:ascii="Garamond" w:hAnsi="Garamond"/>
        </w:rPr>
        <w:t xml:space="preserve">, </w:t>
      </w:r>
      <w:r w:rsidRPr="004C5B23">
        <w:rPr>
          <w:rFonts w:ascii="Garamond" w:hAnsi="Garamond"/>
          <w:i/>
          <w:iCs/>
        </w:rPr>
        <w:t>60</w:t>
      </w:r>
      <w:r w:rsidRPr="004C5B23">
        <w:rPr>
          <w:rFonts w:ascii="Garamond" w:hAnsi="Garamond"/>
        </w:rPr>
        <w:t>(4), 712-741.</w:t>
      </w:r>
    </w:p>
    <w:p w14:paraId="17985E3D" w14:textId="77777777" w:rsidR="008D51C9" w:rsidRPr="004C5B23" w:rsidRDefault="008D51C9" w:rsidP="00CA2C7F">
      <w:pPr>
        <w:spacing w:line="360" w:lineRule="auto"/>
        <w:jc w:val="both"/>
        <w:rPr>
          <w:rFonts w:ascii="Garamond" w:hAnsi="Garamond"/>
        </w:rPr>
      </w:pPr>
    </w:p>
    <w:p w14:paraId="4B640308" w14:textId="0BA03F74" w:rsidR="008D51C9" w:rsidRPr="004C5B23" w:rsidRDefault="008D51C9" w:rsidP="00CA2C7F">
      <w:pPr>
        <w:spacing w:line="360" w:lineRule="auto"/>
        <w:jc w:val="both"/>
        <w:rPr>
          <w:rFonts w:ascii="Garamond" w:hAnsi="Garamond"/>
        </w:rPr>
      </w:pPr>
      <w:r w:rsidRPr="004C5B23">
        <w:rPr>
          <w:rFonts w:ascii="Garamond" w:hAnsi="Garamond"/>
        </w:rPr>
        <w:t>Reinhart, C. M., &amp; Reinhart, V. R. (2008). Capital inflows and reserve accumulation: the recent evidence (No. w13842). National Bureau of Economic Research.</w:t>
      </w:r>
    </w:p>
    <w:p w14:paraId="6EE6CF59" w14:textId="77777777" w:rsidR="00724901" w:rsidRPr="004C5B23" w:rsidRDefault="00724901" w:rsidP="00CA2C7F">
      <w:pPr>
        <w:spacing w:line="360" w:lineRule="auto"/>
        <w:jc w:val="both"/>
        <w:rPr>
          <w:rFonts w:ascii="Garamond" w:hAnsi="Garamond"/>
        </w:rPr>
      </w:pPr>
    </w:p>
    <w:p w14:paraId="27AD821E" w14:textId="77777777" w:rsidR="00724901" w:rsidRPr="004C5B23" w:rsidRDefault="00724901" w:rsidP="00CA2C7F">
      <w:pPr>
        <w:spacing w:line="360" w:lineRule="auto"/>
        <w:jc w:val="both"/>
        <w:rPr>
          <w:rFonts w:ascii="Garamond" w:hAnsi="Garamond"/>
        </w:rPr>
      </w:pPr>
      <w:r w:rsidRPr="004C5B23">
        <w:rPr>
          <w:rFonts w:ascii="Garamond" w:hAnsi="Garamond"/>
        </w:rPr>
        <w:t xml:space="preserve">Rey, H. (2016). International channels of transmission of monetary policy and the Mundellian trilemma. </w:t>
      </w:r>
      <w:r w:rsidRPr="004C5B23">
        <w:rPr>
          <w:rFonts w:ascii="Garamond" w:hAnsi="Garamond"/>
          <w:i/>
          <w:iCs/>
        </w:rPr>
        <w:t>IMF Economic Review</w:t>
      </w:r>
      <w:r w:rsidRPr="004C5B23">
        <w:rPr>
          <w:rFonts w:ascii="Garamond" w:hAnsi="Garamond"/>
        </w:rPr>
        <w:t xml:space="preserve">, </w:t>
      </w:r>
      <w:r w:rsidRPr="004C5B23">
        <w:rPr>
          <w:rFonts w:ascii="Garamond" w:hAnsi="Garamond"/>
          <w:i/>
          <w:iCs/>
        </w:rPr>
        <w:t>64</w:t>
      </w:r>
      <w:r w:rsidRPr="004C5B23">
        <w:rPr>
          <w:rFonts w:ascii="Garamond" w:hAnsi="Garamond"/>
        </w:rPr>
        <w:t>(1), 6-35.</w:t>
      </w:r>
    </w:p>
    <w:p w14:paraId="46796E78" w14:textId="77777777" w:rsidR="0007323B" w:rsidRPr="004C5B23" w:rsidRDefault="0007323B" w:rsidP="00CA2C7F">
      <w:pPr>
        <w:spacing w:line="360" w:lineRule="auto"/>
        <w:jc w:val="both"/>
        <w:rPr>
          <w:rFonts w:ascii="Garamond" w:hAnsi="Garamond"/>
        </w:rPr>
      </w:pPr>
    </w:p>
    <w:p w14:paraId="3B8FDBD8" w14:textId="0E49D97F" w:rsidR="0007323B" w:rsidRPr="004C5B23" w:rsidRDefault="0007323B" w:rsidP="00CA2C7F">
      <w:pPr>
        <w:spacing w:line="360" w:lineRule="auto"/>
        <w:jc w:val="both"/>
        <w:rPr>
          <w:rFonts w:ascii="Garamond" w:hAnsi="Garamond"/>
        </w:rPr>
      </w:pPr>
      <w:r w:rsidRPr="004C5B23">
        <w:rPr>
          <w:rFonts w:ascii="Garamond" w:hAnsi="Garamond"/>
        </w:rPr>
        <w:t xml:space="preserve">Schneider J., O. Schwarzer, F. Zellfelder, (1991), Europäische und nordamerikanische Devisenkurse 1777–1914. 3 vols Steiner, Stuttgart </w:t>
      </w:r>
    </w:p>
    <w:p w14:paraId="69F532A1" w14:textId="77777777" w:rsidR="0007323B" w:rsidRPr="004C5B23" w:rsidRDefault="0007323B" w:rsidP="00CA2C7F">
      <w:pPr>
        <w:spacing w:line="360" w:lineRule="auto"/>
        <w:jc w:val="both"/>
        <w:rPr>
          <w:rFonts w:ascii="Garamond" w:hAnsi="Garamond"/>
        </w:rPr>
      </w:pPr>
    </w:p>
    <w:p w14:paraId="37F08A2D" w14:textId="7B7A6C41" w:rsidR="0007323B" w:rsidRPr="004C5B23" w:rsidRDefault="0007323B" w:rsidP="00CA2C7F">
      <w:pPr>
        <w:spacing w:line="360" w:lineRule="auto"/>
        <w:jc w:val="both"/>
        <w:rPr>
          <w:rFonts w:ascii="Garamond" w:hAnsi="Garamond"/>
        </w:rPr>
      </w:pPr>
      <w:r w:rsidRPr="004C5B23">
        <w:rPr>
          <w:rFonts w:ascii="Garamond" w:hAnsi="Garamond"/>
        </w:rPr>
        <w:t>Schneider J., O. Schwarzer, F. Zellfelder, (1994), Asiatische und australische Devisenkurse</w:t>
      </w:r>
      <w:r w:rsidR="003D5050" w:rsidRPr="004C5B23">
        <w:rPr>
          <w:rFonts w:ascii="Garamond" w:hAnsi="Garamond"/>
        </w:rPr>
        <w:t>, Steiner, Stuttgart.</w:t>
      </w:r>
    </w:p>
    <w:p w14:paraId="3E1B49F1" w14:textId="77777777" w:rsidR="0007323B" w:rsidRPr="004C5B23" w:rsidRDefault="0007323B" w:rsidP="00CA2C7F">
      <w:pPr>
        <w:spacing w:line="360" w:lineRule="auto"/>
        <w:jc w:val="both"/>
        <w:rPr>
          <w:rFonts w:ascii="Garamond" w:hAnsi="Garamond"/>
        </w:rPr>
      </w:pPr>
    </w:p>
    <w:p w14:paraId="7EA42CA4" w14:textId="5DD03660" w:rsidR="0007323B" w:rsidRPr="004C5B23" w:rsidRDefault="0007323B" w:rsidP="00CA2C7F">
      <w:pPr>
        <w:spacing w:line="360" w:lineRule="auto"/>
        <w:jc w:val="both"/>
        <w:rPr>
          <w:rFonts w:ascii="Garamond" w:hAnsi="Garamond"/>
        </w:rPr>
      </w:pPr>
      <w:r w:rsidRPr="004C5B23">
        <w:rPr>
          <w:rFonts w:ascii="Garamond" w:hAnsi="Garamond"/>
        </w:rPr>
        <w:t>Schneider J., O. Schwarzer, F. Zellfelder, (1999), Dänische und nordwestdeutsche Wechselkurse, Steiner, Stuttgart.</w:t>
      </w:r>
    </w:p>
    <w:p w14:paraId="46658B3F" w14:textId="77777777" w:rsidR="00724901" w:rsidRPr="004C5B23" w:rsidRDefault="00724901" w:rsidP="00CA2C7F">
      <w:pPr>
        <w:spacing w:line="360" w:lineRule="auto"/>
        <w:jc w:val="both"/>
        <w:rPr>
          <w:rFonts w:ascii="Garamond" w:hAnsi="Garamond"/>
        </w:rPr>
      </w:pPr>
    </w:p>
    <w:p w14:paraId="409BBB44" w14:textId="77777777" w:rsidR="00724901" w:rsidRPr="004C5B23" w:rsidRDefault="00724901" w:rsidP="00CA2C7F">
      <w:pPr>
        <w:spacing w:line="360" w:lineRule="auto"/>
        <w:jc w:val="both"/>
        <w:rPr>
          <w:rFonts w:ascii="Garamond" w:hAnsi="Garamond"/>
        </w:rPr>
      </w:pPr>
      <w:r w:rsidRPr="004C5B23">
        <w:rPr>
          <w:rFonts w:ascii="Garamond" w:hAnsi="Garamond"/>
        </w:rPr>
        <w:t xml:space="preserve">Sumner, W. G., Macleod, H. D., Horn, A. E., Townsend, J. P., Des Essars, P., Rafalovich, A., &amp; Jensen, A. L. O. (1896). </w:t>
      </w:r>
      <w:r w:rsidRPr="004C5B23">
        <w:rPr>
          <w:rFonts w:ascii="Garamond" w:hAnsi="Garamond"/>
          <w:i/>
        </w:rPr>
        <w:t>A History of Banking in All the Leading Nations</w:t>
      </w:r>
      <w:r w:rsidRPr="004C5B23">
        <w:rPr>
          <w:rFonts w:ascii="Garamond" w:hAnsi="Garamond"/>
        </w:rPr>
        <w:t>, 3 volumes,  New York, Journal of commerce and commercial bulletin.</w:t>
      </w:r>
    </w:p>
    <w:p w14:paraId="5EF941A9" w14:textId="77777777" w:rsidR="00171CDE" w:rsidRPr="004C5B23" w:rsidRDefault="00171CDE" w:rsidP="00CA2C7F">
      <w:pPr>
        <w:spacing w:line="360" w:lineRule="auto"/>
        <w:jc w:val="both"/>
        <w:rPr>
          <w:rFonts w:ascii="Garamond" w:hAnsi="Garamond"/>
        </w:rPr>
      </w:pPr>
    </w:p>
    <w:p w14:paraId="1B58D746" w14:textId="1B2AC65F" w:rsidR="00171CDE" w:rsidRPr="004C5B23" w:rsidRDefault="00171CDE" w:rsidP="00CA2C7F">
      <w:pPr>
        <w:spacing w:line="360" w:lineRule="auto"/>
        <w:jc w:val="both"/>
        <w:rPr>
          <w:rFonts w:ascii="Garamond" w:hAnsi="Garamond"/>
        </w:rPr>
      </w:pPr>
      <w:r w:rsidRPr="004C5B23">
        <w:rPr>
          <w:rFonts w:ascii="Garamond" w:hAnsi="Garamond"/>
        </w:rPr>
        <w:t xml:space="preserve">Tunçer, A. C. (2015). Sovereign Debt and International Financial Control: The Middle East and the Balkans, 1870-1914. </w:t>
      </w:r>
      <w:r w:rsidRPr="004C5B23">
        <w:rPr>
          <w:rFonts w:ascii="Garamond" w:hAnsi="Garamond"/>
          <w:i/>
        </w:rPr>
        <w:t>Basingstoke: Palgrave Macmillan</w:t>
      </w:r>
      <w:r w:rsidRPr="004C5B23">
        <w:rPr>
          <w:rFonts w:ascii="Garamond" w:hAnsi="Garamond"/>
        </w:rPr>
        <w:t>.</w:t>
      </w:r>
    </w:p>
    <w:p w14:paraId="5308EBA0" w14:textId="77777777" w:rsidR="00171CDE" w:rsidRPr="004C5B23" w:rsidRDefault="00171CDE" w:rsidP="00CA2C7F">
      <w:pPr>
        <w:spacing w:line="360" w:lineRule="auto"/>
        <w:jc w:val="both"/>
        <w:rPr>
          <w:rFonts w:ascii="Garamond" w:hAnsi="Garamond"/>
        </w:rPr>
      </w:pPr>
    </w:p>
    <w:p w14:paraId="316BEF34" w14:textId="7EB48A12" w:rsidR="00724901" w:rsidRPr="004C5B23" w:rsidRDefault="00117EE5" w:rsidP="00CA2C7F">
      <w:pPr>
        <w:spacing w:line="360" w:lineRule="auto"/>
        <w:jc w:val="both"/>
        <w:rPr>
          <w:rFonts w:ascii="Garamond" w:hAnsi="Garamond"/>
        </w:rPr>
      </w:pPr>
      <w:r w:rsidRPr="004C5B23">
        <w:rPr>
          <w:rFonts w:ascii="Garamond" w:hAnsi="Garamond"/>
        </w:rPr>
        <w:t>Triffin, R. (1964). The evolution of the international monetary system: Historical reappraisal and future perspectives. International Finance Section, Department of Economics, Princeton University.</w:t>
      </w:r>
    </w:p>
    <w:p w14:paraId="6F21D7D0" w14:textId="77777777" w:rsidR="00117EE5" w:rsidRPr="004C5B23" w:rsidRDefault="00117EE5" w:rsidP="00CA2C7F">
      <w:pPr>
        <w:spacing w:line="360" w:lineRule="auto"/>
        <w:jc w:val="both"/>
        <w:rPr>
          <w:rFonts w:ascii="Garamond" w:hAnsi="Garamond"/>
        </w:rPr>
      </w:pPr>
    </w:p>
    <w:p w14:paraId="14C46D05" w14:textId="77777777" w:rsidR="00724901" w:rsidRPr="004C5B23" w:rsidRDefault="00724901" w:rsidP="00CA2C7F">
      <w:pPr>
        <w:spacing w:line="360" w:lineRule="auto"/>
        <w:jc w:val="both"/>
        <w:rPr>
          <w:rFonts w:ascii="Garamond" w:hAnsi="Garamond"/>
        </w:rPr>
      </w:pPr>
      <w:r w:rsidRPr="004C5B23">
        <w:rPr>
          <w:rFonts w:ascii="Garamond" w:hAnsi="Garamond"/>
        </w:rPr>
        <w:t xml:space="preserve">Ugolini, S. (2012). Foreign exchange reserve management in the nineteenth century: the National Bank of Belgium in the 1850s. In </w:t>
      </w:r>
      <w:r w:rsidRPr="004C5B23">
        <w:rPr>
          <w:rFonts w:ascii="Garamond" w:hAnsi="Garamond"/>
          <w:i/>
          <w:iCs/>
        </w:rPr>
        <w:t>The Gold Standard Peripheries</w:t>
      </w:r>
      <w:r w:rsidRPr="004C5B23">
        <w:rPr>
          <w:rFonts w:ascii="Garamond" w:hAnsi="Garamond"/>
        </w:rPr>
        <w:t xml:space="preserve"> (pp. 107-129). Palgrave Macmillan, London.</w:t>
      </w:r>
    </w:p>
    <w:p w14:paraId="4E970519" w14:textId="77777777" w:rsidR="00724901" w:rsidRPr="004C5B23" w:rsidRDefault="00724901" w:rsidP="00CA2C7F">
      <w:pPr>
        <w:spacing w:line="360" w:lineRule="auto"/>
        <w:jc w:val="both"/>
        <w:rPr>
          <w:rFonts w:ascii="Garamond" w:hAnsi="Garamond"/>
        </w:rPr>
      </w:pPr>
    </w:p>
    <w:p w14:paraId="08B8EF58" w14:textId="4121FDE0" w:rsidR="00383C91" w:rsidRDefault="00724901" w:rsidP="00CA2C7F">
      <w:pPr>
        <w:spacing w:line="360" w:lineRule="auto"/>
        <w:jc w:val="both"/>
        <w:rPr>
          <w:rFonts w:ascii="Garamond" w:hAnsi="Garamond"/>
        </w:rPr>
      </w:pPr>
      <w:r w:rsidRPr="004C5B23">
        <w:rPr>
          <w:rFonts w:ascii="Garamond" w:hAnsi="Garamond"/>
        </w:rPr>
        <w:t xml:space="preserve">White, H. D. (1933). </w:t>
      </w:r>
      <w:r w:rsidRPr="004C5B23">
        <w:rPr>
          <w:rFonts w:ascii="Garamond" w:hAnsi="Garamond"/>
          <w:i/>
          <w:iCs/>
        </w:rPr>
        <w:t>French international accounts 1880-1913.</w:t>
      </w:r>
      <w:r w:rsidR="005C6640">
        <w:rPr>
          <w:rFonts w:ascii="Garamond" w:hAnsi="Garamond"/>
          <w:i/>
          <w:iCs/>
        </w:rPr>
        <w:t xml:space="preserve"> </w:t>
      </w:r>
      <w:r w:rsidRPr="004C5B23">
        <w:rPr>
          <w:rFonts w:ascii="Garamond" w:hAnsi="Garamond"/>
          <w:i/>
          <w:iCs/>
        </w:rPr>
        <w:t>(Harvard Economic Studies, Vol. XL)</w:t>
      </w:r>
      <w:r w:rsidRPr="004C5B23">
        <w:rPr>
          <w:rFonts w:ascii="Garamond" w:hAnsi="Garamond"/>
        </w:rPr>
        <w:t>. Harvard University Press, Cambridge.</w:t>
      </w:r>
    </w:p>
    <w:p w14:paraId="299FF2DD" w14:textId="77777777" w:rsidR="00383C91" w:rsidRDefault="00383C91" w:rsidP="00CA2C7F">
      <w:pPr>
        <w:spacing w:line="360" w:lineRule="auto"/>
        <w:jc w:val="both"/>
        <w:rPr>
          <w:rFonts w:ascii="Garamond" w:hAnsi="Garamond"/>
        </w:rPr>
      </w:pPr>
    </w:p>
    <w:p w14:paraId="09002130" w14:textId="49500EA2" w:rsidR="004D669C" w:rsidRDefault="00383C91" w:rsidP="00CA2C7F">
      <w:pPr>
        <w:spacing w:line="360" w:lineRule="auto"/>
        <w:jc w:val="both"/>
        <w:rPr>
          <w:rFonts w:ascii="Garamond" w:hAnsi="Garamond"/>
          <w:b/>
        </w:rPr>
      </w:pPr>
      <w:r w:rsidRPr="004C5B23">
        <w:rPr>
          <w:rFonts w:ascii="Garamond" w:hAnsi="Garamond"/>
          <w:b/>
        </w:rPr>
        <w:t xml:space="preserve"> </w:t>
      </w:r>
    </w:p>
    <w:p w14:paraId="1F4E3F03" w14:textId="77777777" w:rsidR="004D669C" w:rsidRDefault="004D669C">
      <w:pPr>
        <w:rPr>
          <w:rFonts w:ascii="Garamond" w:hAnsi="Garamond"/>
          <w:b/>
        </w:rPr>
      </w:pPr>
      <w:r>
        <w:rPr>
          <w:rFonts w:ascii="Garamond" w:hAnsi="Garamond"/>
          <w:b/>
        </w:rPr>
        <w:br w:type="page"/>
      </w:r>
    </w:p>
    <w:p w14:paraId="3A5AD2A6" w14:textId="3C26C1A8" w:rsidR="000704C4" w:rsidRDefault="004D669C" w:rsidP="004D669C">
      <w:pPr>
        <w:pStyle w:val="Heading1"/>
      </w:pPr>
      <w:bookmarkStart w:id="22" w:name="_Toc2521992"/>
      <w:r>
        <w:t>APPENDIX</w:t>
      </w:r>
      <w:bookmarkEnd w:id="22"/>
    </w:p>
    <w:p w14:paraId="3A7E4CA8" w14:textId="6E9BDF59" w:rsidR="004D669C" w:rsidRDefault="004D669C" w:rsidP="004D669C">
      <w:pPr>
        <w:jc w:val="both"/>
        <w:rPr>
          <w:lang w:val="en-US" w:eastAsia="en-US"/>
        </w:rPr>
      </w:pPr>
    </w:p>
    <w:p w14:paraId="7E29A727" w14:textId="296D278D" w:rsidR="004D669C" w:rsidRDefault="004D669C" w:rsidP="004D669C">
      <w:pPr>
        <w:jc w:val="both"/>
        <w:rPr>
          <w:lang w:val="en-US" w:eastAsia="en-US"/>
        </w:rPr>
      </w:pPr>
    </w:p>
    <w:p w14:paraId="5B93064A" w14:textId="60AD6C27" w:rsidR="004D669C" w:rsidRDefault="00684325" w:rsidP="004D669C">
      <w:pPr>
        <w:jc w:val="both"/>
        <w:rPr>
          <w:lang w:val="en-US" w:eastAsia="en-US"/>
        </w:rPr>
      </w:pPr>
      <w:r w:rsidRPr="00684325">
        <w:rPr>
          <w:noProof/>
        </w:rPr>
        <w:drawing>
          <wp:inline distT="0" distB="0" distL="0" distR="0" wp14:anchorId="7A4A9595" wp14:editId="3DEE5061">
            <wp:extent cx="5775960" cy="425196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75960" cy="4251960"/>
                    </a:xfrm>
                    <a:prstGeom prst="rect">
                      <a:avLst/>
                    </a:prstGeom>
                    <a:noFill/>
                    <a:ln>
                      <a:noFill/>
                    </a:ln>
                  </pic:spPr>
                </pic:pic>
              </a:graphicData>
            </a:graphic>
          </wp:inline>
        </w:drawing>
      </w:r>
    </w:p>
    <w:p w14:paraId="781AF220" w14:textId="77C65DF0" w:rsidR="00684325" w:rsidRDefault="00FA1957" w:rsidP="00684325">
      <w:pPr>
        <w:jc w:val="center"/>
        <w:rPr>
          <w:color w:val="365F91" w:themeColor="accent1" w:themeShade="BF"/>
        </w:rPr>
      </w:pPr>
      <w:r w:rsidRPr="00AC0A94">
        <w:rPr>
          <w:i/>
          <w:color w:val="365F91" w:themeColor="accent1" w:themeShade="BF"/>
          <w:lang w:val="en-US" w:eastAsia="en-US"/>
        </w:rPr>
        <w:t>Figure A1</w:t>
      </w:r>
      <w:r w:rsidR="00684325" w:rsidRPr="00AC0A94">
        <w:rPr>
          <w:i/>
          <w:color w:val="365F91" w:themeColor="accent1" w:themeShade="BF"/>
          <w:lang w:val="en-US" w:eastAsia="en-US"/>
        </w:rPr>
        <w:t>a</w:t>
      </w:r>
      <w:r w:rsidR="00684325" w:rsidRPr="00684325">
        <w:rPr>
          <w:color w:val="365F91" w:themeColor="accent1" w:themeShade="BF"/>
          <w:lang w:val="en-US" w:eastAsia="en-US"/>
        </w:rPr>
        <w:t xml:space="preserve">: </w:t>
      </w:r>
      <w:r w:rsidR="00684325" w:rsidRPr="00684325">
        <w:rPr>
          <w:color w:val="365F91" w:themeColor="accent1" w:themeShade="BF"/>
        </w:rPr>
        <w:t>The reaction of central banks in core countries to a BoE discount rate shock using exchange rate percentage variation</w:t>
      </w:r>
    </w:p>
    <w:p w14:paraId="47FD6248" w14:textId="7454FC06" w:rsidR="00684325" w:rsidRDefault="00684325" w:rsidP="00684325">
      <w:pPr>
        <w:jc w:val="both"/>
        <w:rPr>
          <w:color w:val="365F91" w:themeColor="accent1" w:themeShade="BF"/>
        </w:rPr>
      </w:pPr>
    </w:p>
    <w:p w14:paraId="7B556E68" w14:textId="577EE7F5" w:rsidR="00684325" w:rsidRDefault="00684325" w:rsidP="00684325">
      <w:pPr>
        <w:jc w:val="both"/>
        <w:rPr>
          <w:color w:val="365F91" w:themeColor="accent1" w:themeShade="BF"/>
          <w:lang w:val="en-US" w:eastAsia="en-US"/>
        </w:rPr>
      </w:pPr>
    </w:p>
    <w:p w14:paraId="3A957B9F" w14:textId="25D43DB5" w:rsidR="00684325" w:rsidRDefault="00684325" w:rsidP="00684325">
      <w:pPr>
        <w:jc w:val="both"/>
        <w:rPr>
          <w:color w:val="365F91" w:themeColor="accent1" w:themeShade="BF"/>
          <w:lang w:val="en-US" w:eastAsia="en-US"/>
        </w:rPr>
      </w:pPr>
      <w:r w:rsidRPr="00684325">
        <w:rPr>
          <w:noProof/>
          <w:color w:val="365F91" w:themeColor="accent1" w:themeShade="BF"/>
        </w:rPr>
        <w:drawing>
          <wp:inline distT="0" distB="0" distL="0" distR="0" wp14:anchorId="1A3919E9" wp14:editId="6446DA2F">
            <wp:extent cx="5730240" cy="41833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0240" cy="4183380"/>
                    </a:xfrm>
                    <a:prstGeom prst="rect">
                      <a:avLst/>
                    </a:prstGeom>
                    <a:noFill/>
                    <a:ln>
                      <a:noFill/>
                    </a:ln>
                  </pic:spPr>
                </pic:pic>
              </a:graphicData>
            </a:graphic>
          </wp:inline>
        </w:drawing>
      </w:r>
    </w:p>
    <w:p w14:paraId="4336D591" w14:textId="32538475" w:rsidR="00684325" w:rsidRDefault="00FA1957" w:rsidP="00684325">
      <w:pPr>
        <w:jc w:val="center"/>
        <w:rPr>
          <w:color w:val="365F91" w:themeColor="accent1" w:themeShade="BF"/>
        </w:rPr>
      </w:pPr>
      <w:r w:rsidRPr="00AC0A94">
        <w:rPr>
          <w:i/>
          <w:color w:val="365F91" w:themeColor="accent1" w:themeShade="BF"/>
          <w:lang w:val="en-US" w:eastAsia="en-US"/>
        </w:rPr>
        <w:t>Figure A1</w:t>
      </w:r>
      <w:r w:rsidR="00684325" w:rsidRPr="00AC0A94">
        <w:rPr>
          <w:i/>
          <w:color w:val="365F91" w:themeColor="accent1" w:themeShade="BF"/>
          <w:lang w:val="en-US" w:eastAsia="en-US"/>
        </w:rPr>
        <w:t>b</w:t>
      </w:r>
      <w:r w:rsidR="00684325" w:rsidRPr="00684325">
        <w:rPr>
          <w:color w:val="365F91" w:themeColor="accent1" w:themeShade="BF"/>
          <w:lang w:val="en-US" w:eastAsia="en-US"/>
        </w:rPr>
        <w:t xml:space="preserve">: </w:t>
      </w:r>
      <w:r w:rsidR="00684325" w:rsidRPr="00684325">
        <w:rPr>
          <w:color w:val="365F91" w:themeColor="accent1" w:themeShade="BF"/>
        </w:rPr>
        <w:t xml:space="preserve">The reaction of central banks in </w:t>
      </w:r>
      <w:r w:rsidR="00684325">
        <w:rPr>
          <w:color w:val="365F91" w:themeColor="accent1" w:themeShade="BF"/>
        </w:rPr>
        <w:t>peripheral</w:t>
      </w:r>
      <w:r w:rsidR="00684325" w:rsidRPr="00684325">
        <w:rPr>
          <w:color w:val="365F91" w:themeColor="accent1" w:themeShade="BF"/>
        </w:rPr>
        <w:t xml:space="preserve"> countries to a BoE discount rate shock using exchange rate percentage variation</w:t>
      </w:r>
    </w:p>
    <w:p w14:paraId="56E324B6" w14:textId="4879A2A7" w:rsidR="00684325" w:rsidRDefault="00684325" w:rsidP="00684325">
      <w:pPr>
        <w:jc w:val="both"/>
        <w:rPr>
          <w:color w:val="365F91" w:themeColor="accent1" w:themeShade="BF"/>
          <w:lang w:eastAsia="en-US"/>
        </w:rPr>
      </w:pPr>
    </w:p>
    <w:p w14:paraId="7D61BBED" w14:textId="7F64C08C" w:rsidR="00684325" w:rsidRDefault="00684325" w:rsidP="00684325">
      <w:pPr>
        <w:jc w:val="both"/>
        <w:rPr>
          <w:color w:val="365F91" w:themeColor="accent1" w:themeShade="BF"/>
          <w:lang w:eastAsia="en-US"/>
        </w:rPr>
      </w:pPr>
    </w:p>
    <w:p w14:paraId="573BAA94" w14:textId="1F155512" w:rsidR="00684325" w:rsidRDefault="00684325" w:rsidP="00684325">
      <w:pPr>
        <w:jc w:val="both"/>
        <w:rPr>
          <w:color w:val="365F91" w:themeColor="accent1" w:themeShade="BF"/>
          <w:lang w:eastAsia="en-US"/>
        </w:rPr>
      </w:pPr>
      <w:r w:rsidRPr="00684325">
        <w:rPr>
          <w:noProof/>
          <w:color w:val="365F91" w:themeColor="accent1" w:themeShade="BF"/>
        </w:rPr>
        <w:drawing>
          <wp:inline distT="0" distB="0" distL="0" distR="0" wp14:anchorId="1D816345" wp14:editId="4B72F797">
            <wp:extent cx="5791200" cy="42519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91200" cy="4251960"/>
                    </a:xfrm>
                    <a:prstGeom prst="rect">
                      <a:avLst/>
                    </a:prstGeom>
                    <a:noFill/>
                    <a:ln>
                      <a:noFill/>
                    </a:ln>
                  </pic:spPr>
                </pic:pic>
              </a:graphicData>
            </a:graphic>
          </wp:inline>
        </w:drawing>
      </w:r>
    </w:p>
    <w:p w14:paraId="69AD4599" w14:textId="53024406" w:rsidR="00684325" w:rsidRDefault="00FA1957" w:rsidP="00684325">
      <w:pPr>
        <w:jc w:val="center"/>
        <w:rPr>
          <w:color w:val="365F91" w:themeColor="accent1" w:themeShade="BF"/>
        </w:rPr>
      </w:pPr>
      <w:r w:rsidRPr="00AC0A94">
        <w:rPr>
          <w:i/>
          <w:color w:val="365F91" w:themeColor="accent1" w:themeShade="BF"/>
          <w:lang w:val="en-US" w:eastAsia="en-US"/>
        </w:rPr>
        <w:t>Figure A1</w:t>
      </w:r>
      <w:r w:rsidR="00684325" w:rsidRPr="00AC0A94">
        <w:rPr>
          <w:i/>
          <w:color w:val="365F91" w:themeColor="accent1" w:themeShade="BF"/>
          <w:lang w:val="en-US" w:eastAsia="en-US"/>
        </w:rPr>
        <w:t>c</w:t>
      </w:r>
      <w:r w:rsidR="00684325" w:rsidRPr="00684325">
        <w:rPr>
          <w:color w:val="365F91" w:themeColor="accent1" w:themeShade="BF"/>
          <w:lang w:val="en-US" w:eastAsia="en-US"/>
        </w:rPr>
        <w:t xml:space="preserve">: </w:t>
      </w:r>
      <w:r w:rsidR="00684325" w:rsidRPr="00684325">
        <w:rPr>
          <w:color w:val="365F91" w:themeColor="accent1" w:themeShade="BF"/>
        </w:rPr>
        <w:t>T</w:t>
      </w:r>
      <w:r w:rsidR="00684325">
        <w:rPr>
          <w:color w:val="365F91" w:themeColor="accent1" w:themeShade="BF"/>
        </w:rPr>
        <w:t>he reaction of central banks in</w:t>
      </w:r>
      <w:r w:rsidR="00684325" w:rsidRPr="00684325">
        <w:rPr>
          <w:color w:val="365F91" w:themeColor="accent1" w:themeShade="BF"/>
        </w:rPr>
        <w:t xml:space="preserve"> countries </w:t>
      </w:r>
      <w:r w:rsidR="00684325">
        <w:rPr>
          <w:color w:val="365F91" w:themeColor="accent1" w:themeShade="BF"/>
        </w:rPr>
        <w:t xml:space="preserve">off the Gold Standard </w:t>
      </w:r>
      <w:r w:rsidR="00684325" w:rsidRPr="00684325">
        <w:rPr>
          <w:color w:val="365F91" w:themeColor="accent1" w:themeShade="BF"/>
        </w:rPr>
        <w:t>to a BoE discount rate shock using exchange rate percentage variation</w:t>
      </w:r>
    </w:p>
    <w:p w14:paraId="79D10104" w14:textId="2855ACFB" w:rsidR="00684325" w:rsidRDefault="00684325" w:rsidP="00684325">
      <w:pPr>
        <w:jc w:val="both"/>
        <w:rPr>
          <w:color w:val="365F91" w:themeColor="accent1" w:themeShade="BF"/>
          <w:lang w:eastAsia="en-US"/>
        </w:rPr>
      </w:pPr>
    </w:p>
    <w:p w14:paraId="79D9DB7E" w14:textId="3E3084C3" w:rsidR="002D120F" w:rsidRDefault="002D120F" w:rsidP="00684325">
      <w:pPr>
        <w:jc w:val="both"/>
        <w:rPr>
          <w:color w:val="365F91" w:themeColor="accent1" w:themeShade="BF"/>
          <w:lang w:eastAsia="en-US"/>
        </w:rPr>
      </w:pPr>
    </w:p>
    <w:p w14:paraId="5ED4319E" w14:textId="77777777" w:rsidR="00FA1957" w:rsidRDefault="00FA1957" w:rsidP="00FA1957">
      <w:pPr>
        <w:rPr>
          <w:lang w:val="en-US" w:eastAsia="en-US"/>
        </w:rPr>
      </w:pPr>
      <w:r w:rsidRPr="004D669C">
        <w:rPr>
          <w:noProof/>
        </w:rPr>
        <w:drawing>
          <wp:inline distT="0" distB="0" distL="0" distR="0" wp14:anchorId="1287F32B" wp14:editId="6EDA313C">
            <wp:extent cx="5737860" cy="40690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7860" cy="4069080"/>
                    </a:xfrm>
                    <a:prstGeom prst="rect">
                      <a:avLst/>
                    </a:prstGeom>
                    <a:noFill/>
                    <a:ln>
                      <a:noFill/>
                    </a:ln>
                  </pic:spPr>
                </pic:pic>
              </a:graphicData>
            </a:graphic>
          </wp:inline>
        </w:drawing>
      </w:r>
    </w:p>
    <w:p w14:paraId="0D806AA5" w14:textId="77777777" w:rsidR="00FA1957" w:rsidRPr="00684325" w:rsidRDefault="00FA1957" w:rsidP="00FA1957">
      <w:pPr>
        <w:jc w:val="center"/>
        <w:rPr>
          <w:color w:val="365F91" w:themeColor="accent1" w:themeShade="BF"/>
          <w:lang w:val="en-US" w:eastAsia="en-US"/>
        </w:rPr>
      </w:pPr>
      <w:r w:rsidRPr="00AC0A94">
        <w:rPr>
          <w:i/>
          <w:color w:val="365F91" w:themeColor="accent1" w:themeShade="BF"/>
          <w:lang w:val="en-US" w:eastAsia="en-US"/>
        </w:rPr>
        <w:t>Figure A2</w:t>
      </w:r>
      <w:r w:rsidRPr="00684325">
        <w:rPr>
          <w:color w:val="365F91" w:themeColor="accent1" w:themeShade="BF"/>
          <w:lang w:val="en-US" w:eastAsia="en-US"/>
        </w:rPr>
        <w:t xml:space="preserve">: </w:t>
      </w:r>
      <w:r w:rsidRPr="00684325">
        <w:rPr>
          <w:color w:val="365F91" w:themeColor="accent1" w:themeShade="BF"/>
        </w:rPr>
        <w:t>The reaction of central banks in core countries to a BoE</w:t>
      </w:r>
      <w:r w:rsidRPr="00684325">
        <w:rPr>
          <w:color w:val="365F91" w:themeColor="accent1" w:themeShade="BF"/>
          <w:lang w:val="en-US" w:eastAsia="en-US"/>
        </w:rPr>
        <w:t xml:space="preserve"> using open market rate</w:t>
      </w:r>
    </w:p>
    <w:p w14:paraId="6661F78B" w14:textId="073F2514" w:rsidR="00FA1957" w:rsidRDefault="00FA1957" w:rsidP="00684325">
      <w:pPr>
        <w:jc w:val="both"/>
        <w:rPr>
          <w:color w:val="365F91" w:themeColor="accent1" w:themeShade="BF"/>
          <w:lang w:val="en-US" w:eastAsia="en-US"/>
        </w:rPr>
      </w:pPr>
    </w:p>
    <w:p w14:paraId="1C7E24F1" w14:textId="77777777" w:rsidR="00FA1957" w:rsidRPr="00FA1957" w:rsidRDefault="00FA1957" w:rsidP="00684325">
      <w:pPr>
        <w:jc w:val="both"/>
        <w:rPr>
          <w:color w:val="365F91" w:themeColor="accent1" w:themeShade="BF"/>
          <w:lang w:val="en-US" w:eastAsia="en-US"/>
        </w:rPr>
      </w:pPr>
    </w:p>
    <w:p w14:paraId="3E054894" w14:textId="4D7CEAD3" w:rsidR="00DD6306" w:rsidRDefault="00FA1957" w:rsidP="00684325">
      <w:pPr>
        <w:jc w:val="both"/>
        <w:rPr>
          <w:color w:val="365F91" w:themeColor="accent1" w:themeShade="BF"/>
          <w:lang w:eastAsia="en-US"/>
        </w:rPr>
      </w:pPr>
      <w:r w:rsidRPr="00FA1957">
        <w:rPr>
          <w:noProof/>
          <w:color w:val="365F91" w:themeColor="accent1" w:themeShade="BF"/>
        </w:rPr>
        <w:drawing>
          <wp:inline distT="0" distB="0" distL="0" distR="0" wp14:anchorId="40747239" wp14:editId="5757E424">
            <wp:extent cx="5715000" cy="433578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15000" cy="4335780"/>
                    </a:xfrm>
                    <a:prstGeom prst="rect">
                      <a:avLst/>
                    </a:prstGeom>
                    <a:noFill/>
                    <a:ln>
                      <a:noFill/>
                    </a:ln>
                  </pic:spPr>
                </pic:pic>
              </a:graphicData>
            </a:graphic>
          </wp:inline>
        </w:drawing>
      </w:r>
    </w:p>
    <w:p w14:paraId="0042C596" w14:textId="3816B149" w:rsidR="00DD6306" w:rsidRDefault="00DD6306" w:rsidP="00DD6306">
      <w:pPr>
        <w:jc w:val="center"/>
        <w:rPr>
          <w:color w:val="365F91" w:themeColor="accent1" w:themeShade="BF"/>
        </w:rPr>
      </w:pPr>
      <w:r w:rsidRPr="00AC0A94">
        <w:rPr>
          <w:i/>
          <w:color w:val="365F91" w:themeColor="accent1" w:themeShade="BF"/>
          <w:lang w:val="en-US" w:eastAsia="en-US"/>
        </w:rPr>
        <w:t>Figure A3a</w:t>
      </w:r>
      <w:r w:rsidRPr="00684325">
        <w:rPr>
          <w:color w:val="365F91" w:themeColor="accent1" w:themeShade="BF"/>
          <w:lang w:val="en-US" w:eastAsia="en-US"/>
        </w:rPr>
        <w:t xml:space="preserve">: </w:t>
      </w:r>
      <w:r w:rsidRPr="00684325">
        <w:rPr>
          <w:color w:val="365F91" w:themeColor="accent1" w:themeShade="BF"/>
        </w:rPr>
        <w:t xml:space="preserve">The reaction of central banks in </w:t>
      </w:r>
      <w:r>
        <w:rPr>
          <w:color w:val="365F91" w:themeColor="accent1" w:themeShade="BF"/>
        </w:rPr>
        <w:t xml:space="preserve">core </w:t>
      </w:r>
      <w:r w:rsidRPr="00684325">
        <w:rPr>
          <w:color w:val="365F91" w:themeColor="accent1" w:themeShade="BF"/>
        </w:rPr>
        <w:t xml:space="preserve">countries to a BoE discount rate shock </w:t>
      </w:r>
      <w:r>
        <w:rPr>
          <w:color w:val="365F91" w:themeColor="accent1" w:themeShade="BF"/>
        </w:rPr>
        <w:t>adding UK business cycle</w:t>
      </w:r>
    </w:p>
    <w:p w14:paraId="45C01CE0" w14:textId="77777777" w:rsidR="00DD6306" w:rsidRDefault="00DD6306" w:rsidP="00684325">
      <w:pPr>
        <w:jc w:val="both"/>
        <w:rPr>
          <w:color w:val="365F91" w:themeColor="accent1" w:themeShade="BF"/>
          <w:lang w:eastAsia="en-US"/>
        </w:rPr>
      </w:pPr>
    </w:p>
    <w:p w14:paraId="2932F393" w14:textId="5B78B465" w:rsidR="00DD6306" w:rsidRDefault="00DD6306" w:rsidP="00684325">
      <w:pPr>
        <w:jc w:val="both"/>
        <w:rPr>
          <w:color w:val="365F91" w:themeColor="accent1" w:themeShade="BF"/>
          <w:lang w:eastAsia="en-US"/>
        </w:rPr>
      </w:pPr>
      <w:r w:rsidRPr="00DD6306">
        <w:rPr>
          <w:noProof/>
          <w:color w:val="365F91" w:themeColor="accent1" w:themeShade="BF"/>
        </w:rPr>
        <w:drawing>
          <wp:inline distT="0" distB="0" distL="0" distR="0" wp14:anchorId="27468801" wp14:editId="696A422D">
            <wp:extent cx="5798820" cy="440436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98820" cy="4404360"/>
                    </a:xfrm>
                    <a:prstGeom prst="rect">
                      <a:avLst/>
                    </a:prstGeom>
                    <a:noFill/>
                    <a:ln>
                      <a:noFill/>
                    </a:ln>
                  </pic:spPr>
                </pic:pic>
              </a:graphicData>
            </a:graphic>
          </wp:inline>
        </w:drawing>
      </w:r>
    </w:p>
    <w:p w14:paraId="5FC0E9F5" w14:textId="32F6E388" w:rsidR="00DD6306" w:rsidRDefault="00DD6306" w:rsidP="00DD6306">
      <w:pPr>
        <w:jc w:val="center"/>
        <w:rPr>
          <w:color w:val="365F91" w:themeColor="accent1" w:themeShade="BF"/>
        </w:rPr>
      </w:pPr>
      <w:r w:rsidRPr="00AC0A94">
        <w:rPr>
          <w:i/>
          <w:color w:val="365F91" w:themeColor="accent1" w:themeShade="BF"/>
          <w:lang w:val="en-US" w:eastAsia="en-US"/>
        </w:rPr>
        <w:t>Figure A3b</w:t>
      </w:r>
      <w:r w:rsidRPr="00684325">
        <w:rPr>
          <w:color w:val="365F91" w:themeColor="accent1" w:themeShade="BF"/>
          <w:lang w:val="en-US" w:eastAsia="en-US"/>
        </w:rPr>
        <w:t xml:space="preserve">: </w:t>
      </w:r>
      <w:r w:rsidRPr="00684325">
        <w:rPr>
          <w:color w:val="365F91" w:themeColor="accent1" w:themeShade="BF"/>
        </w:rPr>
        <w:t xml:space="preserve">The reaction of central banks in </w:t>
      </w:r>
      <w:r>
        <w:rPr>
          <w:color w:val="365F91" w:themeColor="accent1" w:themeShade="BF"/>
        </w:rPr>
        <w:t>peripheral</w:t>
      </w:r>
      <w:r w:rsidRPr="00684325">
        <w:rPr>
          <w:color w:val="365F91" w:themeColor="accent1" w:themeShade="BF"/>
        </w:rPr>
        <w:t xml:space="preserve"> countries to a BoE discount rate shock </w:t>
      </w:r>
      <w:r>
        <w:rPr>
          <w:color w:val="365F91" w:themeColor="accent1" w:themeShade="BF"/>
        </w:rPr>
        <w:t>adding UK business cycle</w:t>
      </w:r>
    </w:p>
    <w:p w14:paraId="0A1FA723" w14:textId="77777777" w:rsidR="00DD6306" w:rsidRDefault="00DD6306" w:rsidP="00684325">
      <w:pPr>
        <w:jc w:val="both"/>
        <w:rPr>
          <w:color w:val="365F91" w:themeColor="accent1" w:themeShade="BF"/>
          <w:lang w:eastAsia="en-US"/>
        </w:rPr>
      </w:pPr>
    </w:p>
    <w:p w14:paraId="34D36719" w14:textId="25A7EFB0" w:rsidR="002D120F" w:rsidRDefault="00DD6306" w:rsidP="00684325">
      <w:pPr>
        <w:jc w:val="both"/>
        <w:rPr>
          <w:color w:val="365F91" w:themeColor="accent1" w:themeShade="BF"/>
          <w:lang w:eastAsia="en-US"/>
        </w:rPr>
      </w:pPr>
      <w:r w:rsidRPr="00DD6306">
        <w:rPr>
          <w:noProof/>
          <w:color w:val="365F91" w:themeColor="accent1" w:themeShade="BF"/>
        </w:rPr>
        <w:drawing>
          <wp:inline distT="0" distB="0" distL="0" distR="0" wp14:anchorId="499EAFD9" wp14:editId="4715A07E">
            <wp:extent cx="5715000" cy="43053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15000" cy="4305300"/>
                    </a:xfrm>
                    <a:prstGeom prst="rect">
                      <a:avLst/>
                    </a:prstGeom>
                    <a:noFill/>
                    <a:ln>
                      <a:noFill/>
                    </a:ln>
                  </pic:spPr>
                </pic:pic>
              </a:graphicData>
            </a:graphic>
          </wp:inline>
        </w:drawing>
      </w:r>
    </w:p>
    <w:p w14:paraId="58E87A49" w14:textId="1BF10EC0" w:rsidR="002D120F" w:rsidRDefault="002D120F" w:rsidP="002D120F">
      <w:pPr>
        <w:jc w:val="center"/>
        <w:rPr>
          <w:color w:val="365F91" w:themeColor="accent1" w:themeShade="BF"/>
        </w:rPr>
      </w:pPr>
      <w:r w:rsidRPr="00AC0A94">
        <w:rPr>
          <w:i/>
          <w:color w:val="365F91" w:themeColor="accent1" w:themeShade="BF"/>
          <w:lang w:val="en-US" w:eastAsia="en-US"/>
        </w:rPr>
        <w:t>Figure A3c</w:t>
      </w:r>
      <w:r w:rsidRPr="00684325">
        <w:rPr>
          <w:color w:val="365F91" w:themeColor="accent1" w:themeShade="BF"/>
          <w:lang w:val="en-US" w:eastAsia="en-US"/>
        </w:rPr>
        <w:t xml:space="preserve">: </w:t>
      </w:r>
      <w:r w:rsidRPr="00684325">
        <w:rPr>
          <w:color w:val="365F91" w:themeColor="accent1" w:themeShade="BF"/>
        </w:rPr>
        <w:t>T</w:t>
      </w:r>
      <w:r>
        <w:rPr>
          <w:color w:val="365F91" w:themeColor="accent1" w:themeShade="BF"/>
        </w:rPr>
        <w:t>he reaction of central banks in</w:t>
      </w:r>
      <w:r w:rsidRPr="00684325">
        <w:rPr>
          <w:color w:val="365F91" w:themeColor="accent1" w:themeShade="BF"/>
        </w:rPr>
        <w:t xml:space="preserve"> countries </w:t>
      </w:r>
      <w:r>
        <w:rPr>
          <w:color w:val="365F91" w:themeColor="accent1" w:themeShade="BF"/>
        </w:rPr>
        <w:t xml:space="preserve">off the Gold Standard </w:t>
      </w:r>
      <w:r w:rsidRPr="00684325">
        <w:rPr>
          <w:color w:val="365F91" w:themeColor="accent1" w:themeShade="BF"/>
        </w:rPr>
        <w:t>to a BoE</w:t>
      </w:r>
      <w:r>
        <w:rPr>
          <w:color w:val="365F91" w:themeColor="accent1" w:themeShade="BF"/>
        </w:rPr>
        <w:t xml:space="preserve"> discount rate shock adding UK business cycle</w:t>
      </w:r>
    </w:p>
    <w:p w14:paraId="3FFA668A" w14:textId="77777777" w:rsidR="002D120F" w:rsidRPr="00684325" w:rsidRDefault="002D120F" w:rsidP="00684325">
      <w:pPr>
        <w:jc w:val="both"/>
        <w:rPr>
          <w:color w:val="365F91" w:themeColor="accent1" w:themeShade="BF"/>
          <w:lang w:eastAsia="en-US"/>
        </w:rPr>
      </w:pPr>
    </w:p>
    <w:sectPr w:rsidR="002D120F" w:rsidRPr="00684325" w:rsidSect="00AB0B39">
      <w:headerReference w:type="even" r:id="rId28"/>
      <w:headerReference w:type="default" r:id="rId2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CF8E4" w14:textId="77777777" w:rsidR="003B6976" w:rsidRDefault="003B6976">
      <w:r>
        <w:separator/>
      </w:r>
    </w:p>
  </w:endnote>
  <w:endnote w:type="continuationSeparator" w:id="0">
    <w:p w14:paraId="42F26D2B" w14:textId="77777777" w:rsidR="003B6976" w:rsidRDefault="003B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pen Sans">
    <w:altName w:val="Verdan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3B915" w14:textId="77777777" w:rsidR="003B6976" w:rsidRDefault="003B6976">
      <w:r>
        <w:separator/>
      </w:r>
    </w:p>
  </w:footnote>
  <w:footnote w:type="continuationSeparator" w:id="0">
    <w:p w14:paraId="01459E7A" w14:textId="77777777" w:rsidR="003B6976" w:rsidRDefault="003B6976">
      <w:r>
        <w:continuationSeparator/>
      </w:r>
    </w:p>
  </w:footnote>
  <w:footnote w:id="1">
    <w:p w14:paraId="3032E96B" w14:textId="37E08B7F"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Lindert (1969) was the first to follow Bloomfield by studying the role of foreign exchange interventions from 1900 to 1913. His work was also comparative and, as Bloomfield, he relied on annual data. Since then, scholars have confirmed Bloomfield’s results showing a negative correlation between the international and domestic assets of some individuals central banks: Drummond (1976) for Russia, McGouldrick (1984) for Germany, Dutton (1984) and Pippenger (1984) for England, Bazot et al. (2016) for France, Reis (2007) for Portugal before 1887, Jonung (1984) and Ogren (2012) for Sweden and Oksendal (2012) for Norway.  They have also provided a detailed description of foreign exchange intervention in some countries (Reis (2007) and Esteves et al. (2009) for Portugal, Jobst (2009) for Austria-Hungaria, Ugolini (2012) for Belgium and Oksendal (2012) for Norway). </w:t>
      </w:r>
    </w:p>
  </w:footnote>
  <w:footnote w:id="2">
    <w:p w14:paraId="2C318730" w14:textId="77777777"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Bordo and Flandreau (2003) noticed that the level of financial development (measured as money over GDP) was positively associated with the probability to be on the gold standard. Our approach is different because we look at the differences within countries adhering to the gold standard.</w:t>
      </w:r>
    </w:p>
  </w:footnote>
  <w:footnote w:id="3">
    <w:p w14:paraId="0B15A2B0" w14:textId="4F3D3E7F" w:rsidR="00B723ED" w:rsidRPr="00313426" w:rsidRDefault="00B723ED" w:rsidP="00313426">
      <w:pPr>
        <w:pStyle w:val="FootnoteText"/>
        <w:jc w:val="both"/>
        <w:rPr>
          <w:rFonts w:ascii="Garamond" w:hAnsi="Garamond"/>
          <w:b/>
        </w:rPr>
      </w:pPr>
      <w:r w:rsidRPr="00313426">
        <w:rPr>
          <w:rStyle w:val="FootnoteReference"/>
          <w:rFonts w:ascii="Garamond" w:hAnsi="Garamond"/>
        </w:rPr>
        <w:footnoteRef/>
      </w:r>
      <w:r w:rsidRPr="00313426">
        <w:rPr>
          <w:rFonts w:ascii="Garamond" w:hAnsi="Garamond"/>
        </w:rPr>
        <w:t xml:space="preserve"> The dataset includes 19 countries and 21 central banks because the Banks of Naples and Sicili are considered as separate entities.</w:t>
      </w:r>
      <w:r w:rsidRPr="00313426">
        <w:rPr>
          <w:rFonts w:ascii="Garamond" w:hAnsi="Garamond"/>
          <w:b/>
        </w:rPr>
        <w:t xml:space="preserve"> </w:t>
      </w:r>
    </w:p>
  </w:footnote>
  <w:footnote w:id="4">
    <w:p w14:paraId="031C03B3" w14:textId="77777777" w:rsidR="00B723ED" w:rsidRPr="00313426" w:rsidRDefault="00B723ED" w:rsidP="00313426">
      <w:pPr>
        <w:pStyle w:val="FootnoteText"/>
        <w:shd w:val="clear" w:color="auto" w:fill="FFFFFF" w:themeFill="background1"/>
        <w:jc w:val="both"/>
        <w:rPr>
          <w:rFonts w:ascii="Garamond" w:hAnsi="Garamond"/>
          <w:sz w:val="18"/>
          <w:szCs w:val="18"/>
        </w:rPr>
      </w:pPr>
      <w:r w:rsidRPr="00313426">
        <w:rPr>
          <w:rStyle w:val="FootnoteReference"/>
          <w:rFonts w:ascii="Garamond" w:hAnsi="Garamond"/>
        </w:rPr>
        <w:footnoteRef/>
      </w:r>
      <w:r w:rsidRPr="00313426">
        <w:rPr>
          <w:rFonts w:ascii="Garamond" w:hAnsi="Garamond"/>
        </w:rPr>
        <w:t xml:space="preserve"> A recent collection of statistics on historical central bank balance sheets (Ferguson et al. 2015) provides only annual data and broad categories for 12 central banks over the XXth century, with unsystematic distinction between foreign exchange and domestic assets.</w:t>
      </w:r>
    </w:p>
  </w:footnote>
  <w:footnote w:id="5">
    <w:p w14:paraId="64C69389" w14:textId="77777777"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Although Martin-Acena et al. (2012) claim that imperfect gold convertibility was the norm in the peripheral gold standard countries, we are only aware of White (1933), Contamin (2003), Reis (2007) and Bazot et al. (2016) which provide a detailed account of capital controls (gold premia) used by central banks. Bloomfield (1959) had already pointed out the role of premia on gold sales and other exchange controls (see p.58-59 on Russia for example: beyond 50,000 marks; foreign exchange was available to finance imports only).  </w:t>
      </w:r>
    </w:p>
  </w:footnote>
  <w:footnote w:id="6">
    <w:p w14:paraId="3116E0BD" w14:textId="77777777"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Some comparative books on central banking written by economists or journalists during this period reproduced annual balance sheets but not the monthly or weekly ones. See for example Sumner et al. (1896), Lévy (1911), Conant (1915).</w:t>
      </w:r>
    </w:p>
  </w:footnote>
  <w:footnote w:id="7">
    <w:p w14:paraId="55B887B4" w14:textId="22932447" w:rsidR="00B723ED" w:rsidRPr="00313426" w:rsidRDefault="00B723ED" w:rsidP="00313426">
      <w:pPr>
        <w:pStyle w:val="FootnoteText"/>
        <w:jc w:val="both"/>
        <w:rPr>
          <w:rFonts w:ascii="Garamond" w:hAnsi="Garamond"/>
          <w:lang w:val="fr-FR"/>
        </w:rPr>
      </w:pPr>
      <w:r w:rsidRPr="00313426">
        <w:rPr>
          <w:rStyle w:val="FootnoteReference"/>
          <w:rFonts w:ascii="Garamond" w:hAnsi="Garamond"/>
        </w:rPr>
        <w:footnoteRef/>
      </w:r>
      <w:r w:rsidRPr="00313426">
        <w:rPr>
          <w:rFonts w:ascii="Garamond" w:hAnsi="Garamond"/>
        </w:rPr>
        <w:t xml:space="preserve">The interest in comparing central bank balance sheets can be tracked to a 1881 volume published by the Italian statistical institute. </w:t>
      </w:r>
      <w:r w:rsidRPr="00313426">
        <w:rPr>
          <w:rFonts w:ascii="Garamond" w:hAnsi="Garamond"/>
          <w:lang w:val="fr-FR"/>
        </w:rPr>
        <w:t xml:space="preserve">It was published in French. </w:t>
      </w:r>
      <w:r w:rsidRPr="00313426">
        <w:rPr>
          <w:rFonts w:ascii="Garamond" w:hAnsi="Garamond"/>
          <w:i/>
          <w:lang w:val="fr-FR"/>
        </w:rPr>
        <w:t xml:space="preserve">Statistique International des banques d’émission: Autriche-Hongrie, Belgique, Pays-Bas, Suède, Norvège, Espagne, </w:t>
      </w:r>
      <w:r w:rsidRPr="00313426">
        <w:rPr>
          <w:rFonts w:ascii="Garamond" w:hAnsi="Garamond"/>
          <w:lang w:val="fr-FR"/>
        </w:rPr>
        <w:t>Direzione Generale Della Statistica, Rome, Imprimerie Héritiers Botta.</w:t>
      </w:r>
    </w:p>
  </w:footnote>
  <w:footnote w:id="8">
    <w:p w14:paraId="233AE473" w14:textId="77777777"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Some data are available before 1891 for a limited number of central banks and several years are missing. See Archives of the Banque de France (ABF), 1377200101</w:t>
      </w:r>
      <w:r w:rsidRPr="00313426">
        <w:rPr>
          <w:rFonts w:ascii="Garamond" w:hAnsi="Garamond"/>
        </w:rPr>
        <w:tab/>
        <w:t>/50.</w:t>
      </w:r>
    </w:p>
  </w:footnote>
  <w:footnote w:id="9">
    <w:p w14:paraId="255AE460" w14:textId="77777777"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It was then headed by Pierre Des Essars, who is mostly known to international historian for his wide ranging contribution to Sumner et a. (1896) on banking in European countries. Starting 1898, the unit “Statistique des banques étrangères” (Foreign Banking Statistics Service) changed its name to “Etudes économiques” (Economic studies). We thank Patrice Denis for this information. </w:t>
      </w:r>
    </w:p>
  </w:footnote>
  <w:footnote w:id="10">
    <w:p w14:paraId="2AF7ED20" w14:textId="77777777"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The series of domestic commercial portfolios were also used ( at a annual frequency ) in the comparative book of Roulleau (1913)  - the head of the research division of the Banque de France, and renown economist.  Roulleau used such series as a proxy for domestic business cycles. He also provided a lot of institutional details on central banks.</w:t>
      </w:r>
    </w:p>
  </w:footnote>
  <w:footnote w:id="11">
    <w:p w14:paraId="0450AB96" w14:textId="77777777"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Archives of the Banque de France (ABF), 1377200101/51-55.</w:t>
      </w:r>
    </w:p>
  </w:footnote>
  <w:footnote w:id="12">
    <w:p w14:paraId="25D34D7F" w14:textId="77777777"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Archives of the Banque de France (ABF), 1377200101/46-58.</w:t>
      </w:r>
    </w:p>
  </w:footnote>
  <w:footnote w:id="13">
    <w:p w14:paraId="3650B6DC" w14:textId="77777777"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The use of foreign bills by the Banque de France indeed started in 1906, with the exception of a swap with the Bank of England in 1890 during the Baring Crisis (Bazot et al. 2016).</w:t>
      </w:r>
    </w:p>
  </w:footnote>
  <w:footnote w:id="14">
    <w:p w14:paraId="767B8ABD" w14:textId="74C56EEC"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The rationale for holding foreign exchange reserves was not limited to foreign exchange interventions. For profit maximizing central banks of the time, foreign bills could earn a higher return than metallic reserves (Lindert 1969). </w:t>
      </w:r>
    </w:p>
  </w:footnote>
  <w:footnote w:id="15">
    <w:p w14:paraId="3CFFD48D" w14:textId="01E3753D"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Note that in order to account for all kind of advances against safe and liquid assets, advances on real estate’s short term assets have been included in series #5 for Denmark, Norway, and Sweden. Mortgage loans were excluded when they were long term loans financed by issuance of bonds rather than by money creation (Austria Hungaria, Greece, Bulgaria, Italy until 1894). In such cases, they are very stable. For a description of the use of advances on real estate by various central banks during this period, see, </w:t>
      </w:r>
      <w:r w:rsidRPr="00313426">
        <w:rPr>
          <w:rFonts w:ascii="Garamond" w:hAnsi="Garamond"/>
          <w:i/>
        </w:rPr>
        <w:t xml:space="preserve">Statistique International des banques d’émission: Autriche-Hongrie, Belgique, Pays-Bas, Suède, Norvège, Espagne, </w:t>
      </w:r>
      <w:r w:rsidRPr="00313426">
        <w:rPr>
          <w:rFonts w:ascii="Garamond" w:hAnsi="Garamond"/>
        </w:rPr>
        <w:t>Direzione Generale Della Statistica, Rome, Imprimerie Héritiers Botta, 1881.</w:t>
      </w:r>
    </w:p>
  </w:footnote>
  <w:footnote w:id="16">
    <w:p w14:paraId="63FCC07A" w14:textId="77777777"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Bloomfield was aware of the effect of the international cycle and considered the fact that there might be a negative correlation between international and domestic portfolios if the loans of the central bank varied counter-cyclically with the economy: “In some cases a more important explanation may lie in the fact that the international and domestic assets of central banks tended to move in opposite directions under the common influence of cyclical forces. In periods of business expansion, the domestic assets of all central banks tended naturally to rise, and in periods of contraction to fall. But as we have seen earlier, the international assets of various central banks tended to fall in periods of expansion and to rise in periods of contraction. In the case of these banks, then, we have another explanation for the tendency toward opposite annual movements in the two sets of assets.” Bloomfield (1959), p. 51.</w:t>
      </w:r>
    </w:p>
  </w:footnote>
  <w:footnote w:id="17">
    <w:p w14:paraId="02A5CC1F" w14:textId="6772FBE9"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Jorda et al. (2019) uses a similar identification, instrumenting domestic monetary policy shock with the BoE rate during the gold standard (and Fed rate thereafter).</w:t>
      </w:r>
    </w:p>
  </w:footnote>
  <w:footnote w:id="18">
    <w:p w14:paraId="1D3715AB" w14:textId="31F3D2DD" w:rsidR="00B723ED" w:rsidRPr="00BA3B1B" w:rsidRDefault="00B723ED">
      <w:pPr>
        <w:pStyle w:val="FootnoteText"/>
        <w:rPr>
          <w:rFonts w:ascii="Garamond" w:hAnsi="Garamond"/>
        </w:rPr>
      </w:pPr>
      <w:r w:rsidRPr="00BA3B1B">
        <w:rPr>
          <w:rStyle w:val="FootnoteReference"/>
          <w:rFonts w:ascii="Garamond" w:hAnsi="Garamond"/>
        </w:rPr>
        <w:footnoteRef/>
      </w:r>
      <w:r w:rsidRPr="00BA3B1B">
        <w:rPr>
          <w:rFonts w:ascii="Garamond" w:hAnsi="Garamond"/>
        </w:rPr>
        <w:t xml:space="preserve"> As explained in Morys (2013), gold point violation was not infrequent over the considered period.</w:t>
      </w:r>
    </w:p>
  </w:footnote>
  <w:footnote w:id="19">
    <w:p w14:paraId="037FA932" w14:textId="77777777"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Fisher and IPS tests are particularly convenient as they can be performed despite unbalanced panel database.</w:t>
      </w:r>
    </w:p>
  </w:footnote>
  <w:footnote w:id="20">
    <w:p w14:paraId="2D6B2EDD" w14:textId="1B24FE4A"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A mint parity is proposed by the BdF source even if a country did not adhere to the Gold Standard. However, because the constraints of the Gold Standard were not binding for those countries, it might be more consistent to use the percentage variation in the exchange rate value in lieu of the deviation from mint parity. The results and conclusions remain the same with such alternative measure. See figure A1 in the appendix to this paper. </w:t>
      </w:r>
    </w:p>
  </w:footnote>
  <w:footnote w:id="21">
    <w:p w14:paraId="66FE0123" w14:textId="19016011"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Note that the estimation does not add the bank of Napoli and Sicilia, though inclusion of those banks does not affect the results</w:t>
      </w:r>
    </w:p>
  </w:footnote>
  <w:footnote w:id="22">
    <w:p w14:paraId="4B044A4E" w14:textId="2290191E" w:rsidR="00C63B9B" w:rsidRPr="00C63B9B" w:rsidRDefault="00C63B9B">
      <w:pPr>
        <w:pStyle w:val="FootnoteText"/>
        <w:rPr>
          <w:rFonts w:ascii="Garamond" w:hAnsi="Garamond"/>
        </w:rPr>
      </w:pPr>
      <w:r w:rsidRPr="00C63B9B">
        <w:rPr>
          <w:rStyle w:val="FootnoteReference"/>
          <w:rFonts w:ascii="Garamond" w:hAnsi="Garamond"/>
        </w:rPr>
        <w:footnoteRef/>
      </w:r>
      <w:r w:rsidRPr="00C63B9B">
        <w:rPr>
          <w:rFonts w:ascii="Garamond" w:hAnsi="Garamond"/>
        </w:rPr>
        <w:t xml:space="preserve"> The US Treasury also conducted some foreign exchange interventions (Bordo, Humpage and Schwartz 2015).</w:t>
      </w:r>
    </w:p>
  </w:footnote>
  <w:footnote w:id="23">
    <w:p w14:paraId="4240F302" w14:textId="7560E769"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In order to be extend the comparison, we produce LP using open market rate instead of discount rate for core countries. The open market rate reacts three time less in core countries compared to the US. See figure A2 in the appendix to this paper.</w:t>
      </w:r>
    </w:p>
  </w:footnote>
  <w:footnote w:id="24">
    <w:p w14:paraId="71A85AD6" w14:textId="235B9365" w:rsidR="00B723ED" w:rsidRPr="00313426" w:rsidRDefault="00B723ED" w:rsidP="00313426">
      <w:pPr>
        <w:pStyle w:val="FootnoteText"/>
        <w:jc w:val="both"/>
        <w:rPr>
          <w:rFonts w:ascii="Garamond" w:hAnsi="Garamond"/>
        </w:rPr>
      </w:pPr>
      <w:r w:rsidRPr="00313426">
        <w:rPr>
          <w:rStyle w:val="FootnoteReference"/>
          <w:rFonts w:ascii="Garamond" w:hAnsi="Garamond"/>
        </w:rPr>
        <w:footnoteRef/>
      </w:r>
      <w:r w:rsidRPr="00313426">
        <w:rPr>
          <w:rFonts w:ascii="Garamond" w:hAnsi="Garamond"/>
        </w:rPr>
        <w:t xml:space="preserve"> As explained in Bazot et al. (2016), the money markets for which interest rates are recorded were premium markets. So,</w:t>
      </w:r>
      <w:r>
        <w:rPr>
          <w:rFonts w:ascii="Garamond" w:hAnsi="Garamond"/>
        </w:rPr>
        <w:t xml:space="preserve"> many financial</w:t>
      </w:r>
      <w:r w:rsidRPr="00313426">
        <w:rPr>
          <w:rFonts w:ascii="Garamond" w:hAnsi="Garamond"/>
        </w:rPr>
        <w:t xml:space="preserve"> institutions did not have a</w:t>
      </w:r>
      <w:r>
        <w:rPr>
          <w:rFonts w:ascii="Garamond" w:hAnsi="Garamond"/>
        </w:rPr>
        <w:t>ccess to this market and faced</w:t>
      </w:r>
      <w:r w:rsidRPr="00313426">
        <w:rPr>
          <w:rFonts w:ascii="Garamond" w:hAnsi="Garamond"/>
        </w:rPr>
        <w:t xml:space="preserve"> higher interest rate</w:t>
      </w:r>
      <w:r>
        <w:rPr>
          <w:rFonts w:ascii="Garamond" w:hAnsi="Garamond"/>
        </w:rPr>
        <w:t>s</w:t>
      </w:r>
      <w:r w:rsidRPr="00313426">
        <w:rPr>
          <w:rFonts w:ascii="Garamond" w:hAnsi="Garamond"/>
        </w:rPr>
        <w:t xml:space="preserve">. </w:t>
      </w:r>
      <w:r>
        <w:rPr>
          <w:rFonts w:ascii="Garamond" w:hAnsi="Garamond"/>
        </w:rPr>
        <w:t>Therefore, as the market rate increased, these institutions found more profitable to ask for</w:t>
      </w:r>
      <w:r w:rsidRPr="00313426">
        <w:rPr>
          <w:rFonts w:ascii="Garamond" w:hAnsi="Garamond"/>
        </w:rPr>
        <w:t xml:space="preserve"> the central bank</w:t>
      </w:r>
      <w:r>
        <w:rPr>
          <w:rFonts w:ascii="Garamond" w:hAnsi="Garamond"/>
        </w:rPr>
        <w:t xml:space="preserve"> discount window </w:t>
      </w:r>
      <w:r w:rsidRPr="00313426">
        <w:rPr>
          <w:rFonts w:ascii="Garamond" w:hAnsi="Garamond"/>
        </w:rPr>
        <w:t xml:space="preserve">due to its unique national discount rate. </w:t>
      </w:r>
      <w:r>
        <w:rPr>
          <w:rFonts w:ascii="Garamond" w:hAnsi="Garamond"/>
        </w:rPr>
        <w:t>In particular,</w:t>
      </w:r>
      <w:r w:rsidRPr="00313426">
        <w:rPr>
          <w:rFonts w:ascii="Garamond" w:hAnsi="Garamond"/>
        </w:rPr>
        <w:t xml:space="preserve"> central bank local branches </w:t>
      </w:r>
      <w:r>
        <w:rPr>
          <w:rFonts w:ascii="Garamond" w:hAnsi="Garamond"/>
        </w:rPr>
        <w:t>were used as a privileged access to credit outside large financial centres</w:t>
      </w:r>
      <w:r w:rsidRPr="00313426">
        <w:rPr>
          <w:rFonts w:ascii="Garamond" w:hAnsi="Garamond"/>
        </w:rPr>
        <w:t xml:space="preserve"> (Jobst, 2010; Bazot, 2014).</w:t>
      </w:r>
      <w:r>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42C1" w14:textId="77777777" w:rsidR="00B723ED" w:rsidRDefault="00B723ED" w:rsidP="008579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9BB190" w14:textId="77777777" w:rsidR="00B723ED" w:rsidRDefault="00B72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FC71" w14:textId="5D3B630B" w:rsidR="00B723ED" w:rsidRDefault="00B723ED" w:rsidP="00857921">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1A72EF">
      <w:rPr>
        <w:rStyle w:val="PageNumber"/>
        <w:noProof/>
      </w:rPr>
      <w:t>6</w:t>
    </w:r>
    <w:r>
      <w:rPr>
        <w:rStyle w:val="PageNumber"/>
      </w:rPr>
      <w:fldChar w:fldCharType="end"/>
    </w:r>
    <w:r>
      <w:rPr>
        <w:rStyle w:val="PageNumber"/>
      </w:rPr>
      <w:t xml:space="preserve"> -</w:t>
    </w:r>
  </w:p>
  <w:p w14:paraId="370E746F" w14:textId="77777777" w:rsidR="00B723ED" w:rsidRDefault="00B72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594A"/>
    <w:multiLevelType w:val="hybridMultilevel"/>
    <w:tmpl w:val="D99CBDBE"/>
    <w:lvl w:ilvl="0" w:tplc="B19E708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92832"/>
    <w:multiLevelType w:val="hybridMultilevel"/>
    <w:tmpl w:val="F830E030"/>
    <w:lvl w:ilvl="0" w:tplc="72BE75EA">
      <w:start w:val="4"/>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95FC5"/>
    <w:multiLevelType w:val="multilevel"/>
    <w:tmpl w:val="8DDEF56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3" w15:restartNumberingAfterBreak="0">
    <w:nsid w:val="10792CD6"/>
    <w:multiLevelType w:val="hybridMultilevel"/>
    <w:tmpl w:val="51B26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942D2"/>
    <w:multiLevelType w:val="hybridMultilevel"/>
    <w:tmpl w:val="CABE8B30"/>
    <w:lvl w:ilvl="0" w:tplc="CF628444">
      <w:start w:val="6"/>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A9C082E"/>
    <w:multiLevelType w:val="hybridMultilevel"/>
    <w:tmpl w:val="69123734"/>
    <w:lvl w:ilvl="0" w:tplc="533EE95E">
      <w:start w:val="7"/>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6" w15:restartNumberingAfterBreak="0">
    <w:nsid w:val="1DBD184F"/>
    <w:multiLevelType w:val="hybridMultilevel"/>
    <w:tmpl w:val="024EACDC"/>
    <w:lvl w:ilvl="0" w:tplc="F54E3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A13E6"/>
    <w:multiLevelType w:val="hybridMultilevel"/>
    <w:tmpl w:val="1EEC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15243"/>
    <w:multiLevelType w:val="hybridMultilevel"/>
    <w:tmpl w:val="2530EF6C"/>
    <w:lvl w:ilvl="0" w:tplc="B3FEBD1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51C8C"/>
    <w:multiLevelType w:val="hybridMultilevel"/>
    <w:tmpl w:val="69123734"/>
    <w:lvl w:ilvl="0" w:tplc="533EE95E">
      <w:start w:val="7"/>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0" w15:restartNumberingAfterBreak="0">
    <w:nsid w:val="377A755A"/>
    <w:multiLevelType w:val="hybridMultilevel"/>
    <w:tmpl w:val="64CEB0A0"/>
    <w:lvl w:ilvl="0" w:tplc="03F05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F75C7"/>
    <w:multiLevelType w:val="hybridMultilevel"/>
    <w:tmpl w:val="476C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77DF4"/>
    <w:multiLevelType w:val="hybridMultilevel"/>
    <w:tmpl w:val="754EA098"/>
    <w:lvl w:ilvl="0" w:tplc="8B1052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643E5"/>
    <w:multiLevelType w:val="hybridMultilevel"/>
    <w:tmpl w:val="B204D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6860BF"/>
    <w:multiLevelType w:val="hybridMultilevel"/>
    <w:tmpl w:val="919A43C2"/>
    <w:lvl w:ilvl="0" w:tplc="EC52B5BE">
      <w:start w:val="1"/>
      <w:numFmt w:val="bullet"/>
      <w:lvlText w:val="•"/>
      <w:lvlJc w:val="left"/>
      <w:pPr>
        <w:tabs>
          <w:tab w:val="num" w:pos="720"/>
        </w:tabs>
        <w:ind w:left="720" w:hanging="360"/>
      </w:pPr>
      <w:rPr>
        <w:rFonts w:ascii="Times New Roman" w:hAnsi="Times New Roman" w:hint="default"/>
      </w:rPr>
    </w:lvl>
    <w:lvl w:ilvl="1" w:tplc="D3724186" w:tentative="1">
      <w:start w:val="1"/>
      <w:numFmt w:val="bullet"/>
      <w:lvlText w:val="•"/>
      <w:lvlJc w:val="left"/>
      <w:pPr>
        <w:tabs>
          <w:tab w:val="num" w:pos="1440"/>
        </w:tabs>
        <w:ind w:left="1440" w:hanging="360"/>
      </w:pPr>
      <w:rPr>
        <w:rFonts w:ascii="Times New Roman" w:hAnsi="Times New Roman" w:hint="default"/>
      </w:rPr>
    </w:lvl>
    <w:lvl w:ilvl="2" w:tplc="21DC4CD4" w:tentative="1">
      <w:start w:val="1"/>
      <w:numFmt w:val="bullet"/>
      <w:lvlText w:val="•"/>
      <w:lvlJc w:val="left"/>
      <w:pPr>
        <w:tabs>
          <w:tab w:val="num" w:pos="2160"/>
        </w:tabs>
        <w:ind w:left="2160" w:hanging="360"/>
      </w:pPr>
      <w:rPr>
        <w:rFonts w:ascii="Times New Roman" w:hAnsi="Times New Roman" w:hint="default"/>
      </w:rPr>
    </w:lvl>
    <w:lvl w:ilvl="3" w:tplc="E7E8483E" w:tentative="1">
      <w:start w:val="1"/>
      <w:numFmt w:val="bullet"/>
      <w:lvlText w:val="•"/>
      <w:lvlJc w:val="left"/>
      <w:pPr>
        <w:tabs>
          <w:tab w:val="num" w:pos="2880"/>
        </w:tabs>
        <w:ind w:left="2880" w:hanging="360"/>
      </w:pPr>
      <w:rPr>
        <w:rFonts w:ascii="Times New Roman" w:hAnsi="Times New Roman" w:hint="default"/>
      </w:rPr>
    </w:lvl>
    <w:lvl w:ilvl="4" w:tplc="EB78DCA2" w:tentative="1">
      <w:start w:val="1"/>
      <w:numFmt w:val="bullet"/>
      <w:lvlText w:val="•"/>
      <w:lvlJc w:val="left"/>
      <w:pPr>
        <w:tabs>
          <w:tab w:val="num" w:pos="3600"/>
        </w:tabs>
        <w:ind w:left="3600" w:hanging="360"/>
      </w:pPr>
      <w:rPr>
        <w:rFonts w:ascii="Times New Roman" w:hAnsi="Times New Roman" w:hint="default"/>
      </w:rPr>
    </w:lvl>
    <w:lvl w:ilvl="5" w:tplc="F22AB654" w:tentative="1">
      <w:start w:val="1"/>
      <w:numFmt w:val="bullet"/>
      <w:lvlText w:val="•"/>
      <w:lvlJc w:val="left"/>
      <w:pPr>
        <w:tabs>
          <w:tab w:val="num" w:pos="4320"/>
        </w:tabs>
        <w:ind w:left="4320" w:hanging="360"/>
      </w:pPr>
      <w:rPr>
        <w:rFonts w:ascii="Times New Roman" w:hAnsi="Times New Roman" w:hint="default"/>
      </w:rPr>
    </w:lvl>
    <w:lvl w:ilvl="6" w:tplc="4C1C659E" w:tentative="1">
      <w:start w:val="1"/>
      <w:numFmt w:val="bullet"/>
      <w:lvlText w:val="•"/>
      <w:lvlJc w:val="left"/>
      <w:pPr>
        <w:tabs>
          <w:tab w:val="num" w:pos="5040"/>
        </w:tabs>
        <w:ind w:left="5040" w:hanging="360"/>
      </w:pPr>
      <w:rPr>
        <w:rFonts w:ascii="Times New Roman" w:hAnsi="Times New Roman" w:hint="default"/>
      </w:rPr>
    </w:lvl>
    <w:lvl w:ilvl="7" w:tplc="CC4E555A" w:tentative="1">
      <w:start w:val="1"/>
      <w:numFmt w:val="bullet"/>
      <w:lvlText w:val="•"/>
      <w:lvlJc w:val="left"/>
      <w:pPr>
        <w:tabs>
          <w:tab w:val="num" w:pos="5760"/>
        </w:tabs>
        <w:ind w:left="5760" w:hanging="360"/>
      </w:pPr>
      <w:rPr>
        <w:rFonts w:ascii="Times New Roman" w:hAnsi="Times New Roman" w:hint="default"/>
      </w:rPr>
    </w:lvl>
    <w:lvl w:ilvl="8" w:tplc="CA7E019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505F9E"/>
    <w:multiLevelType w:val="hybridMultilevel"/>
    <w:tmpl w:val="70FA9494"/>
    <w:lvl w:ilvl="0" w:tplc="FC38A36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E4B24"/>
    <w:multiLevelType w:val="multilevel"/>
    <w:tmpl w:val="175454E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A8A4B39"/>
    <w:multiLevelType w:val="hybridMultilevel"/>
    <w:tmpl w:val="B6685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5"/>
  </w:num>
  <w:num w:numId="5">
    <w:abstractNumId w:val="17"/>
  </w:num>
  <w:num w:numId="6">
    <w:abstractNumId w:val="13"/>
  </w:num>
  <w:num w:numId="7">
    <w:abstractNumId w:val="3"/>
  </w:num>
  <w:num w:numId="8">
    <w:abstractNumId w:val="2"/>
  </w:num>
  <w:num w:numId="9">
    <w:abstractNumId w:val="16"/>
  </w:num>
  <w:num w:numId="10">
    <w:abstractNumId w:val="1"/>
  </w:num>
  <w:num w:numId="11">
    <w:abstractNumId w:val="11"/>
  </w:num>
  <w:num w:numId="12">
    <w:abstractNumId w:val="8"/>
  </w:num>
  <w:num w:numId="13">
    <w:abstractNumId w:val="7"/>
  </w:num>
  <w:num w:numId="14">
    <w:abstractNumId w:val="4"/>
  </w:num>
  <w:num w:numId="15">
    <w:abstractNumId w:val="5"/>
  </w:num>
  <w:num w:numId="16">
    <w:abstractNumId w:val="9"/>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hicago 15th A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50wp2vrdi2zaz5e9a9v5dtx6wpwt9rzreda5&quot;&gt;SEE Business Cycles Paper&lt;record-ids&gt;&lt;item&gt;123&lt;/item&gt;&lt;/record-ids&gt;&lt;/item&gt;&lt;/Libraries&gt;"/>
  </w:docVars>
  <w:rsids>
    <w:rsidRoot w:val="00FE390E"/>
    <w:rsid w:val="000005A8"/>
    <w:rsid w:val="00002A24"/>
    <w:rsid w:val="00004F7C"/>
    <w:rsid w:val="00005AA4"/>
    <w:rsid w:val="0001015F"/>
    <w:rsid w:val="0001106D"/>
    <w:rsid w:val="000111CB"/>
    <w:rsid w:val="0001185B"/>
    <w:rsid w:val="00013592"/>
    <w:rsid w:val="000167AB"/>
    <w:rsid w:val="0001752A"/>
    <w:rsid w:val="00017913"/>
    <w:rsid w:val="00021745"/>
    <w:rsid w:val="000302A7"/>
    <w:rsid w:val="0004281C"/>
    <w:rsid w:val="00043F20"/>
    <w:rsid w:val="000477AE"/>
    <w:rsid w:val="00050650"/>
    <w:rsid w:val="0005325A"/>
    <w:rsid w:val="000576E8"/>
    <w:rsid w:val="000607F6"/>
    <w:rsid w:val="00064F04"/>
    <w:rsid w:val="00064F68"/>
    <w:rsid w:val="00064FE7"/>
    <w:rsid w:val="000666F7"/>
    <w:rsid w:val="00066AD2"/>
    <w:rsid w:val="00067CD8"/>
    <w:rsid w:val="000704C4"/>
    <w:rsid w:val="0007323B"/>
    <w:rsid w:val="000736E7"/>
    <w:rsid w:val="00081DDB"/>
    <w:rsid w:val="000825A6"/>
    <w:rsid w:val="00084FF2"/>
    <w:rsid w:val="00085248"/>
    <w:rsid w:val="000866D7"/>
    <w:rsid w:val="000901A1"/>
    <w:rsid w:val="000A1988"/>
    <w:rsid w:val="000A2E72"/>
    <w:rsid w:val="000A4FE7"/>
    <w:rsid w:val="000A7B27"/>
    <w:rsid w:val="000B113B"/>
    <w:rsid w:val="000B63E7"/>
    <w:rsid w:val="000B7546"/>
    <w:rsid w:val="000C16DC"/>
    <w:rsid w:val="000C21D3"/>
    <w:rsid w:val="000C2FE9"/>
    <w:rsid w:val="000C3A2D"/>
    <w:rsid w:val="000D0E10"/>
    <w:rsid w:val="000D126E"/>
    <w:rsid w:val="000E04A1"/>
    <w:rsid w:val="000E1121"/>
    <w:rsid w:val="000E26FE"/>
    <w:rsid w:val="000E4976"/>
    <w:rsid w:val="000E61CD"/>
    <w:rsid w:val="000F39EF"/>
    <w:rsid w:val="00100693"/>
    <w:rsid w:val="00106719"/>
    <w:rsid w:val="0011127D"/>
    <w:rsid w:val="00112AD7"/>
    <w:rsid w:val="0011578E"/>
    <w:rsid w:val="00117EE5"/>
    <w:rsid w:val="00121ED9"/>
    <w:rsid w:val="00126C5D"/>
    <w:rsid w:val="00131D48"/>
    <w:rsid w:val="0013564D"/>
    <w:rsid w:val="001373DA"/>
    <w:rsid w:val="001401A8"/>
    <w:rsid w:val="00140D84"/>
    <w:rsid w:val="001436E7"/>
    <w:rsid w:val="00150323"/>
    <w:rsid w:val="0015463B"/>
    <w:rsid w:val="00160001"/>
    <w:rsid w:val="00163AFC"/>
    <w:rsid w:val="001704D2"/>
    <w:rsid w:val="0017193F"/>
    <w:rsid w:val="00171CDE"/>
    <w:rsid w:val="001732C4"/>
    <w:rsid w:val="00176D26"/>
    <w:rsid w:val="00180135"/>
    <w:rsid w:val="001847FA"/>
    <w:rsid w:val="00185902"/>
    <w:rsid w:val="00185B13"/>
    <w:rsid w:val="00186622"/>
    <w:rsid w:val="001911BF"/>
    <w:rsid w:val="00195D62"/>
    <w:rsid w:val="001A0438"/>
    <w:rsid w:val="001A6413"/>
    <w:rsid w:val="001A72EF"/>
    <w:rsid w:val="001B0B5E"/>
    <w:rsid w:val="001B3AD1"/>
    <w:rsid w:val="001B4C00"/>
    <w:rsid w:val="001B5636"/>
    <w:rsid w:val="001B7A77"/>
    <w:rsid w:val="001C2821"/>
    <w:rsid w:val="001D1EF3"/>
    <w:rsid w:val="001D27DE"/>
    <w:rsid w:val="001D6DE5"/>
    <w:rsid w:val="001D7959"/>
    <w:rsid w:val="001E5418"/>
    <w:rsid w:val="001E5E3B"/>
    <w:rsid w:val="001E7412"/>
    <w:rsid w:val="001F355B"/>
    <w:rsid w:val="001F3EC0"/>
    <w:rsid w:val="001F436F"/>
    <w:rsid w:val="001F7093"/>
    <w:rsid w:val="001F7098"/>
    <w:rsid w:val="00201D01"/>
    <w:rsid w:val="00203546"/>
    <w:rsid w:val="00206FC5"/>
    <w:rsid w:val="00207299"/>
    <w:rsid w:val="002104D4"/>
    <w:rsid w:val="002111E7"/>
    <w:rsid w:val="00215B7F"/>
    <w:rsid w:val="00216247"/>
    <w:rsid w:val="002163D3"/>
    <w:rsid w:val="00217C6C"/>
    <w:rsid w:val="00220316"/>
    <w:rsid w:val="00221B46"/>
    <w:rsid w:val="0022218B"/>
    <w:rsid w:val="00224ED6"/>
    <w:rsid w:val="00225431"/>
    <w:rsid w:val="00225758"/>
    <w:rsid w:val="00230DC0"/>
    <w:rsid w:val="00232CDA"/>
    <w:rsid w:val="00234B77"/>
    <w:rsid w:val="00236DEF"/>
    <w:rsid w:val="0024099F"/>
    <w:rsid w:val="002514C3"/>
    <w:rsid w:val="00251DC8"/>
    <w:rsid w:val="00252CD2"/>
    <w:rsid w:val="00253DD0"/>
    <w:rsid w:val="002544FC"/>
    <w:rsid w:val="00254514"/>
    <w:rsid w:val="00264934"/>
    <w:rsid w:val="00264A10"/>
    <w:rsid w:val="00265F8E"/>
    <w:rsid w:val="002677B4"/>
    <w:rsid w:val="002745BB"/>
    <w:rsid w:val="00275675"/>
    <w:rsid w:val="002758B6"/>
    <w:rsid w:val="00280347"/>
    <w:rsid w:val="002819C8"/>
    <w:rsid w:val="00285060"/>
    <w:rsid w:val="00292DA6"/>
    <w:rsid w:val="00294010"/>
    <w:rsid w:val="0029700E"/>
    <w:rsid w:val="002A360E"/>
    <w:rsid w:val="002A36F1"/>
    <w:rsid w:val="002A4CBE"/>
    <w:rsid w:val="002A5CAF"/>
    <w:rsid w:val="002A781F"/>
    <w:rsid w:val="002B0910"/>
    <w:rsid w:val="002B4094"/>
    <w:rsid w:val="002B657F"/>
    <w:rsid w:val="002C17B8"/>
    <w:rsid w:val="002C2BBF"/>
    <w:rsid w:val="002C456B"/>
    <w:rsid w:val="002D120F"/>
    <w:rsid w:val="002D2A46"/>
    <w:rsid w:val="002D304A"/>
    <w:rsid w:val="002D38C5"/>
    <w:rsid w:val="002D6202"/>
    <w:rsid w:val="002D71B9"/>
    <w:rsid w:val="002E24D8"/>
    <w:rsid w:val="002E3429"/>
    <w:rsid w:val="002E4629"/>
    <w:rsid w:val="002F2CDF"/>
    <w:rsid w:val="002F51B5"/>
    <w:rsid w:val="002F6474"/>
    <w:rsid w:val="002F7E63"/>
    <w:rsid w:val="003009BA"/>
    <w:rsid w:val="00301D36"/>
    <w:rsid w:val="00302B4F"/>
    <w:rsid w:val="0030528C"/>
    <w:rsid w:val="00312A08"/>
    <w:rsid w:val="00312AAC"/>
    <w:rsid w:val="00313426"/>
    <w:rsid w:val="00314684"/>
    <w:rsid w:val="00321B6E"/>
    <w:rsid w:val="00330A24"/>
    <w:rsid w:val="00334B02"/>
    <w:rsid w:val="00334EEE"/>
    <w:rsid w:val="00335028"/>
    <w:rsid w:val="00335DFE"/>
    <w:rsid w:val="00336482"/>
    <w:rsid w:val="003364F1"/>
    <w:rsid w:val="00336808"/>
    <w:rsid w:val="00341577"/>
    <w:rsid w:val="00341684"/>
    <w:rsid w:val="00343B26"/>
    <w:rsid w:val="00347112"/>
    <w:rsid w:val="00350BF9"/>
    <w:rsid w:val="00352B54"/>
    <w:rsid w:val="0035431E"/>
    <w:rsid w:val="003561EF"/>
    <w:rsid w:val="00361C68"/>
    <w:rsid w:val="00362989"/>
    <w:rsid w:val="00362D01"/>
    <w:rsid w:val="00365864"/>
    <w:rsid w:val="00366122"/>
    <w:rsid w:val="00372802"/>
    <w:rsid w:val="00374E01"/>
    <w:rsid w:val="00376705"/>
    <w:rsid w:val="00377A5B"/>
    <w:rsid w:val="00382252"/>
    <w:rsid w:val="00383C91"/>
    <w:rsid w:val="00386811"/>
    <w:rsid w:val="00387E29"/>
    <w:rsid w:val="003907ED"/>
    <w:rsid w:val="00390ED6"/>
    <w:rsid w:val="00391D4B"/>
    <w:rsid w:val="0039313B"/>
    <w:rsid w:val="003948AD"/>
    <w:rsid w:val="00395EB7"/>
    <w:rsid w:val="00397665"/>
    <w:rsid w:val="00397707"/>
    <w:rsid w:val="00397C8A"/>
    <w:rsid w:val="003A0E2C"/>
    <w:rsid w:val="003A10A5"/>
    <w:rsid w:val="003B017A"/>
    <w:rsid w:val="003B09B6"/>
    <w:rsid w:val="003B11F1"/>
    <w:rsid w:val="003B2C24"/>
    <w:rsid w:val="003B31CF"/>
    <w:rsid w:val="003B3E6B"/>
    <w:rsid w:val="003B4332"/>
    <w:rsid w:val="003B585A"/>
    <w:rsid w:val="003B6976"/>
    <w:rsid w:val="003C77CB"/>
    <w:rsid w:val="003D14BB"/>
    <w:rsid w:val="003D1D18"/>
    <w:rsid w:val="003D2F39"/>
    <w:rsid w:val="003D41C1"/>
    <w:rsid w:val="003D4D95"/>
    <w:rsid w:val="003D5050"/>
    <w:rsid w:val="003D574A"/>
    <w:rsid w:val="003D683B"/>
    <w:rsid w:val="003E11AE"/>
    <w:rsid w:val="003E2CE4"/>
    <w:rsid w:val="003E3E11"/>
    <w:rsid w:val="003E52ED"/>
    <w:rsid w:val="003E5961"/>
    <w:rsid w:val="003F1FFD"/>
    <w:rsid w:val="003F3848"/>
    <w:rsid w:val="003F5392"/>
    <w:rsid w:val="003F73A5"/>
    <w:rsid w:val="00401314"/>
    <w:rsid w:val="00405E44"/>
    <w:rsid w:val="004121D4"/>
    <w:rsid w:val="004125B3"/>
    <w:rsid w:val="00412CE5"/>
    <w:rsid w:val="00414EFD"/>
    <w:rsid w:val="00415565"/>
    <w:rsid w:val="004169A0"/>
    <w:rsid w:val="004201C6"/>
    <w:rsid w:val="0042056C"/>
    <w:rsid w:val="004219F0"/>
    <w:rsid w:val="00423EC6"/>
    <w:rsid w:val="004325EB"/>
    <w:rsid w:val="004327FB"/>
    <w:rsid w:val="00440999"/>
    <w:rsid w:val="00450930"/>
    <w:rsid w:val="00453543"/>
    <w:rsid w:val="00453AE0"/>
    <w:rsid w:val="00456070"/>
    <w:rsid w:val="00456A77"/>
    <w:rsid w:val="00457848"/>
    <w:rsid w:val="00463592"/>
    <w:rsid w:val="0047207B"/>
    <w:rsid w:val="004726B6"/>
    <w:rsid w:val="00472B10"/>
    <w:rsid w:val="004737C0"/>
    <w:rsid w:val="0047794A"/>
    <w:rsid w:val="00480341"/>
    <w:rsid w:val="00480936"/>
    <w:rsid w:val="00480939"/>
    <w:rsid w:val="00480AC0"/>
    <w:rsid w:val="00483AB8"/>
    <w:rsid w:val="004843B2"/>
    <w:rsid w:val="00490337"/>
    <w:rsid w:val="004938AD"/>
    <w:rsid w:val="004A4747"/>
    <w:rsid w:val="004A538C"/>
    <w:rsid w:val="004A572E"/>
    <w:rsid w:val="004A5AFD"/>
    <w:rsid w:val="004A7886"/>
    <w:rsid w:val="004B0C89"/>
    <w:rsid w:val="004B159A"/>
    <w:rsid w:val="004C1CCB"/>
    <w:rsid w:val="004C5B23"/>
    <w:rsid w:val="004D3034"/>
    <w:rsid w:val="004D400A"/>
    <w:rsid w:val="004D6219"/>
    <w:rsid w:val="004D669C"/>
    <w:rsid w:val="004D75A5"/>
    <w:rsid w:val="004D7B07"/>
    <w:rsid w:val="004D7F07"/>
    <w:rsid w:val="004E2A45"/>
    <w:rsid w:val="004E3DE3"/>
    <w:rsid w:val="004E65F3"/>
    <w:rsid w:val="004F0C80"/>
    <w:rsid w:val="004F103B"/>
    <w:rsid w:val="004F1BFC"/>
    <w:rsid w:val="004F63CF"/>
    <w:rsid w:val="0050009F"/>
    <w:rsid w:val="00503055"/>
    <w:rsid w:val="00504711"/>
    <w:rsid w:val="00504CA2"/>
    <w:rsid w:val="00507D4D"/>
    <w:rsid w:val="00515209"/>
    <w:rsid w:val="00516FF4"/>
    <w:rsid w:val="005309DC"/>
    <w:rsid w:val="00537D20"/>
    <w:rsid w:val="00540333"/>
    <w:rsid w:val="005403CC"/>
    <w:rsid w:val="00543C99"/>
    <w:rsid w:val="00544ABB"/>
    <w:rsid w:val="00545FE0"/>
    <w:rsid w:val="00546548"/>
    <w:rsid w:val="00552E3E"/>
    <w:rsid w:val="00555F7D"/>
    <w:rsid w:val="00560D83"/>
    <w:rsid w:val="00571195"/>
    <w:rsid w:val="0057407C"/>
    <w:rsid w:val="00574BDE"/>
    <w:rsid w:val="0057588A"/>
    <w:rsid w:val="00577411"/>
    <w:rsid w:val="00580006"/>
    <w:rsid w:val="00585C6D"/>
    <w:rsid w:val="005867EC"/>
    <w:rsid w:val="00586F66"/>
    <w:rsid w:val="00590373"/>
    <w:rsid w:val="00593D0C"/>
    <w:rsid w:val="0059401E"/>
    <w:rsid w:val="005957BA"/>
    <w:rsid w:val="00596398"/>
    <w:rsid w:val="005974D8"/>
    <w:rsid w:val="005A0166"/>
    <w:rsid w:val="005A2660"/>
    <w:rsid w:val="005A32F2"/>
    <w:rsid w:val="005B1965"/>
    <w:rsid w:val="005B238B"/>
    <w:rsid w:val="005B29F2"/>
    <w:rsid w:val="005B3E90"/>
    <w:rsid w:val="005B4225"/>
    <w:rsid w:val="005B6791"/>
    <w:rsid w:val="005B7AC4"/>
    <w:rsid w:val="005C0549"/>
    <w:rsid w:val="005C2938"/>
    <w:rsid w:val="005C58BE"/>
    <w:rsid w:val="005C660D"/>
    <w:rsid w:val="005C6640"/>
    <w:rsid w:val="005C6B4F"/>
    <w:rsid w:val="005D0F8F"/>
    <w:rsid w:val="005D4782"/>
    <w:rsid w:val="005E68BF"/>
    <w:rsid w:val="005F1851"/>
    <w:rsid w:val="005F4519"/>
    <w:rsid w:val="005F6EA9"/>
    <w:rsid w:val="00605614"/>
    <w:rsid w:val="006103EE"/>
    <w:rsid w:val="00611632"/>
    <w:rsid w:val="006117D6"/>
    <w:rsid w:val="00613B51"/>
    <w:rsid w:val="00615F4E"/>
    <w:rsid w:val="0061618A"/>
    <w:rsid w:val="00616F25"/>
    <w:rsid w:val="00623E6C"/>
    <w:rsid w:val="006248C2"/>
    <w:rsid w:val="00635E70"/>
    <w:rsid w:val="00636859"/>
    <w:rsid w:val="006371B5"/>
    <w:rsid w:val="00640E55"/>
    <w:rsid w:val="00642C63"/>
    <w:rsid w:val="00650B8F"/>
    <w:rsid w:val="006522FD"/>
    <w:rsid w:val="0065322A"/>
    <w:rsid w:val="00653882"/>
    <w:rsid w:val="00654906"/>
    <w:rsid w:val="00654FA4"/>
    <w:rsid w:val="006560A5"/>
    <w:rsid w:val="00664716"/>
    <w:rsid w:val="006653A6"/>
    <w:rsid w:val="00666526"/>
    <w:rsid w:val="00666572"/>
    <w:rsid w:val="00673C4A"/>
    <w:rsid w:val="00673D50"/>
    <w:rsid w:val="006765E5"/>
    <w:rsid w:val="00676D7D"/>
    <w:rsid w:val="00684325"/>
    <w:rsid w:val="00684DBE"/>
    <w:rsid w:val="0068569F"/>
    <w:rsid w:val="00691C6A"/>
    <w:rsid w:val="006949C5"/>
    <w:rsid w:val="00697FC3"/>
    <w:rsid w:val="006B0755"/>
    <w:rsid w:val="006B16FA"/>
    <w:rsid w:val="006B4D58"/>
    <w:rsid w:val="006C0C1E"/>
    <w:rsid w:val="006C29E9"/>
    <w:rsid w:val="006C55FC"/>
    <w:rsid w:val="006C7A50"/>
    <w:rsid w:val="006C7E82"/>
    <w:rsid w:val="006D4B7C"/>
    <w:rsid w:val="006E1536"/>
    <w:rsid w:val="006E1A32"/>
    <w:rsid w:val="006E228A"/>
    <w:rsid w:val="006E271C"/>
    <w:rsid w:val="006E626B"/>
    <w:rsid w:val="006E63BA"/>
    <w:rsid w:val="006E7E8A"/>
    <w:rsid w:val="006F121C"/>
    <w:rsid w:val="00700EDC"/>
    <w:rsid w:val="007064BF"/>
    <w:rsid w:val="00711AA3"/>
    <w:rsid w:val="00717FEE"/>
    <w:rsid w:val="007222FA"/>
    <w:rsid w:val="00724901"/>
    <w:rsid w:val="007257F4"/>
    <w:rsid w:val="007316F2"/>
    <w:rsid w:val="00731BBC"/>
    <w:rsid w:val="00734D90"/>
    <w:rsid w:val="00737D55"/>
    <w:rsid w:val="00744DCB"/>
    <w:rsid w:val="00745F24"/>
    <w:rsid w:val="00750C9F"/>
    <w:rsid w:val="007523F8"/>
    <w:rsid w:val="007540E2"/>
    <w:rsid w:val="00754D62"/>
    <w:rsid w:val="007562E7"/>
    <w:rsid w:val="007637F1"/>
    <w:rsid w:val="00766312"/>
    <w:rsid w:val="00766AA6"/>
    <w:rsid w:val="0077003D"/>
    <w:rsid w:val="007713BA"/>
    <w:rsid w:val="0077153B"/>
    <w:rsid w:val="0077312A"/>
    <w:rsid w:val="007753BB"/>
    <w:rsid w:val="00780C97"/>
    <w:rsid w:val="00780D0E"/>
    <w:rsid w:val="00785269"/>
    <w:rsid w:val="007853DB"/>
    <w:rsid w:val="007859F1"/>
    <w:rsid w:val="00793308"/>
    <w:rsid w:val="00793D22"/>
    <w:rsid w:val="0079419E"/>
    <w:rsid w:val="007A1605"/>
    <w:rsid w:val="007A6358"/>
    <w:rsid w:val="007B036E"/>
    <w:rsid w:val="007B1BDE"/>
    <w:rsid w:val="007B1C00"/>
    <w:rsid w:val="007B214A"/>
    <w:rsid w:val="007B232B"/>
    <w:rsid w:val="007B2D27"/>
    <w:rsid w:val="007B32E7"/>
    <w:rsid w:val="007B5CA3"/>
    <w:rsid w:val="007B7D89"/>
    <w:rsid w:val="007C11A5"/>
    <w:rsid w:val="007C128B"/>
    <w:rsid w:val="007C1D89"/>
    <w:rsid w:val="007C1FB6"/>
    <w:rsid w:val="007C4B22"/>
    <w:rsid w:val="007D1647"/>
    <w:rsid w:val="007D59B6"/>
    <w:rsid w:val="007E02D7"/>
    <w:rsid w:val="007E3285"/>
    <w:rsid w:val="007E6CE4"/>
    <w:rsid w:val="007F05B9"/>
    <w:rsid w:val="007F22F2"/>
    <w:rsid w:val="007F6385"/>
    <w:rsid w:val="007F6B2E"/>
    <w:rsid w:val="007F72CE"/>
    <w:rsid w:val="007F74E6"/>
    <w:rsid w:val="00804415"/>
    <w:rsid w:val="00804511"/>
    <w:rsid w:val="0080695F"/>
    <w:rsid w:val="00810287"/>
    <w:rsid w:val="00810EBB"/>
    <w:rsid w:val="00811C6C"/>
    <w:rsid w:val="00814E46"/>
    <w:rsid w:val="00820803"/>
    <w:rsid w:val="00823EEB"/>
    <w:rsid w:val="00825014"/>
    <w:rsid w:val="0082646C"/>
    <w:rsid w:val="00826619"/>
    <w:rsid w:val="00827BD6"/>
    <w:rsid w:val="008313AD"/>
    <w:rsid w:val="00834629"/>
    <w:rsid w:val="008434B6"/>
    <w:rsid w:val="00843A3C"/>
    <w:rsid w:val="00844BEE"/>
    <w:rsid w:val="00853988"/>
    <w:rsid w:val="00855130"/>
    <w:rsid w:val="008564D0"/>
    <w:rsid w:val="00857921"/>
    <w:rsid w:val="0086439B"/>
    <w:rsid w:val="008646BE"/>
    <w:rsid w:val="008665E5"/>
    <w:rsid w:val="00870EAF"/>
    <w:rsid w:val="00874495"/>
    <w:rsid w:val="00875376"/>
    <w:rsid w:val="00875FA0"/>
    <w:rsid w:val="008772DF"/>
    <w:rsid w:val="008808A4"/>
    <w:rsid w:val="008817A1"/>
    <w:rsid w:val="00881F80"/>
    <w:rsid w:val="008844AB"/>
    <w:rsid w:val="00885CE6"/>
    <w:rsid w:val="008862B8"/>
    <w:rsid w:val="0088655C"/>
    <w:rsid w:val="00887F65"/>
    <w:rsid w:val="00893AD3"/>
    <w:rsid w:val="008A3E1B"/>
    <w:rsid w:val="008A6DC8"/>
    <w:rsid w:val="008A6FB0"/>
    <w:rsid w:val="008B28DC"/>
    <w:rsid w:val="008B291B"/>
    <w:rsid w:val="008B2D4D"/>
    <w:rsid w:val="008B389A"/>
    <w:rsid w:val="008B3B1C"/>
    <w:rsid w:val="008B4BE1"/>
    <w:rsid w:val="008C0331"/>
    <w:rsid w:val="008C188D"/>
    <w:rsid w:val="008C1D7D"/>
    <w:rsid w:val="008C3F9F"/>
    <w:rsid w:val="008C415A"/>
    <w:rsid w:val="008C7306"/>
    <w:rsid w:val="008D0DD2"/>
    <w:rsid w:val="008D2B99"/>
    <w:rsid w:val="008D51C9"/>
    <w:rsid w:val="008D6649"/>
    <w:rsid w:val="008E276F"/>
    <w:rsid w:val="008E29D9"/>
    <w:rsid w:val="008E5729"/>
    <w:rsid w:val="008E7885"/>
    <w:rsid w:val="008E7E36"/>
    <w:rsid w:val="008F0BEE"/>
    <w:rsid w:val="008F1672"/>
    <w:rsid w:val="008F1E38"/>
    <w:rsid w:val="008F1F88"/>
    <w:rsid w:val="008F3B56"/>
    <w:rsid w:val="008F4271"/>
    <w:rsid w:val="008F5F94"/>
    <w:rsid w:val="009004C7"/>
    <w:rsid w:val="009018C8"/>
    <w:rsid w:val="009022F7"/>
    <w:rsid w:val="00902EFE"/>
    <w:rsid w:val="00905DCD"/>
    <w:rsid w:val="00911A8B"/>
    <w:rsid w:val="0092363F"/>
    <w:rsid w:val="00924860"/>
    <w:rsid w:val="00925D80"/>
    <w:rsid w:val="009321FC"/>
    <w:rsid w:val="0093773E"/>
    <w:rsid w:val="00944CC6"/>
    <w:rsid w:val="00951E2F"/>
    <w:rsid w:val="009538C9"/>
    <w:rsid w:val="00954FF8"/>
    <w:rsid w:val="009561B3"/>
    <w:rsid w:val="00956866"/>
    <w:rsid w:val="009571C0"/>
    <w:rsid w:val="00961A35"/>
    <w:rsid w:val="009667B1"/>
    <w:rsid w:val="0097228E"/>
    <w:rsid w:val="0097347B"/>
    <w:rsid w:val="009748F5"/>
    <w:rsid w:val="00975DAD"/>
    <w:rsid w:val="00983BAF"/>
    <w:rsid w:val="009850B1"/>
    <w:rsid w:val="009864A4"/>
    <w:rsid w:val="009920A6"/>
    <w:rsid w:val="00992B68"/>
    <w:rsid w:val="00993791"/>
    <w:rsid w:val="009A0D5C"/>
    <w:rsid w:val="009A283D"/>
    <w:rsid w:val="009A7A23"/>
    <w:rsid w:val="009B2BA5"/>
    <w:rsid w:val="009B3189"/>
    <w:rsid w:val="009D1D85"/>
    <w:rsid w:val="009E2F2D"/>
    <w:rsid w:val="009E445F"/>
    <w:rsid w:val="009E5DA9"/>
    <w:rsid w:val="009E62CA"/>
    <w:rsid w:val="009F0786"/>
    <w:rsid w:val="009F45AB"/>
    <w:rsid w:val="009F669F"/>
    <w:rsid w:val="009F7C3F"/>
    <w:rsid w:val="00A009C2"/>
    <w:rsid w:val="00A0167C"/>
    <w:rsid w:val="00A02245"/>
    <w:rsid w:val="00A077DD"/>
    <w:rsid w:val="00A27763"/>
    <w:rsid w:val="00A3133A"/>
    <w:rsid w:val="00A3365D"/>
    <w:rsid w:val="00A41214"/>
    <w:rsid w:val="00A4158F"/>
    <w:rsid w:val="00A463B2"/>
    <w:rsid w:val="00A4760B"/>
    <w:rsid w:val="00A47B41"/>
    <w:rsid w:val="00A528E1"/>
    <w:rsid w:val="00A534A4"/>
    <w:rsid w:val="00A569C1"/>
    <w:rsid w:val="00A56D3B"/>
    <w:rsid w:val="00A61367"/>
    <w:rsid w:val="00A628DD"/>
    <w:rsid w:val="00A67699"/>
    <w:rsid w:val="00A7467D"/>
    <w:rsid w:val="00A74FCA"/>
    <w:rsid w:val="00A760BC"/>
    <w:rsid w:val="00A77F6C"/>
    <w:rsid w:val="00A83712"/>
    <w:rsid w:val="00A86D94"/>
    <w:rsid w:val="00A944E5"/>
    <w:rsid w:val="00A948F4"/>
    <w:rsid w:val="00A95FC3"/>
    <w:rsid w:val="00A960D1"/>
    <w:rsid w:val="00A97999"/>
    <w:rsid w:val="00AA017E"/>
    <w:rsid w:val="00AA7631"/>
    <w:rsid w:val="00AA7E72"/>
    <w:rsid w:val="00AB0B39"/>
    <w:rsid w:val="00AB0DF2"/>
    <w:rsid w:val="00AB1D36"/>
    <w:rsid w:val="00AB21B5"/>
    <w:rsid w:val="00AB2E6D"/>
    <w:rsid w:val="00AB3B80"/>
    <w:rsid w:val="00AB64FD"/>
    <w:rsid w:val="00AB66AA"/>
    <w:rsid w:val="00AC096D"/>
    <w:rsid w:val="00AC0A94"/>
    <w:rsid w:val="00AC0E14"/>
    <w:rsid w:val="00AC45DD"/>
    <w:rsid w:val="00AC6725"/>
    <w:rsid w:val="00AD3834"/>
    <w:rsid w:val="00AD5441"/>
    <w:rsid w:val="00AD5ACD"/>
    <w:rsid w:val="00AD61FC"/>
    <w:rsid w:val="00AD751A"/>
    <w:rsid w:val="00AE203C"/>
    <w:rsid w:val="00AE26B0"/>
    <w:rsid w:val="00AF4005"/>
    <w:rsid w:val="00B05A95"/>
    <w:rsid w:val="00B05F2B"/>
    <w:rsid w:val="00B158A9"/>
    <w:rsid w:val="00B17099"/>
    <w:rsid w:val="00B226C9"/>
    <w:rsid w:val="00B2602C"/>
    <w:rsid w:val="00B274F0"/>
    <w:rsid w:val="00B27B20"/>
    <w:rsid w:val="00B31574"/>
    <w:rsid w:val="00B33336"/>
    <w:rsid w:val="00B341DB"/>
    <w:rsid w:val="00B46124"/>
    <w:rsid w:val="00B51520"/>
    <w:rsid w:val="00B5183F"/>
    <w:rsid w:val="00B55153"/>
    <w:rsid w:val="00B562C0"/>
    <w:rsid w:val="00B723ED"/>
    <w:rsid w:val="00B73ED0"/>
    <w:rsid w:val="00B75E83"/>
    <w:rsid w:val="00B77BDA"/>
    <w:rsid w:val="00B77FC0"/>
    <w:rsid w:val="00B82A34"/>
    <w:rsid w:val="00B85D8E"/>
    <w:rsid w:val="00B86F26"/>
    <w:rsid w:val="00B873FD"/>
    <w:rsid w:val="00B8765C"/>
    <w:rsid w:val="00B87A14"/>
    <w:rsid w:val="00B91782"/>
    <w:rsid w:val="00B970F6"/>
    <w:rsid w:val="00B97C52"/>
    <w:rsid w:val="00BA2670"/>
    <w:rsid w:val="00BA3B1B"/>
    <w:rsid w:val="00BA584C"/>
    <w:rsid w:val="00BB5646"/>
    <w:rsid w:val="00BC0195"/>
    <w:rsid w:val="00BC0766"/>
    <w:rsid w:val="00BC250A"/>
    <w:rsid w:val="00BC554C"/>
    <w:rsid w:val="00BC6404"/>
    <w:rsid w:val="00BD0C96"/>
    <w:rsid w:val="00BD5B01"/>
    <w:rsid w:val="00BE1328"/>
    <w:rsid w:val="00BE56EC"/>
    <w:rsid w:val="00BF0863"/>
    <w:rsid w:val="00BF4FFC"/>
    <w:rsid w:val="00BF607B"/>
    <w:rsid w:val="00BF7CDC"/>
    <w:rsid w:val="00C01AF6"/>
    <w:rsid w:val="00C034DF"/>
    <w:rsid w:val="00C04E91"/>
    <w:rsid w:val="00C05D8D"/>
    <w:rsid w:val="00C10181"/>
    <w:rsid w:val="00C140DE"/>
    <w:rsid w:val="00C15077"/>
    <w:rsid w:val="00C178C4"/>
    <w:rsid w:val="00C22D8B"/>
    <w:rsid w:val="00C240A7"/>
    <w:rsid w:val="00C32468"/>
    <w:rsid w:val="00C37B43"/>
    <w:rsid w:val="00C432EE"/>
    <w:rsid w:val="00C45E25"/>
    <w:rsid w:val="00C517C8"/>
    <w:rsid w:val="00C5797C"/>
    <w:rsid w:val="00C60E6E"/>
    <w:rsid w:val="00C63269"/>
    <w:rsid w:val="00C63589"/>
    <w:rsid w:val="00C63B9B"/>
    <w:rsid w:val="00C646DA"/>
    <w:rsid w:val="00C65423"/>
    <w:rsid w:val="00C73981"/>
    <w:rsid w:val="00C74F50"/>
    <w:rsid w:val="00C75386"/>
    <w:rsid w:val="00C76091"/>
    <w:rsid w:val="00C80F7A"/>
    <w:rsid w:val="00C84175"/>
    <w:rsid w:val="00C853DD"/>
    <w:rsid w:val="00C91D29"/>
    <w:rsid w:val="00C954F3"/>
    <w:rsid w:val="00C957B7"/>
    <w:rsid w:val="00C96225"/>
    <w:rsid w:val="00C965ED"/>
    <w:rsid w:val="00CA0D94"/>
    <w:rsid w:val="00CA2C7F"/>
    <w:rsid w:val="00CA42CB"/>
    <w:rsid w:val="00CA434F"/>
    <w:rsid w:val="00CA6129"/>
    <w:rsid w:val="00CB0EB6"/>
    <w:rsid w:val="00CB2B58"/>
    <w:rsid w:val="00CB5167"/>
    <w:rsid w:val="00CB5F88"/>
    <w:rsid w:val="00CD05DE"/>
    <w:rsid w:val="00CD0F22"/>
    <w:rsid w:val="00CD739E"/>
    <w:rsid w:val="00CE67E2"/>
    <w:rsid w:val="00CF0186"/>
    <w:rsid w:val="00CF0CFD"/>
    <w:rsid w:val="00CF151B"/>
    <w:rsid w:val="00CF63CC"/>
    <w:rsid w:val="00CF6F5D"/>
    <w:rsid w:val="00D011F0"/>
    <w:rsid w:val="00D01C5F"/>
    <w:rsid w:val="00D03820"/>
    <w:rsid w:val="00D04183"/>
    <w:rsid w:val="00D0687F"/>
    <w:rsid w:val="00D06DF3"/>
    <w:rsid w:val="00D07D3E"/>
    <w:rsid w:val="00D12254"/>
    <w:rsid w:val="00D13EB8"/>
    <w:rsid w:val="00D21EFA"/>
    <w:rsid w:val="00D2290F"/>
    <w:rsid w:val="00D23C33"/>
    <w:rsid w:val="00D24C80"/>
    <w:rsid w:val="00D25437"/>
    <w:rsid w:val="00D259F7"/>
    <w:rsid w:val="00D27DD9"/>
    <w:rsid w:val="00D412C1"/>
    <w:rsid w:val="00D42512"/>
    <w:rsid w:val="00D43D00"/>
    <w:rsid w:val="00D43F09"/>
    <w:rsid w:val="00D467BC"/>
    <w:rsid w:val="00D502A0"/>
    <w:rsid w:val="00D50DB8"/>
    <w:rsid w:val="00D54B0F"/>
    <w:rsid w:val="00D55CE9"/>
    <w:rsid w:val="00D57FD0"/>
    <w:rsid w:val="00D60307"/>
    <w:rsid w:val="00D60D6C"/>
    <w:rsid w:val="00D6341A"/>
    <w:rsid w:val="00D63BE3"/>
    <w:rsid w:val="00D63CF5"/>
    <w:rsid w:val="00D65FE4"/>
    <w:rsid w:val="00D70EB5"/>
    <w:rsid w:val="00D75664"/>
    <w:rsid w:val="00D75AF0"/>
    <w:rsid w:val="00D81ED1"/>
    <w:rsid w:val="00D82E7D"/>
    <w:rsid w:val="00D835D7"/>
    <w:rsid w:val="00D8550B"/>
    <w:rsid w:val="00D912ED"/>
    <w:rsid w:val="00D93CF8"/>
    <w:rsid w:val="00D94477"/>
    <w:rsid w:val="00D9694B"/>
    <w:rsid w:val="00D96C1E"/>
    <w:rsid w:val="00DA368A"/>
    <w:rsid w:val="00DA3A7C"/>
    <w:rsid w:val="00DA4168"/>
    <w:rsid w:val="00DA4B5F"/>
    <w:rsid w:val="00DA5B91"/>
    <w:rsid w:val="00DA6628"/>
    <w:rsid w:val="00DA72F1"/>
    <w:rsid w:val="00DB25F3"/>
    <w:rsid w:val="00DB2EB3"/>
    <w:rsid w:val="00DB36B9"/>
    <w:rsid w:val="00DB6214"/>
    <w:rsid w:val="00DB62DC"/>
    <w:rsid w:val="00DC0C5F"/>
    <w:rsid w:val="00DC1EF4"/>
    <w:rsid w:val="00DC73B3"/>
    <w:rsid w:val="00DC7759"/>
    <w:rsid w:val="00DC7AF3"/>
    <w:rsid w:val="00DD016E"/>
    <w:rsid w:val="00DD1C15"/>
    <w:rsid w:val="00DD2441"/>
    <w:rsid w:val="00DD24CB"/>
    <w:rsid w:val="00DD6306"/>
    <w:rsid w:val="00DD6919"/>
    <w:rsid w:val="00DE1A85"/>
    <w:rsid w:val="00DE2E57"/>
    <w:rsid w:val="00DE584F"/>
    <w:rsid w:val="00DE5FB8"/>
    <w:rsid w:val="00DE6BC8"/>
    <w:rsid w:val="00DE6F1D"/>
    <w:rsid w:val="00DF0C09"/>
    <w:rsid w:val="00DF0F0E"/>
    <w:rsid w:val="00DF1B00"/>
    <w:rsid w:val="00DF1D5A"/>
    <w:rsid w:val="00DF408D"/>
    <w:rsid w:val="00DF7DB5"/>
    <w:rsid w:val="00E00962"/>
    <w:rsid w:val="00E02304"/>
    <w:rsid w:val="00E03BA6"/>
    <w:rsid w:val="00E1011E"/>
    <w:rsid w:val="00E10E7F"/>
    <w:rsid w:val="00E11CF7"/>
    <w:rsid w:val="00E11EC3"/>
    <w:rsid w:val="00E1750C"/>
    <w:rsid w:val="00E219B5"/>
    <w:rsid w:val="00E243B7"/>
    <w:rsid w:val="00E26FC4"/>
    <w:rsid w:val="00E3165C"/>
    <w:rsid w:val="00E34222"/>
    <w:rsid w:val="00E463AA"/>
    <w:rsid w:val="00E50BD5"/>
    <w:rsid w:val="00E5740D"/>
    <w:rsid w:val="00E57779"/>
    <w:rsid w:val="00E57EA1"/>
    <w:rsid w:val="00E6085D"/>
    <w:rsid w:val="00E63796"/>
    <w:rsid w:val="00E700E8"/>
    <w:rsid w:val="00E70DE1"/>
    <w:rsid w:val="00E71979"/>
    <w:rsid w:val="00E72C50"/>
    <w:rsid w:val="00E747EF"/>
    <w:rsid w:val="00E75732"/>
    <w:rsid w:val="00E77FC6"/>
    <w:rsid w:val="00E80CE7"/>
    <w:rsid w:val="00E81216"/>
    <w:rsid w:val="00E81BF0"/>
    <w:rsid w:val="00E844BD"/>
    <w:rsid w:val="00E84591"/>
    <w:rsid w:val="00E84922"/>
    <w:rsid w:val="00E855C8"/>
    <w:rsid w:val="00E91DFF"/>
    <w:rsid w:val="00E924B3"/>
    <w:rsid w:val="00E93F07"/>
    <w:rsid w:val="00E94F81"/>
    <w:rsid w:val="00E95EEF"/>
    <w:rsid w:val="00EA0470"/>
    <w:rsid w:val="00EA1228"/>
    <w:rsid w:val="00EA148D"/>
    <w:rsid w:val="00EA2F84"/>
    <w:rsid w:val="00EA37F0"/>
    <w:rsid w:val="00EA415E"/>
    <w:rsid w:val="00EA5B59"/>
    <w:rsid w:val="00EA674E"/>
    <w:rsid w:val="00EA6C37"/>
    <w:rsid w:val="00EB24E6"/>
    <w:rsid w:val="00EB6182"/>
    <w:rsid w:val="00EB6EE6"/>
    <w:rsid w:val="00EC3E40"/>
    <w:rsid w:val="00EC47A7"/>
    <w:rsid w:val="00EC4D5A"/>
    <w:rsid w:val="00EC7022"/>
    <w:rsid w:val="00EC77DF"/>
    <w:rsid w:val="00ED4B41"/>
    <w:rsid w:val="00ED5EED"/>
    <w:rsid w:val="00ED7611"/>
    <w:rsid w:val="00EE164F"/>
    <w:rsid w:val="00EE7222"/>
    <w:rsid w:val="00EF02C3"/>
    <w:rsid w:val="00EF73A0"/>
    <w:rsid w:val="00F00456"/>
    <w:rsid w:val="00F01138"/>
    <w:rsid w:val="00F02529"/>
    <w:rsid w:val="00F04F03"/>
    <w:rsid w:val="00F141B7"/>
    <w:rsid w:val="00F144A7"/>
    <w:rsid w:val="00F152D2"/>
    <w:rsid w:val="00F17C82"/>
    <w:rsid w:val="00F208BE"/>
    <w:rsid w:val="00F2184C"/>
    <w:rsid w:val="00F24030"/>
    <w:rsid w:val="00F32D59"/>
    <w:rsid w:val="00F3305A"/>
    <w:rsid w:val="00F3369A"/>
    <w:rsid w:val="00F33B7D"/>
    <w:rsid w:val="00F36C57"/>
    <w:rsid w:val="00F42EE3"/>
    <w:rsid w:val="00F5421C"/>
    <w:rsid w:val="00F62E06"/>
    <w:rsid w:val="00F6375E"/>
    <w:rsid w:val="00F678FF"/>
    <w:rsid w:val="00F76D1F"/>
    <w:rsid w:val="00F8340D"/>
    <w:rsid w:val="00F83A77"/>
    <w:rsid w:val="00F83C76"/>
    <w:rsid w:val="00F85179"/>
    <w:rsid w:val="00F8690C"/>
    <w:rsid w:val="00F8797E"/>
    <w:rsid w:val="00F9171C"/>
    <w:rsid w:val="00F92103"/>
    <w:rsid w:val="00F948D6"/>
    <w:rsid w:val="00F96946"/>
    <w:rsid w:val="00F96AB5"/>
    <w:rsid w:val="00FA1957"/>
    <w:rsid w:val="00FA6709"/>
    <w:rsid w:val="00FB54D6"/>
    <w:rsid w:val="00FB7ED6"/>
    <w:rsid w:val="00FC05B9"/>
    <w:rsid w:val="00FD109E"/>
    <w:rsid w:val="00FD2ACB"/>
    <w:rsid w:val="00FD6CE6"/>
    <w:rsid w:val="00FE06E0"/>
    <w:rsid w:val="00FE14C3"/>
    <w:rsid w:val="00FE1979"/>
    <w:rsid w:val="00FE19A7"/>
    <w:rsid w:val="00FE390E"/>
    <w:rsid w:val="00FE40D6"/>
    <w:rsid w:val="00FE5649"/>
    <w:rsid w:val="00FE66C8"/>
    <w:rsid w:val="00FE6E22"/>
    <w:rsid w:val="00FE7F47"/>
    <w:rsid w:val="00FF0CB7"/>
    <w:rsid w:val="00FF2FAB"/>
    <w:rsid w:val="00FF38C5"/>
    <w:rsid w:val="00FF3F91"/>
    <w:rsid w:val="00FF7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C25A8"/>
  <w15:docId w15:val="{E3E991D5-2448-4749-8BBF-93C0C15D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paragraph" w:styleId="Heading1">
    <w:name w:val="heading 1"/>
    <w:basedOn w:val="Heading2"/>
    <w:next w:val="Normal"/>
    <w:link w:val="Heading1Char"/>
    <w:uiPriority w:val="9"/>
    <w:qFormat/>
    <w:rsid w:val="008313AD"/>
    <w:pPr>
      <w:outlineLvl w:val="0"/>
    </w:pPr>
  </w:style>
  <w:style w:type="paragraph" w:styleId="Heading2">
    <w:name w:val="heading 2"/>
    <w:basedOn w:val="Normal"/>
    <w:next w:val="Normal"/>
    <w:link w:val="Heading2Char"/>
    <w:uiPriority w:val="9"/>
    <w:unhideWhenUsed/>
    <w:qFormat/>
    <w:rsid w:val="006248C2"/>
    <w:pPr>
      <w:keepNext/>
      <w:keepLines/>
      <w:spacing w:before="120"/>
      <w:outlineLvl w:val="1"/>
    </w:pPr>
    <w:rPr>
      <w:rFonts w:asciiTheme="majorHAnsi" w:eastAsiaTheme="majorEastAsia" w:hAnsiTheme="majorHAnsi" w:cstheme="majorBidi"/>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85248"/>
    <w:rPr>
      <w:sz w:val="20"/>
      <w:szCs w:val="20"/>
    </w:rPr>
  </w:style>
  <w:style w:type="character" w:styleId="FootnoteReference">
    <w:name w:val="footnote reference"/>
    <w:uiPriority w:val="99"/>
    <w:semiHidden/>
    <w:rsid w:val="00085248"/>
    <w:rPr>
      <w:vertAlign w:val="superscript"/>
    </w:rPr>
  </w:style>
  <w:style w:type="paragraph" w:styleId="Header">
    <w:name w:val="header"/>
    <w:basedOn w:val="Normal"/>
    <w:rsid w:val="00264A10"/>
    <w:pPr>
      <w:tabs>
        <w:tab w:val="center" w:pos="4153"/>
        <w:tab w:val="right" w:pos="8306"/>
      </w:tabs>
    </w:pPr>
  </w:style>
  <w:style w:type="character" w:styleId="PageNumber">
    <w:name w:val="page number"/>
    <w:basedOn w:val="DefaultParagraphFont"/>
    <w:rsid w:val="00264A10"/>
  </w:style>
  <w:style w:type="table" w:styleId="TableGrid">
    <w:name w:val="Table Grid"/>
    <w:basedOn w:val="TableNormal"/>
    <w:rsid w:val="00D24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57921"/>
    <w:pPr>
      <w:tabs>
        <w:tab w:val="center" w:pos="4153"/>
        <w:tab w:val="right" w:pos="8306"/>
      </w:tabs>
    </w:pPr>
  </w:style>
  <w:style w:type="character" w:customStyle="1" w:styleId="FootnoteTextChar">
    <w:name w:val="Footnote Text Char"/>
    <w:basedOn w:val="DefaultParagraphFont"/>
    <w:link w:val="FootnoteText"/>
    <w:uiPriority w:val="99"/>
    <w:semiHidden/>
    <w:rsid w:val="00C01AF6"/>
  </w:style>
  <w:style w:type="character" w:styleId="Hyperlink">
    <w:name w:val="Hyperlink"/>
    <w:uiPriority w:val="99"/>
    <w:unhideWhenUsed/>
    <w:rsid w:val="007713BA"/>
    <w:rPr>
      <w:color w:val="0000FF"/>
      <w:u w:val="single"/>
    </w:rPr>
  </w:style>
  <w:style w:type="paragraph" w:styleId="EndnoteText">
    <w:name w:val="endnote text"/>
    <w:basedOn w:val="Normal"/>
    <w:link w:val="EndnoteTextChar"/>
    <w:rsid w:val="00D75664"/>
    <w:rPr>
      <w:sz w:val="20"/>
      <w:szCs w:val="20"/>
    </w:rPr>
  </w:style>
  <w:style w:type="character" w:customStyle="1" w:styleId="EndnoteTextChar">
    <w:name w:val="Endnote Text Char"/>
    <w:basedOn w:val="DefaultParagraphFont"/>
    <w:link w:val="EndnoteText"/>
    <w:rsid w:val="00D75664"/>
  </w:style>
  <w:style w:type="character" w:styleId="EndnoteReference">
    <w:name w:val="endnote reference"/>
    <w:rsid w:val="00D75664"/>
    <w:rPr>
      <w:vertAlign w:val="superscript"/>
    </w:rPr>
  </w:style>
  <w:style w:type="paragraph" w:styleId="BalloonText">
    <w:name w:val="Balloon Text"/>
    <w:basedOn w:val="Normal"/>
    <w:link w:val="BalloonTextChar"/>
    <w:rsid w:val="008D2B99"/>
    <w:rPr>
      <w:rFonts w:ascii="Tahoma" w:hAnsi="Tahoma" w:cs="Tahoma"/>
      <w:sz w:val="16"/>
      <w:szCs w:val="16"/>
    </w:rPr>
  </w:style>
  <w:style w:type="character" w:customStyle="1" w:styleId="BalloonTextChar">
    <w:name w:val="Balloon Text Char"/>
    <w:link w:val="BalloonText"/>
    <w:rsid w:val="008D2B99"/>
    <w:rPr>
      <w:rFonts w:ascii="Tahoma" w:hAnsi="Tahoma" w:cs="Tahoma"/>
      <w:sz w:val="16"/>
      <w:szCs w:val="16"/>
    </w:rPr>
  </w:style>
  <w:style w:type="paragraph" w:customStyle="1" w:styleId="Default">
    <w:name w:val="Default"/>
    <w:rsid w:val="009561B3"/>
    <w:pPr>
      <w:autoSpaceDE w:val="0"/>
      <w:autoSpaceDN w:val="0"/>
      <w:adjustRightInd w:val="0"/>
    </w:pPr>
    <w:rPr>
      <w:color w:val="000000"/>
      <w:sz w:val="24"/>
      <w:szCs w:val="24"/>
      <w:lang w:eastAsia="en-GB"/>
    </w:rPr>
  </w:style>
  <w:style w:type="character" w:styleId="FollowedHyperlink">
    <w:name w:val="FollowedHyperlink"/>
    <w:basedOn w:val="DefaultParagraphFont"/>
    <w:semiHidden/>
    <w:unhideWhenUsed/>
    <w:rsid w:val="007E02D7"/>
    <w:rPr>
      <w:color w:val="800080" w:themeColor="followedHyperlink"/>
      <w:u w:val="single"/>
    </w:rPr>
  </w:style>
  <w:style w:type="character" w:customStyle="1" w:styleId="il">
    <w:name w:val="il"/>
    <w:basedOn w:val="DefaultParagraphFont"/>
    <w:rsid w:val="00D04183"/>
  </w:style>
  <w:style w:type="paragraph" w:styleId="ListParagraph">
    <w:name w:val="List Paragraph"/>
    <w:basedOn w:val="Normal"/>
    <w:uiPriority w:val="34"/>
    <w:qFormat/>
    <w:rsid w:val="00D04183"/>
    <w:pPr>
      <w:ind w:left="720"/>
      <w:contextualSpacing/>
    </w:pPr>
  </w:style>
  <w:style w:type="character" w:styleId="CommentReference">
    <w:name w:val="annotation reference"/>
    <w:basedOn w:val="DefaultParagraphFont"/>
    <w:uiPriority w:val="99"/>
    <w:semiHidden/>
    <w:unhideWhenUsed/>
    <w:rsid w:val="00D04183"/>
    <w:rPr>
      <w:sz w:val="16"/>
      <w:szCs w:val="16"/>
    </w:rPr>
  </w:style>
  <w:style w:type="paragraph" w:styleId="CommentText">
    <w:name w:val="annotation text"/>
    <w:basedOn w:val="Normal"/>
    <w:link w:val="CommentTextChar"/>
    <w:uiPriority w:val="99"/>
    <w:semiHidden/>
    <w:unhideWhenUsed/>
    <w:rsid w:val="00D04183"/>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D04183"/>
    <w:rPr>
      <w:rFonts w:asciiTheme="minorHAnsi" w:eastAsiaTheme="minorEastAsia" w:hAnsiTheme="minorHAnsi" w:cstheme="minorBidi"/>
      <w:lang w:val="en-US" w:eastAsia="en-US"/>
    </w:rPr>
  </w:style>
  <w:style w:type="character" w:customStyle="1" w:styleId="Heading1Char">
    <w:name w:val="Heading 1 Char"/>
    <w:basedOn w:val="DefaultParagraphFont"/>
    <w:link w:val="Heading1"/>
    <w:uiPriority w:val="9"/>
    <w:rsid w:val="008313AD"/>
    <w:rPr>
      <w:rFonts w:asciiTheme="majorHAnsi" w:eastAsiaTheme="majorEastAsia" w:hAnsiTheme="majorHAnsi" w:cstheme="majorBidi"/>
      <w:sz w:val="36"/>
      <w:szCs w:val="36"/>
      <w:lang w:val="en-US" w:eastAsia="en-US"/>
    </w:rPr>
  </w:style>
  <w:style w:type="character" w:customStyle="1" w:styleId="Heading2Char">
    <w:name w:val="Heading 2 Char"/>
    <w:basedOn w:val="DefaultParagraphFont"/>
    <w:link w:val="Heading2"/>
    <w:uiPriority w:val="9"/>
    <w:rsid w:val="006248C2"/>
    <w:rPr>
      <w:rFonts w:asciiTheme="majorHAnsi" w:eastAsiaTheme="majorEastAsia" w:hAnsiTheme="majorHAnsi" w:cstheme="majorBidi"/>
      <w:sz w:val="36"/>
      <w:szCs w:val="36"/>
      <w:lang w:val="en-US" w:eastAsia="en-US"/>
    </w:rPr>
  </w:style>
  <w:style w:type="character" w:customStyle="1" w:styleId="FooterChar">
    <w:name w:val="Footer Char"/>
    <w:basedOn w:val="DefaultParagraphFont"/>
    <w:link w:val="Footer"/>
    <w:uiPriority w:val="99"/>
    <w:rsid w:val="00171CDE"/>
    <w:rPr>
      <w:sz w:val="24"/>
      <w:szCs w:val="24"/>
      <w:lang w:eastAsia="en-GB"/>
    </w:rPr>
  </w:style>
  <w:style w:type="paragraph" w:customStyle="1" w:styleId="StyleTitre1">
    <w:name w:val="Style Titre 1"/>
    <w:basedOn w:val="Heading1"/>
    <w:rsid w:val="008313AD"/>
    <w:rPr>
      <w:caps/>
    </w:rPr>
  </w:style>
  <w:style w:type="paragraph" w:styleId="Caption">
    <w:name w:val="caption"/>
    <w:basedOn w:val="Normal"/>
    <w:next w:val="Normal"/>
    <w:unhideWhenUsed/>
    <w:qFormat/>
    <w:rsid w:val="00D9694B"/>
    <w:pPr>
      <w:spacing w:after="200"/>
    </w:pPr>
    <w:rPr>
      <w:i/>
      <w:iCs/>
      <w:color w:val="1F497D" w:themeColor="text2"/>
      <w:sz w:val="18"/>
      <w:szCs w:val="18"/>
    </w:rPr>
  </w:style>
  <w:style w:type="paragraph" w:styleId="TOCHeading">
    <w:name w:val="TOC Heading"/>
    <w:basedOn w:val="Heading1"/>
    <w:next w:val="Normal"/>
    <w:uiPriority w:val="39"/>
    <w:unhideWhenUsed/>
    <w:qFormat/>
    <w:rsid w:val="006C7E82"/>
    <w:pPr>
      <w:spacing w:before="240" w:line="259" w:lineRule="auto"/>
      <w:outlineLvl w:val="9"/>
    </w:pPr>
    <w:rPr>
      <w:color w:val="365F91" w:themeColor="accent1" w:themeShade="BF"/>
      <w:sz w:val="32"/>
      <w:szCs w:val="32"/>
    </w:rPr>
  </w:style>
  <w:style w:type="paragraph" w:styleId="TOC1">
    <w:name w:val="toc 1"/>
    <w:basedOn w:val="Normal"/>
    <w:next w:val="Normal"/>
    <w:autoRedefine/>
    <w:uiPriority w:val="39"/>
    <w:unhideWhenUsed/>
    <w:rsid w:val="006C7E82"/>
    <w:pPr>
      <w:spacing w:after="100"/>
    </w:pPr>
  </w:style>
  <w:style w:type="paragraph" w:styleId="TOC2">
    <w:name w:val="toc 2"/>
    <w:basedOn w:val="Normal"/>
    <w:next w:val="Normal"/>
    <w:autoRedefine/>
    <w:uiPriority w:val="39"/>
    <w:unhideWhenUsed/>
    <w:rsid w:val="006C7E82"/>
    <w:pPr>
      <w:spacing w:after="100"/>
      <w:ind w:left="240"/>
    </w:pPr>
  </w:style>
  <w:style w:type="paragraph" w:styleId="NormalWeb">
    <w:name w:val="Normal (Web)"/>
    <w:basedOn w:val="Normal"/>
    <w:uiPriority w:val="99"/>
    <w:semiHidden/>
    <w:unhideWhenUsed/>
    <w:rsid w:val="009F7C3F"/>
    <w:pPr>
      <w:spacing w:before="100" w:beforeAutospacing="1" w:after="100" w:afterAutospacing="1"/>
    </w:pPr>
    <w:rPr>
      <w:lang w:val="fr-FR" w:eastAsia="fr-FR"/>
    </w:rPr>
  </w:style>
  <w:style w:type="paragraph" w:styleId="Title">
    <w:name w:val="Title"/>
    <w:basedOn w:val="Normal"/>
    <w:next w:val="Normal"/>
    <w:link w:val="TitleChar"/>
    <w:qFormat/>
    <w:rsid w:val="00983B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83BAF"/>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1747">
      <w:bodyDiv w:val="1"/>
      <w:marLeft w:val="0"/>
      <w:marRight w:val="0"/>
      <w:marTop w:val="0"/>
      <w:marBottom w:val="0"/>
      <w:divBdr>
        <w:top w:val="none" w:sz="0" w:space="0" w:color="auto"/>
        <w:left w:val="none" w:sz="0" w:space="0" w:color="auto"/>
        <w:bottom w:val="none" w:sz="0" w:space="0" w:color="auto"/>
        <w:right w:val="none" w:sz="0" w:space="0" w:color="auto"/>
      </w:divBdr>
      <w:divsChild>
        <w:div w:id="1674841442">
          <w:marLeft w:val="0"/>
          <w:marRight w:val="0"/>
          <w:marTop w:val="0"/>
          <w:marBottom w:val="0"/>
          <w:divBdr>
            <w:top w:val="none" w:sz="0" w:space="0" w:color="auto"/>
            <w:left w:val="none" w:sz="0" w:space="0" w:color="auto"/>
            <w:bottom w:val="none" w:sz="0" w:space="0" w:color="auto"/>
            <w:right w:val="none" w:sz="0" w:space="0" w:color="auto"/>
          </w:divBdr>
        </w:div>
      </w:divsChild>
    </w:div>
    <w:div w:id="34083057">
      <w:bodyDiv w:val="1"/>
      <w:marLeft w:val="0"/>
      <w:marRight w:val="0"/>
      <w:marTop w:val="0"/>
      <w:marBottom w:val="0"/>
      <w:divBdr>
        <w:top w:val="none" w:sz="0" w:space="0" w:color="auto"/>
        <w:left w:val="none" w:sz="0" w:space="0" w:color="auto"/>
        <w:bottom w:val="none" w:sz="0" w:space="0" w:color="auto"/>
        <w:right w:val="none" w:sz="0" w:space="0" w:color="auto"/>
      </w:divBdr>
      <w:divsChild>
        <w:div w:id="1956011518">
          <w:marLeft w:val="0"/>
          <w:marRight w:val="0"/>
          <w:marTop w:val="0"/>
          <w:marBottom w:val="0"/>
          <w:divBdr>
            <w:top w:val="none" w:sz="0" w:space="0" w:color="auto"/>
            <w:left w:val="none" w:sz="0" w:space="0" w:color="auto"/>
            <w:bottom w:val="none" w:sz="0" w:space="0" w:color="auto"/>
            <w:right w:val="none" w:sz="0" w:space="0" w:color="auto"/>
          </w:divBdr>
        </w:div>
      </w:divsChild>
    </w:div>
    <w:div w:id="190653090">
      <w:bodyDiv w:val="1"/>
      <w:marLeft w:val="0"/>
      <w:marRight w:val="0"/>
      <w:marTop w:val="0"/>
      <w:marBottom w:val="0"/>
      <w:divBdr>
        <w:top w:val="none" w:sz="0" w:space="0" w:color="auto"/>
        <w:left w:val="none" w:sz="0" w:space="0" w:color="auto"/>
        <w:bottom w:val="none" w:sz="0" w:space="0" w:color="auto"/>
        <w:right w:val="none" w:sz="0" w:space="0" w:color="auto"/>
      </w:divBdr>
      <w:divsChild>
        <w:div w:id="993532199">
          <w:marLeft w:val="547"/>
          <w:marRight w:val="0"/>
          <w:marTop w:val="115"/>
          <w:marBottom w:val="0"/>
          <w:divBdr>
            <w:top w:val="none" w:sz="0" w:space="0" w:color="auto"/>
            <w:left w:val="none" w:sz="0" w:space="0" w:color="auto"/>
            <w:bottom w:val="none" w:sz="0" w:space="0" w:color="auto"/>
            <w:right w:val="none" w:sz="0" w:space="0" w:color="auto"/>
          </w:divBdr>
        </w:div>
      </w:divsChild>
    </w:div>
    <w:div w:id="306669608">
      <w:bodyDiv w:val="1"/>
      <w:marLeft w:val="0"/>
      <w:marRight w:val="0"/>
      <w:marTop w:val="0"/>
      <w:marBottom w:val="0"/>
      <w:divBdr>
        <w:top w:val="none" w:sz="0" w:space="0" w:color="auto"/>
        <w:left w:val="none" w:sz="0" w:space="0" w:color="auto"/>
        <w:bottom w:val="none" w:sz="0" w:space="0" w:color="auto"/>
        <w:right w:val="none" w:sz="0" w:space="0" w:color="auto"/>
      </w:divBdr>
      <w:divsChild>
        <w:div w:id="652177229">
          <w:marLeft w:val="0"/>
          <w:marRight w:val="0"/>
          <w:marTop w:val="0"/>
          <w:marBottom w:val="0"/>
          <w:divBdr>
            <w:top w:val="none" w:sz="0" w:space="0" w:color="auto"/>
            <w:left w:val="none" w:sz="0" w:space="0" w:color="auto"/>
            <w:bottom w:val="none" w:sz="0" w:space="0" w:color="auto"/>
            <w:right w:val="none" w:sz="0" w:space="0" w:color="auto"/>
          </w:divBdr>
        </w:div>
      </w:divsChild>
    </w:div>
    <w:div w:id="403726822">
      <w:bodyDiv w:val="1"/>
      <w:marLeft w:val="0"/>
      <w:marRight w:val="0"/>
      <w:marTop w:val="0"/>
      <w:marBottom w:val="0"/>
      <w:divBdr>
        <w:top w:val="none" w:sz="0" w:space="0" w:color="auto"/>
        <w:left w:val="none" w:sz="0" w:space="0" w:color="auto"/>
        <w:bottom w:val="none" w:sz="0" w:space="0" w:color="auto"/>
        <w:right w:val="none" w:sz="0" w:space="0" w:color="auto"/>
      </w:divBdr>
      <w:divsChild>
        <w:div w:id="2141343602">
          <w:marLeft w:val="0"/>
          <w:marRight w:val="0"/>
          <w:marTop w:val="0"/>
          <w:marBottom w:val="0"/>
          <w:divBdr>
            <w:top w:val="none" w:sz="0" w:space="0" w:color="auto"/>
            <w:left w:val="none" w:sz="0" w:space="0" w:color="auto"/>
            <w:bottom w:val="none" w:sz="0" w:space="0" w:color="auto"/>
            <w:right w:val="none" w:sz="0" w:space="0" w:color="auto"/>
          </w:divBdr>
        </w:div>
        <w:div w:id="1889876182">
          <w:marLeft w:val="0"/>
          <w:marRight w:val="0"/>
          <w:marTop w:val="0"/>
          <w:marBottom w:val="0"/>
          <w:divBdr>
            <w:top w:val="none" w:sz="0" w:space="0" w:color="auto"/>
            <w:left w:val="none" w:sz="0" w:space="0" w:color="auto"/>
            <w:bottom w:val="none" w:sz="0" w:space="0" w:color="auto"/>
            <w:right w:val="none" w:sz="0" w:space="0" w:color="auto"/>
          </w:divBdr>
        </w:div>
        <w:div w:id="2081245343">
          <w:marLeft w:val="0"/>
          <w:marRight w:val="0"/>
          <w:marTop w:val="0"/>
          <w:marBottom w:val="0"/>
          <w:divBdr>
            <w:top w:val="none" w:sz="0" w:space="0" w:color="auto"/>
            <w:left w:val="none" w:sz="0" w:space="0" w:color="auto"/>
            <w:bottom w:val="none" w:sz="0" w:space="0" w:color="auto"/>
            <w:right w:val="none" w:sz="0" w:space="0" w:color="auto"/>
          </w:divBdr>
        </w:div>
      </w:divsChild>
    </w:div>
    <w:div w:id="404186421">
      <w:bodyDiv w:val="1"/>
      <w:marLeft w:val="0"/>
      <w:marRight w:val="0"/>
      <w:marTop w:val="0"/>
      <w:marBottom w:val="0"/>
      <w:divBdr>
        <w:top w:val="none" w:sz="0" w:space="0" w:color="auto"/>
        <w:left w:val="none" w:sz="0" w:space="0" w:color="auto"/>
        <w:bottom w:val="none" w:sz="0" w:space="0" w:color="auto"/>
        <w:right w:val="none" w:sz="0" w:space="0" w:color="auto"/>
      </w:divBdr>
    </w:div>
    <w:div w:id="553468111">
      <w:bodyDiv w:val="1"/>
      <w:marLeft w:val="0"/>
      <w:marRight w:val="0"/>
      <w:marTop w:val="0"/>
      <w:marBottom w:val="0"/>
      <w:divBdr>
        <w:top w:val="none" w:sz="0" w:space="0" w:color="auto"/>
        <w:left w:val="none" w:sz="0" w:space="0" w:color="auto"/>
        <w:bottom w:val="none" w:sz="0" w:space="0" w:color="auto"/>
        <w:right w:val="none" w:sz="0" w:space="0" w:color="auto"/>
      </w:divBdr>
      <w:divsChild>
        <w:div w:id="858422438">
          <w:marLeft w:val="0"/>
          <w:marRight w:val="0"/>
          <w:marTop w:val="0"/>
          <w:marBottom w:val="0"/>
          <w:divBdr>
            <w:top w:val="none" w:sz="0" w:space="0" w:color="auto"/>
            <w:left w:val="none" w:sz="0" w:space="0" w:color="auto"/>
            <w:bottom w:val="none" w:sz="0" w:space="0" w:color="auto"/>
            <w:right w:val="none" w:sz="0" w:space="0" w:color="auto"/>
          </w:divBdr>
        </w:div>
      </w:divsChild>
    </w:div>
    <w:div w:id="571549661">
      <w:bodyDiv w:val="1"/>
      <w:marLeft w:val="0"/>
      <w:marRight w:val="0"/>
      <w:marTop w:val="0"/>
      <w:marBottom w:val="0"/>
      <w:divBdr>
        <w:top w:val="none" w:sz="0" w:space="0" w:color="auto"/>
        <w:left w:val="none" w:sz="0" w:space="0" w:color="auto"/>
        <w:bottom w:val="none" w:sz="0" w:space="0" w:color="auto"/>
        <w:right w:val="none" w:sz="0" w:space="0" w:color="auto"/>
      </w:divBdr>
      <w:divsChild>
        <w:div w:id="1482887717">
          <w:marLeft w:val="0"/>
          <w:marRight w:val="0"/>
          <w:marTop w:val="0"/>
          <w:marBottom w:val="0"/>
          <w:divBdr>
            <w:top w:val="none" w:sz="0" w:space="0" w:color="auto"/>
            <w:left w:val="none" w:sz="0" w:space="0" w:color="auto"/>
            <w:bottom w:val="none" w:sz="0" w:space="0" w:color="auto"/>
            <w:right w:val="none" w:sz="0" w:space="0" w:color="auto"/>
          </w:divBdr>
        </w:div>
      </w:divsChild>
    </w:div>
    <w:div w:id="6464772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375">
          <w:marLeft w:val="0"/>
          <w:marRight w:val="0"/>
          <w:marTop w:val="0"/>
          <w:marBottom w:val="0"/>
          <w:divBdr>
            <w:top w:val="none" w:sz="0" w:space="0" w:color="auto"/>
            <w:left w:val="none" w:sz="0" w:space="0" w:color="auto"/>
            <w:bottom w:val="none" w:sz="0" w:space="0" w:color="auto"/>
            <w:right w:val="none" w:sz="0" w:space="0" w:color="auto"/>
          </w:divBdr>
        </w:div>
      </w:divsChild>
    </w:div>
    <w:div w:id="842596422">
      <w:bodyDiv w:val="1"/>
      <w:marLeft w:val="0"/>
      <w:marRight w:val="0"/>
      <w:marTop w:val="0"/>
      <w:marBottom w:val="0"/>
      <w:divBdr>
        <w:top w:val="none" w:sz="0" w:space="0" w:color="auto"/>
        <w:left w:val="none" w:sz="0" w:space="0" w:color="auto"/>
        <w:bottom w:val="none" w:sz="0" w:space="0" w:color="auto"/>
        <w:right w:val="none" w:sz="0" w:space="0" w:color="auto"/>
      </w:divBdr>
    </w:div>
    <w:div w:id="869489040">
      <w:bodyDiv w:val="1"/>
      <w:marLeft w:val="0"/>
      <w:marRight w:val="0"/>
      <w:marTop w:val="0"/>
      <w:marBottom w:val="0"/>
      <w:divBdr>
        <w:top w:val="none" w:sz="0" w:space="0" w:color="auto"/>
        <w:left w:val="none" w:sz="0" w:space="0" w:color="auto"/>
        <w:bottom w:val="none" w:sz="0" w:space="0" w:color="auto"/>
        <w:right w:val="none" w:sz="0" w:space="0" w:color="auto"/>
      </w:divBdr>
      <w:divsChild>
        <w:div w:id="622925271">
          <w:marLeft w:val="0"/>
          <w:marRight w:val="0"/>
          <w:marTop w:val="0"/>
          <w:marBottom w:val="0"/>
          <w:divBdr>
            <w:top w:val="none" w:sz="0" w:space="0" w:color="auto"/>
            <w:left w:val="none" w:sz="0" w:space="0" w:color="auto"/>
            <w:bottom w:val="none" w:sz="0" w:space="0" w:color="auto"/>
            <w:right w:val="none" w:sz="0" w:space="0" w:color="auto"/>
          </w:divBdr>
        </w:div>
        <w:div w:id="1477528281">
          <w:marLeft w:val="0"/>
          <w:marRight w:val="0"/>
          <w:marTop w:val="0"/>
          <w:marBottom w:val="0"/>
          <w:divBdr>
            <w:top w:val="none" w:sz="0" w:space="0" w:color="auto"/>
            <w:left w:val="none" w:sz="0" w:space="0" w:color="auto"/>
            <w:bottom w:val="none" w:sz="0" w:space="0" w:color="auto"/>
            <w:right w:val="none" w:sz="0" w:space="0" w:color="auto"/>
          </w:divBdr>
        </w:div>
        <w:div w:id="1958680709">
          <w:marLeft w:val="0"/>
          <w:marRight w:val="0"/>
          <w:marTop w:val="0"/>
          <w:marBottom w:val="0"/>
          <w:divBdr>
            <w:top w:val="none" w:sz="0" w:space="0" w:color="auto"/>
            <w:left w:val="none" w:sz="0" w:space="0" w:color="auto"/>
            <w:bottom w:val="none" w:sz="0" w:space="0" w:color="auto"/>
            <w:right w:val="none" w:sz="0" w:space="0" w:color="auto"/>
          </w:divBdr>
        </w:div>
      </w:divsChild>
    </w:div>
    <w:div w:id="1187988460">
      <w:bodyDiv w:val="1"/>
      <w:marLeft w:val="0"/>
      <w:marRight w:val="0"/>
      <w:marTop w:val="0"/>
      <w:marBottom w:val="0"/>
      <w:divBdr>
        <w:top w:val="none" w:sz="0" w:space="0" w:color="auto"/>
        <w:left w:val="none" w:sz="0" w:space="0" w:color="auto"/>
        <w:bottom w:val="none" w:sz="0" w:space="0" w:color="auto"/>
        <w:right w:val="none" w:sz="0" w:space="0" w:color="auto"/>
      </w:divBdr>
      <w:divsChild>
        <w:div w:id="1463840064">
          <w:marLeft w:val="0"/>
          <w:marRight w:val="0"/>
          <w:marTop w:val="0"/>
          <w:marBottom w:val="0"/>
          <w:divBdr>
            <w:top w:val="none" w:sz="0" w:space="0" w:color="auto"/>
            <w:left w:val="none" w:sz="0" w:space="0" w:color="auto"/>
            <w:bottom w:val="none" w:sz="0" w:space="0" w:color="auto"/>
            <w:right w:val="none" w:sz="0" w:space="0" w:color="auto"/>
          </w:divBdr>
        </w:div>
      </w:divsChild>
    </w:div>
    <w:div w:id="1197814729">
      <w:bodyDiv w:val="1"/>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sChild>
    </w:div>
    <w:div w:id="1230767385">
      <w:bodyDiv w:val="1"/>
      <w:marLeft w:val="0"/>
      <w:marRight w:val="0"/>
      <w:marTop w:val="0"/>
      <w:marBottom w:val="0"/>
      <w:divBdr>
        <w:top w:val="none" w:sz="0" w:space="0" w:color="auto"/>
        <w:left w:val="none" w:sz="0" w:space="0" w:color="auto"/>
        <w:bottom w:val="none" w:sz="0" w:space="0" w:color="auto"/>
        <w:right w:val="none" w:sz="0" w:space="0" w:color="auto"/>
      </w:divBdr>
      <w:divsChild>
        <w:div w:id="2050569218">
          <w:marLeft w:val="0"/>
          <w:marRight w:val="0"/>
          <w:marTop w:val="0"/>
          <w:marBottom w:val="0"/>
          <w:divBdr>
            <w:top w:val="none" w:sz="0" w:space="0" w:color="auto"/>
            <w:left w:val="none" w:sz="0" w:space="0" w:color="auto"/>
            <w:bottom w:val="none" w:sz="0" w:space="0" w:color="auto"/>
            <w:right w:val="none" w:sz="0" w:space="0" w:color="auto"/>
          </w:divBdr>
        </w:div>
      </w:divsChild>
    </w:div>
    <w:div w:id="1304310328">
      <w:bodyDiv w:val="1"/>
      <w:marLeft w:val="0"/>
      <w:marRight w:val="0"/>
      <w:marTop w:val="0"/>
      <w:marBottom w:val="0"/>
      <w:divBdr>
        <w:top w:val="none" w:sz="0" w:space="0" w:color="auto"/>
        <w:left w:val="none" w:sz="0" w:space="0" w:color="auto"/>
        <w:bottom w:val="none" w:sz="0" w:space="0" w:color="auto"/>
        <w:right w:val="none" w:sz="0" w:space="0" w:color="auto"/>
      </w:divBdr>
      <w:divsChild>
        <w:div w:id="76560767">
          <w:marLeft w:val="0"/>
          <w:marRight w:val="0"/>
          <w:marTop w:val="0"/>
          <w:marBottom w:val="0"/>
          <w:divBdr>
            <w:top w:val="none" w:sz="0" w:space="0" w:color="auto"/>
            <w:left w:val="none" w:sz="0" w:space="0" w:color="auto"/>
            <w:bottom w:val="none" w:sz="0" w:space="0" w:color="auto"/>
            <w:right w:val="none" w:sz="0" w:space="0" w:color="auto"/>
          </w:divBdr>
        </w:div>
      </w:divsChild>
    </w:div>
    <w:div w:id="1365981487">
      <w:bodyDiv w:val="1"/>
      <w:marLeft w:val="0"/>
      <w:marRight w:val="0"/>
      <w:marTop w:val="0"/>
      <w:marBottom w:val="0"/>
      <w:divBdr>
        <w:top w:val="none" w:sz="0" w:space="0" w:color="auto"/>
        <w:left w:val="none" w:sz="0" w:space="0" w:color="auto"/>
        <w:bottom w:val="none" w:sz="0" w:space="0" w:color="auto"/>
        <w:right w:val="none" w:sz="0" w:space="0" w:color="auto"/>
      </w:divBdr>
      <w:divsChild>
        <w:div w:id="162550923">
          <w:marLeft w:val="0"/>
          <w:marRight w:val="0"/>
          <w:marTop w:val="0"/>
          <w:marBottom w:val="0"/>
          <w:divBdr>
            <w:top w:val="none" w:sz="0" w:space="0" w:color="auto"/>
            <w:left w:val="none" w:sz="0" w:space="0" w:color="auto"/>
            <w:bottom w:val="none" w:sz="0" w:space="0" w:color="auto"/>
            <w:right w:val="none" w:sz="0" w:space="0" w:color="auto"/>
          </w:divBdr>
        </w:div>
        <w:div w:id="2127380883">
          <w:marLeft w:val="0"/>
          <w:marRight w:val="0"/>
          <w:marTop w:val="0"/>
          <w:marBottom w:val="0"/>
          <w:divBdr>
            <w:top w:val="none" w:sz="0" w:space="0" w:color="auto"/>
            <w:left w:val="none" w:sz="0" w:space="0" w:color="auto"/>
            <w:bottom w:val="none" w:sz="0" w:space="0" w:color="auto"/>
            <w:right w:val="none" w:sz="0" w:space="0" w:color="auto"/>
          </w:divBdr>
        </w:div>
      </w:divsChild>
    </w:div>
    <w:div w:id="1387726816">
      <w:bodyDiv w:val="1"/>
      <w:marLeft w:val="0"/>
      <w:marRight w:val="0"/>
      <w:marTop w:val="0"/>
      <w:marBottom w:val="0"/>
      <w:divBdr>
        <w:top w:val="none" w:sz="0" w:space="0" w:color="auto"/>
        <w:left w:val="none" w:sz="0" w:space="0" w:color="auto"/>
        <w:bottom w:val="none" w:sz="0" w:space="0" w:color="auto"/>
        <w:right w:val="none" w:sz="0" w:space="0" w:color="auto"/>
      </w:divBdr>
      <w:divsChild>
        <w:div w:id="433674812">
          <w:marLeft w:val="0"/>
          <w:marRight w:val="0"/>
          <w:marTop w:val="0"/>
          <w:marBottom w:val="0"/>
          <w:divBdr>
            <w:top w:val="none" w:sz="0" w:space="0" w:color="auto"/>
            <w:left w:val="none" w:sz="0" w:space="0" w:color="auto"/>
            <w:bottom w:val="none" w:sz="0" w:space="0" w:color="auto"/>
            <w:right w:val="none" w:sz="0" w:space="0" w:color="auto"/>
          </w:divBdr>
        </w:div>
      </w:divsChild>
    </w:div>
    <w:div w:id="1417163972">
      <w:bodyDiv w:val="1"/>
      <w:marLeft w:val="0"/>
      <w:marRight w:val="0"/>
      <w:marTop w:val="0"/>
      <w:marBottom w:val="0"/>
      <w:divBdr>
        <w:top w:val="none" w:sz="0" w:space="0" w:color="auto"/>
        <w:left w:val="none" w:sz="0" w:space="0" w:color="auto"/>
        <w:bottom w:val="none" w:sz="0" w:space="0" w:color="auto"/>
        <w:right w:val="none" w:sz="0" w:space="0" w:color="auto"/>
      </w:divBdr>
    </w:div>
    <w:div w:id="1574464621">
      <w:bodyDiv w:val="1"/>
      <w:marLeft w:val="0"/>
      <w:marRight w:val="0"/>
      <w:marTop w:val="0"/>
      <w:marBottom w:val="0"/>
      <w:divBdr>
        <w:top w:val="none" w:sz="0" w:space="0" w:color="auto"/>
        <w:left w:val="none" w:sz="0" w:space="0" w:color="auto"/>
        <w:bottom w:val="none" w:sz="0" w:space="0" w:color="auto"/>
        <w:right w:val="none" w:sz="0" w:space="0" w:color="auto"/>
      </w:divBdr>
      <w:divsChild>
        <w:div w:id="302855488">
          <w:marLeft w:val="0"/>
          <w:marRight w:val="0"/>
          <w:marTop w:val="0"/>
          <w:marBottom w:val="0"/>
          <w:divBdr>
            <w:top w:val="none" w:sz="0" w:space="0" w:color="auto"/>
            <w:left w:val="none" w:sz="0" w:space="0" w:color="auto"/>
            <w:bottom w:val="none" w:sz="0" w:space="0" w:color="auto"/>
            <w:right w:val="none" w:sz="0" w:space="0" w:color="auto"/>
          </w:divBdr>
        </w:div>
      </w:divsChild>
    </w:div>
    <w:div w:id="1586651245">
      <w:bodyDiv w:val="1"/>
      <w:marLeft w:val="0"/>
      <w:marRight w:val="0"/>
      <w:marTop w:val="0"/>
      <w:marBottom w:val="0"/>
      <w:divBdr>
        <w:top w:val="none" w:sz="0" w:space="0" w:color="auto"/>
        <w:left w:val="none" w:sz="0" w:space="0" w:color="auto"/>
        <w:bottom w:val="none" w:sz="0" w:space="0" w:color="auto"/>
        <w:right w:val="none" w:sz="0" w:space="0" w:color="auto"/>
      </w:divBdr>
      <w:divsChild>
        <w:div w:id="2088841335">
          <w:marLeft w:val="0"/>
          <w:marRight w:val="0"/>
          <w:marTop w:val="0"/>
          <w:marBottom w:val="0"/>
          <w:divBdr>
            <w:top w:val="none" w:sz="0" w:space="0" w:color="auto"/>
            <w:left w:val="none" w:sz="0" w:space="0" w:color="auto"/>
            <w:bottom w:val="none" w:sz="0" w:space="0" w:color="auto"/>
            <w:right w:val="none" w:sz="0" w:space="0" w:color="auto"/>
          </w:divBdr>
        </w:div>
      </w:divsChild>
    </w:div>
    <w:div w:id="1587497002">
      <w:bodyDiv w:val="1"/>
      <w:marLeft w:val="0"/>
      <w:marRight w:val="0"/>
      <w:marTop w:val="0"/>
      <w:marBottom w:val="0"/>
      <w:divBdr>
        <w:top w:val="none" w:sz="0" w:space="0" w:color="auto"/>
        <w:left w:val="none" w:sz="0" w:space="0" w:color="auto"/>
        <w:bottom w:val="none" w:sz="0" w:space="0" w:color="auto"/>
        <w:right w:val="none" w:sz="0" w:space="0" w:color="auto"/>
      </w:divBdr>
      <w:divsChild>
        <w:div w:id="984429901">
          <w:marLeft w:val="0"/>
          <w:marRight w:val="0"/>
          <w:marTop w:val="0"/>
          <w:marBottom w:val="0"/>
          <w:divBdr>
            <w:top w:val="none" w:sz="0" w:space="0" w:color="auto"/>
            <w:left w:val="none" w:sz="0" w:space="0" w:color="auto"/>
            <w:bottom w:val="none" w:sz="0" w:space="0" w:color="auto"/>
            <w:right w:val="none" w:sz="0" w:space="0" w:color="auto"/>
          </w:divBdr>
        </w:div>
      </w:divsChild>
    </w:div>
    <w:div w:id="1618365034">
      <w:bodyDiv w:val="1"/>
      <w:marLeft w:val="0"/>
      <w:marRight w:val="0"/>
      <w:marTop w:val="0"/>
      <w:marBottom w:val="0"/>
      <w:divBdr>
        <w:top w:val="none" w:sz="0" w:space="0" w:color="auto"/>
        <w:left w:val="none" w:sz="0" w:space="0" w:color="auto"/>
        <w:bottom w:val="none" w:sz="0" w:space="0" w:color="auto"/>
        <w:right w:val="none" w:sz="0" w:space="0" w:color="auto"/>
      </w:divBdr>
      <w:divsChild>
        <w:div w:id="773748630">
          <w:marLeft w:val="0"/>
          <w:marRight w:val="0"/>
          <w:marTop w:val="0"/>
          <w:marBottom w:val="0"/>
          <w:divBdr>
            <w:top w:val="none" w:sz="0" w:space="0" w:color="auto"/>
            <w:left w:val="none" w:sz="0" w:space="0" w:color="auto"/>
            <w:bottom w:val="none" w:sz="0" w:space="0" w:color="auto"/>
            <w:right w:val="none" w:sz="0" w:space="0" w:color="auto"/>
          </w:divBdr>
        </w:div>
      </w:divsChild>
    </w:div>
    <w:div w:id="1655837326">
      <w:bodyDiv w:val="1"/>
      <w:marLeft w:val="0"/>
      <w:marRight w:val="0"/>
      <w:marTop w:val="0"/>
      <w:marBottom w:val="0"/>
      <w:divBdr>
        <w:top w:val="none" w:sz="0" w:space="0" w:color="auto"/>
        <w:left w:val="none" w:sz="0" w:space="0" w:color="auto"/>
        <w:bottom w:val="none" w:sz="0" w:space="0" w:color="auto"/>
        <w:right w:val="none" w:sz="0" w:space="0" w:color="auto"/>
      </w:divBdr>
      <w:divsChild>
        <w:div w:id="1305894204">
          <w:marLeft w:val="0"/>
          <w:marRight w:val="0"/>
          <w:marTop w:val="0"/>
          <w:marBottom w:val="0"/>
          <w:divBdr>
            <w:top w:val="none" w:sz="0" w:space="0" w:color="auto"/>
            <w:left w:val="none" w:sz="0" w:space="0" w:color="auto"/>
            <w:bottom w:val="none" w:sz="0" w:space="0" w:color="auto"/>
            <w:right w:val="none" w:sz="0" w:space="0" w:color="auto"/>
          </w:divBdr>
        </w:div>
      </w:divsChild>
    </w:div>
    <w:div w:id="1695421689">
      <w:bodyDiv w:val="1"/>
      <w:marLeft w:val="0"/>
      <w:marRight w:val="0"/>
      <w:marTop w:val="0"/>
      <w:marBottom w:val="0"/>
      <w:divBdr>
        <w:top w:val="none" w:sz="0" w:space="0" w:color="auto"/>
        <w:left w:val="none" w:sz="0" w:space="0" w:color="auto"/>
        <w:bottom w:val="none" w:sz="0" w:space="0" w:color="auto"/>
        <w:right w:val="none" w:sz="0" w:space="0" w:color="auto"/>
      </w:divBdr>
      <w:divsChild>
        <w:div w:id="784271256">
          <w:marLeft w:val="0"/>
          <w:marRight w:val="0"/>
          <w:marTop w:val="0"/>
          <w:marBottom w:val="0"/>
          <w:divBdr>
            <w:top w:val="none" w:sz="0" w:space="0" w:color="auto"/>
            <w:left w:val="none" w:sz="0" w:space="0" w:color="auto"/>
            <w:bottom w:val="none" w:sz="0" w:space="0" w:color="auto"/>
            <w:right w:val="none" w:sz="0" w:space="0" w:color="auto"/>
          </w:divBdr>
        </w:div>
      </w:divsChild>
    </w:div>
    <w:div w:id="1794901945">
      <w:bodyDiv w:val="1"/>
      <w:marLeft w:val="0"/>
      <w:marRight w:val="0"/>
      <w:marTop w:val="0"/>
      <w:marBottom w:val="0"/>
      <w:divBdr>
        <w:top w:val="none" w:sz="0" w:space="0" w:color="auto"/>
        <w:left w:val="none" w:sz="0" w:space="0" w:color="auto"/>
        <w:bottom w:val="none" w:sz="0" w:space="0" w:color="auto"/>
        <w:right w:val="none" w:sz="0" w:space="0" w:color="auto"/>
      </w:divBdr>
      <w:divsChild>
        <w:div w:id="428619406">
          <w:marLeft w:val="0"/>
          <w:marRight w:val="0"/>
          <w:marTop w:val="0"/>
          <w:marBottom w:val="0"/>
          <w:divBdr>
            <w:top w:val="none" w:sz="0" w:space="0" w:color="auto"/>
            <w:left w:val="none" w:sz="0" w:space="0" w:color="auto"/>
            <w:bottom w:val="none" w:sz="0" w:space="0" w:color="auto"/>
            <w:right w:val="none" w:sz="0" w:space="0" w:color="auto"/>
          </w:divBdr>
        </w:div>
      </w:divsChild>
    </w:div>
    <w:div w:id="1886333019">
      <w:bodyDiv w:val="1"/>
      <w:marLeft w:val="0"/>
      <w:marRight w:val="0"/>
      <w:marTop w:val="0"/>
      <w:marBottom w:val="0"/>
      <w:divBdr>
        <w:top w:val="none" w:sz="0" w:space="0" w:color="auto"/>
        <w:left w:val="none" w:sz="0" w:space="0" w:color="auto"/>
        <w:bottom w:val="none" w:sz="0" w:space="0" w:color="auto"/>
        <w:right w:val="none" w:sz="0" w:space="0" w:color="auto"/>
      </w:divBdr>
      <w:divsChild>
        <w:div w:id="282806994">
          <w:marLeft w:val="0"/>
          <w:marRight w:val="0"/>
          <w:marTop w:val="0"/>
          <w:marBottom w:val="0"/>
          <w:divBdr>
            <w:top w:val="none" w:sz="0" w:space="0" w:color="auto"/>
            <w:left w:val="none" w:sz="0" w:space="0" w:color="auto"/>
            <w:bottom w:val="none" w:sz="0" w:space="0" w:color="auto"/>
            <w:right w:val="none" w:sz="0" w:space="0" w:color="auto"/>
          </w:divBdr>
        </w:div>
      </w:divsChild>
    </w:div>
    <w:div w:id="1901868292">
      <w:bodyDiv w:val="1"/>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
      </w:divsChild>
    </w:div>
    <w:div w:id="1911424041">
      <w:bodyDiv w:val="1"/>
      <w:marLeft w:val="0"/>
      <w:marRight w:val="0"/>
      <w:marTop w:val="0"/>
      <w:marBottom w:val="0"/>
      <w:divBdr>
        <w:top w:val="none" w:sz="0" w:space="0" w:color="auto"/>
        <w:left w:val="none" w:sz="0" w:space="0" w:color="auto"/>
        <w:bottom w:val="none" w:sz="0" w:space="0" w:color="auto"/>
        <w:right w:val="none" w:sz="0" w:space="0" w:color="auto"/>
      </w:divBdr>
      <w:divsChild>
        <w:div w:id="62678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azot@gmail.com" TargetMode="External"/><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9.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header" Target="header1.xml"/><Relationship Id="rId10" Type="http://schemas.openxmlformats.org/officeDocument/2006/relationships/hyperlink" Target="mailto:matthias.morys@york.ac.uk" TargetMode="Externa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ic.monnet@banque-france.fr" TargetMode="External"/><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C18D-53AF-417F-8320-E7A393F0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839768C4.dotm</Template>
  <TotalTime>1</TotalTime>
  <Pages>6</Pages>
  <Words>13937</Words>
  <Characters>79442</Characters>
  <Application>Microsoft Office Word</Application>
  <DocSecurity>0</DocSecurity>
  <Lines>662</Lines>
  <Paragraphs>186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The University of York</Company>
  <LinksUpToDate>false</LinksUpToDate>
  <CharactersWithSpaces>93193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Matthias Morys</dc:creator>
  <cp:lastModifiedBy>Maureen Galbraith</cp:lastModifiedBy>
  <cp:revision>2</cp:revision>
  <cp:lastPrinted>2019-02-28T17:14:00Z</cp:lastPrinted>
  <dcterms:created xsi:type="dcterms:W3CDTF">2019-03-05T09:34:00Z</dcterms:created>
  <dcterms:modified xsi:type="dcterms:W3CDTF">2019-03-05T09:34:00Z</dcterms:modified>
</cp:coreProperties>
</file>