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F5" w:rsidRDefault="007216F5" w:rsidP="007216F5">
      <w:pPr>
        <w:jc w:val="center"/>
        <w:rPr>
          <w:b/>
        </w:rPr>
      </w:pPr>
      <w:bookmarkStart w:id="0" w:name="_GoBack"/>
      <w:bookmarkEnd w:id="0"/>
      <w:r>
        <w:rPr>
          <w:b/>
        </w:rPr>
        <w:t>Delusions of competence: t</w:t>
      </w:r>
      <w:r w:rsidRPr="00830A3E">
        <w:rPr>
          <w:b/>
        </w:rPr>
        <w:t>he near</w:t>
      </w:r>
      <w:r>
        <w:rPr>
          <w:b/>
        </w:rPr>
        <w:t>-</w:t>
      </w:r>
      <w:r w:rsidRPr="00830A3E">
        <w:rPr>
          <w:b/>
        </w:rPr>
        <w:t>death of Lloyd</w:t>
      </w:r>
      <w:r>
        <w:rPr>
          <w:b/>
        </w:rPr>
        <w:t>’</w:t>
      </w:r>
      <w:r w:rsidRPr="00830A3E">
        <w:rPr>
          <w:b/>
        </w:rPr>
        <w:t>s of London</w:t>
      </w:r>
      <w:r>
        <w:rPr>
          <w:b/>
        </w:rPr>
        <w:t xml:space="preserve"> 1980-2002</w:t>
      </w:r>
    </w:p>
    <w:p w:rsidR="007216F5" w:rsidRDefault="007216F5" w:rsidP="007216F5">
      <w:pPr>
        <w:rPr>
          <w:b/>
        </w:rPr>
      </w:pPr>
    </w:p>
    <w:p w:rsidR="007216F5" w:rsidRDefault="007216F5" w:rsidP="007216F5">
      <w:pPr>
        <w:rPr>
          <w:b/>
        </w:rPr>
      </w:pPr>
    </w:p>
    <w:p w:rsidR="007216F5" w:rsidRPr="001D445C" w:rsidRDefault="007216F5" w:rsidP="007216F5">
      <w:pPr>
        <w:jc w:val="center"/>
      </w:pPr>
      <w:r w:rsidRPr="001D445C">
        <w:t>Robin Pearson</w:t>
      </w:r>
    </w:p>
    <w:p w:rsidR="007216F5" w:rsidRDefault="007216F5" w:rsidP="007216F5">
      <w:pPr>
        <w:jc w:val="center"/>
      </w:pPr>
      <w:smartTag w:uri="urn:schemas-microsoft-com:office:smarttags" w:element="PlaceType">
        <w:r w:rsidRPr="001D445C">
          <w:t>University</w:t>
        </w:r>
      </w:smartTag>
      <w:r w:rsidRPr="001D445C">
        <w:t xml:space="preserve"> of Hull</w:t>
      </w:r>
    </w:p>
    <w:p w:rsidR="007216F5" w:rsidRDefault="007216F5" w:rsidP="007216F5">
      <w:pPr>
        <w:jc w:val="center"/>
      </w:pPr>
    </w:p>
    <w:p w:rsidR="007216F5" w:rsidRPr="001D445C" w:rsidRDefault="007216F5" w:rsidP="007216F5">
      <w:pPr>
        <w:jc w:val="center"/>
      </w:pPr>
      <w:r>
        <w:t>Paper for Economic History Society Annual Conference, QUB, 5-7- April 2019</w:t>
      </w:r>
    </w:p>
    <w:p w:rsidR="001F58EC" w:rsidRDefault="001F58EC"/>
    <w:p w:rsidR="007216F5" w:rsidRPr="00964322" w:rsidRDefault="00964322">
      <w:pPr>
        <w:rPr>
          <w:b/>
        </w:rPr>
      </w:pPr>
      <w:r w:rsidRPr="00964322">
        <w:rPr>
          <w:b/>
        </w:rPr>
        <w:t>Introduction</w:t>
      </w:r>
    </w:p>
    <w:p w:rsidR="00964322" w:rsidRDefault="00964322"/>
    <w:p w:rsidR="00650DCA" w:rsidRDefault="00650DCA" w:rsidP="00650DCA">
      <w:r>
        <w:t>Rapid structural change resulting from system collapse is a less common phenomenon in insurance than it has been in the history of other financial institutions, such as banks and stock markets, where the flows of capital and credit act as highly visible metrics of market confidence and volatility. Catastrophic losses</w:t>
      </w:r>
      <w:r w:rsidR="00290143">
        <w:t>, of course,</w:t>
      </w:r>
      <w:r>
        <w:t xml:space="preserve"> have delivered </w:t>
      </w:r>
      <w:r w:rsidR="002C553A">
        <w:t xml:space="preserve">great </w:t>
      </w:r>
      <w:r>
        <w:t>shocks to the global insurance industry</w:t>
      </w:r>
      <w:r w:rsidR="002C553A">
        <w:t xml:space="preserve">. The San Francisco earthquake of 1906, for instance, led to an influx of European reinsurance capacity into the US and the exit of weaker American and foreign direct insurers. In this and other similar cases, however, such catastrophes largely resulted in the rearrangement of players on the field, rather than a </w:t>
      </w:r>
      <w:r w:rsidR="002C553A" w:rsidRPr="009F2BA4">
        <w:t xml:space="preserve">fundamental </w:t>
      </w:r>
      <w:r w:rsidR="002C553A">
        <w:t>change in market structures or underwriting practices</w:t>
      </w:r>
      <w:r>
        <w:t>.</w:t>
      </w:r>
      <w:r w:rsidR="001E4DED">
        <w:rPr>
          <w:rStyle w:val="EndnoteReference"/>
        </w:rPr>
        <w:endnoteReference w:id="1"/>
      </w:r>
      <w:r w:rsidR="001E4DED">
        <w:t xml:space="preserve"> </w:t>
      </w:r>
    </w:p>
    <w:p w:rsidR="001E4DED" w:rsidRDefault="001E4DED" w:rsidP="00650DCA"/>
    <w:p w:rsidR="001E4DED" w:rsidRDefault="001E4DED" w:rsidP="00650DCA">
      <w:r>
        <w:t xml:space="preserve">One exception to this general pattern was the crisis that </w:t>
      </w:r>
      <w:r w:rsidR="00290143">
        <w:t xml:space="preserve">afflicted </w:t>
      </w:r>
      <w:r>
        <w:t xml:space="preserve">one of the world’s oldest insurance markets, Lloyd’s of London, </w:t>
      </w:r>
      <w:r w:rsidR="004D17AD">
        <w:t>in the late</w:t>
      </w:r>
      <w:r>
        <w:t xml:space="preserve"> twentieth century.</w:t>
      </w:r>
      <w:r w:rsidR="00BD341D">
        <w:t xml:space="preserve"> Hitherto, explanations of the crisis have focused on catastrophic losses and problems of internal governance.</w:t>
      </w:r>
      <w:r w:rsidR="00191440">
        <w:rPr>
          <w:rStyle w:val="EndnoteReference"/>
        </w:rPr>
        <w:endnoteReference w:id="2"/>
      </w:r>
      <w:r w:rsidR="00BD341D">
        <w:t xml:space="preserve"> This paper</w:t>
      </w:r>
      <w:r w:rsidR="002B66E7">
        <w:t xml:space="preserve"> </w:t>
      </w:r>
      <w:r w:rsidR="00BD341D">
        <w:t xml:space="preserve">argues that these factors, while important, may not have resulted in institutional collapse had </w:t>
      </w:r>
      <w:r w:rsidR="00122908">
        <w:t xml:space="preserve">the </w:t>
      </w:r>
      <w:r w:rsidR="00A73E00">
        <w:t>actors</w:t>
      </w:r>
      <w:r w:rsidR="00122908">
        <w:t xml:space="preserve"> involved not also suffered from </w:t>
      </w:r>
      <w:r w:rsidR="00BD341D">
        <w:t xml:space="preserve">multiple delusions of competence. Arrogance, elitism, greed, corruption, and stubborn resistance to reform in defence of vested interests comprised endogenous elements of the crisis, </w:t>
      </w:r>
      <w:r w:rsidR="00290143">
        <w:t xml:space="preserve">which compounded the </w:t>
      </w:r>
      <w:r w:rsidR="00BD341D">
        <w:t>series of exogenous shocks to insurance operations. Politically entrenched ideas about the virtues of self-regulation, and an exaggerated faith in the ability of insider experts to know what was best for the institution also played a role. The result was a</w:t>
      </w:r>
      <w:r w:rsidR="00122908">
        <w:t>n</w:t>
      </w:r>
      <w:r w:rsidR="00BD341D">
        <w:t xml:space="preserve"> </w:t>
      </w:r>
      <w:r w:rsidR="00122908">
        <w:t>incomplete</w:t>
      </w:r>
      <w:r w:rsidR="00BD341D">
        <w:t xml:space="preserve"> and belated misdiagnosis of what ailed Lloyd’s, and a series of institutional reforms that, while targeting the visible symptoms of the disease, failed to cure its underlying causes.</w:t>
      </w:r>
    </w:p>
    <w:p w:rsidR="001E4DED" w:rsidRDefault="001E4DED" w:rsidP="00650DCA"/>
    <w:p w:rsidR="00EF7437" w:rsidRDefault="009F2BA4" w:rsidP="00650DCA">
      <w:r>
        <w:t>F</w:t>
      </w:r>
      <w:r w:rsidR="00EF7437">
        <w:t>ollow</w:t>
      </w:r>
      <w:r>
        <w:t>ing</w:t>
      </w:r>
      <w:r w:rsidR="00EF7437">
        <w:t xml:space="preserve"> a brief overview of the development of Lloyd</w:t>
      </w:r>
      <w:r w:rsidR="002B66E7">
        <w:t>’</w:t>
      </w:r>
      <w:r w:rsidR="00EF7437">
        <w:t xml:space="preserve">s and </w:t>
      </w:r>
      <w:r w:rsidR="00290143">
        <w:t>its</w:t>
      </w:r>
      <w:r w:rsidR="00EF7437">
        <w:t xml:space="preserve"> market </w:t>
      </w:r>
      <w:r w:rsidR="00290143">
        <w:t>organisation</w:t>
      </w:r>
      <w:r>
        <w:t>, s</w:t>
      </w:r>
      <w:r w:rsidR="00EF7437">
        <w:t xml:space="preserve">ection </w:t>
      </w:r>
      <w:r>
        <w:t xml:space="preserve">2 </w:t>
      </w:r>
      <w:r w:rsidR="002C5CD8">
        <w:t xml:space="preserve">below </w:t>
      </w:r>
      <w:r>
        <w:t>d</w:t>
      </w:r>
      <w:r w:rsidR="00EF7437">
        <w:t>escribe</w:t>
      </w:r>
      <w:r>
        <w:t>s</w:t>
      </w:r>
      <w:r w:rsidR="00EF7437">
        <w:t xml:space="preserve"> the scandals that rocked </w:t>
      </w:r>
      <w:r w:rsidR="00DD01DD">
        <w:t>it</w:t>
      </w:r>
      <w:r w:rsidR="00EF7437">
        <w:t xml:space="preserve"> in the 1970s and early 1980</w:t>
      </w:r>
      <w:r w:rsidR="00290143">
        <w:t>s</w:t>
      </w:r>
      <w:r w:rsidR="00EF7437">
        <w:t xml:space="preserve"> </w:t>
      </w:r>
      <w:r>
        <w:t>and</w:t>
      </w:r>
      <w:r w:rsidR="00EF7437">
        <w:t xml:space="preserve"> the response to these scandals. Section </w:t>
      </w:r>
      <w:r>
        <w:t>3</w:t>
      </w:r>
      <w:r w:rsidR="00EF7437">
        <w:t xml:space="preserve"> </w:t>
      </w:r>
      <w:r w:rsidR="00351C19">
        <w:t>examines</w:t>
      </w:r>
      <w:r w:rsidR="00EF7437">
        <w:t xml:space="preserve"> the liability crisis and the LMX spiral that </w:t>
      </w:r>
      <w:r w:rsidR="005752E0">
        <w:t xml:space="preserve">nearly </w:t>
      </w:r>
      <w:r w:rsidR="00EF7437">
        <w:t xml:space="preserve">brought down </w:t>
      </w:r>
      <w:r w:rsidR="005752E0">
        <w:t>Lloyd’s</w:t>
      </w:r>
      <w:r w:rsidR="00EF7437">
        <w:t xml:space="preserve"> by the mid-1990s. Section </w:t>
      </w:r>
      <w:r>
        <w:t>4</w:t>
      </w:r>
      <w:r w:rsidR="00EF7437">
        <w:t xml:space="preserve"> describes the </w:t>
      </w:r>
      <w:r w:rsidR="003F4E34">
        <w:t xml:space="preserve">subsequent </w:t>
      </w:r>
      <w:r w:rsidR="00EF7437">
        <w:t>reform</w:t>
      </w:r>
      <w:r w:rsidR="00351C19">
        <w:t>s</w:t>
      </w:r>
      <w:r w:rsidR="00EF7437">
        <w:t xml:space="preserve"> that enabled </w:t>
      </w:r>
      <w:r w:rsidR="00290143">
        <w:t>Lloyd’s</w:t>
      </w:r>
      <w:r w:rsidR="00EF7437">
        <w:t xml:space="preserve"> to survive, albeit in an entirely restructured form. </w:t>
      </w:r>
      <w:r w:rsidR="00087207">
        <w:t xml:space="preserve">The </w:t>
      </w:r>
      <w:r>
        <w:t>conclusion</w:t>
      </w:r>
      <w:r w:rsidR="00087207">
        <w:t xml:space="preserve"> points to the implications of this history for the role of financial service regulation</w:t>
      </w:r>
      <w:r w:rsidR="002C5CD8">
        <w:t>,</w:t>
      </w:r>
      <w:r w:rsidR="00087207">
        <w:t xml:space="preserve"> and </w:t>
      </w:r>
      <w:r w:rsidR="002C5CD8">
        <w:t xml:space="preserve">to the dangers for complex financial systems of </w:t>
      </w:r>
      <w:r w:rsidR="00087207">
        <w:t>traditional beliefs in the competence of experts</w:t>
      </w:r>
      <w:r w:rsidR="0064391E">
        <w:t xml:space="preserve"> and the efficacy of self-governance. </w:t>
      </w:r>
      <w:r w:rsidR="00087207">
        <w:t xml:space="preserve">  </w:t>
      </w:r>
    </w:p>
    <w:p w:rsidR="001E4DED" w:rsidRDefault="001E4DED" w:rsidP="00650DCA"/>
    <w:p w:rsidR="00FE514B" w:rsidRPr="00FE514B" w:rsidRDefault="00D64779" w:rsidP="00650DCA">
      <w:pPr>
        <w:rPr>
          <w:b/>
        </w:rPr>
      </w:pPr>
      <w:r w:rsidRPr="00FE514B">
        <w:rPr>
          <w:b/>
        </w:rPr>
        <w:t xml:space="preserve">1. </w:t>
      </w:r>
      <w:r w:rsidR="00FE514B" w:rsidRPr="00FE514B">
        <w:rPr>
          <w:b/>
        </w:rPr>
        <w:t>The g</w:t>
      </w:r>
      <w:r w:rsidRPr="00FE514B">
        <w:rPr>
          <w:b/>
        </w:rPr>
        <w:t>rowth of Lloyd</w:t>
      </w:r>
      <w:r w:rsidR="00FE514B" w:rsidRPr="00FE514B">
        <w:rPr>
          <w:b/>
        </w:rPr>
        <w:t>’</w:t>
      </w:r>
      <w:r w:rsidRPr="00FE514B">
        <w:rPr>
          <w:b/>
        </w:rPr>
        <w:t>s</w:t>
      </w:r>
      <w:r w:rsidR="003E5737">
        <w:rPr>
          <w:b/>
        </w:rPr>
        <w:t>.</w:t>
      </w:r>
    </w:p>
    <w:p w:rsidR="00D64779" w:rsidRDefault="0060139D" w:rsidP="00650DCA">
      <w:r>
        <w:t>Commencing in the 1680s, c</w:t>
      </w:r>
      <w:r w:rsidR="00524C0C">
        <w:t xml:space="preserve">ustomers of </w:t>
      </w:r>
      <w:r w:rsidR="00FE514B">
        <w:t xml:space="preserve">Edward Lloyd’s coffee house </w:t>
      </w:r>
      <w:r>
        <w:t>t</w:t>
      </w:r>
      <w:r w:rsidR="00964322">
        <w:t>ransact</w:t>
      </w:r>
      <w:r>
        <w:t>ed</w:t>
      </w:r>
      <w:r w:rsidR="00964322">
        <w:t xml:space="preserve"> </w:t>
      </w:r>
      <w:r w:rsidR="00FE514B">
        <w:t>marine insurance</w:t>
      </w:r>
      <w:r w:rsidR="00964322">
        <w:t xml:space="preserve"> for England’s growing seaborne trade.</w:t>
      </w:r>
      <w:r w:rsidRPr="0060139D">
        <w:rPr>
          <w:rStyle w:val="EndnoteReference"/>
        </w:rPr>
        <w:t xml:space="preserve"> </w:t>
      </w:r>
      <w:r>
        <w:rPr>
          <w:rStyle w:val="EndnoteReference"/>
        </w:rPr>
        <w:endnoteReference w:id="3"/>
      </w:r>
      <w:r>
        <w:t xml:space="preserve"> </w:t>
      </w:r>
      <w:r w:rsidR="00964322">
        <w:t xml:space="preserve"> </w:t>
      </w:r>
      <w:r w:rsidR="00BC734D">
        <w:t>From 1734 the coffee house published</w:t>
      </w:r>
      <w:r w:rsidR="00BC734D">
        <w:rPr>
          <w:i/>
          <w:iCs/>
        </w:rPr>
        <w:t xml:space="preserve"> Lloyd's List,</w:t>
      </w:r>
      <w:r w:rsidR="00BC734D">
        <w:t xml:space="preserve"> which provided shipping intelligence to those who subscribed</w:t>
      </w:r>
      <w:r w:rsidR="008804F8">
        <w:t xml:space="preserve"> to the paper</w:t>
      </w:r>
      <w:r w:rsidR="00BC734D">
        <w:t>.</w:t>
      </w:r>
      <w:r w:rsidR="00BC734D" w:rsidRPr="00BC734D">
        <w:t xml:space="preserve"> </w:t>
      </w:r>
      <w:r w:rsidR="008804F8">
        <w:t xml:space="preserve">In 1769, </w:t>
      </w:r>
      <w:r w:rsidR="00BC734D">
        <w:t>concern about gamblers moving into the market</w:t>
      </w:r>
      <w:r w:rsidR="00892310">
        <w:t xml:space="preserve"> led</w:t>
      </w:r>
      <w:r w:rsidR="00BC734D">
        <w:t xml:space="preserve"> a </w:t>
      </w:r>
      <w:r w:rsidR="006613B6">
        <w:t xml:space="preserve">breakaway </w:t>
      </w:r>
      <w:r w:rsidR="00BC734D">
        <w:t xml:space="preserve">group of underwriters to form </w:t>
      </w:r>
      <w:r w:rsidR="008804F8">
        <w:t>a</w:t>
      </w:r>
      <w:r w:rsidR="00BC734D">
        <w:t xml:space="preserve"> </w:t>
      </w:r>
      <w:r w:rsidR="005E5223">
        <w:t>n</w:t>
      </w:r>
      <w:r w:rsidR="00BC734D">
        <w:t>ew Lloyd’s.</w:t>
      </w:r>
      <w:r w:rsidR="00BC734D" w:rsidRPr="00BC734D">
        <w:t xml:space="preserve"> </w:t>
      </w:r>
      <w:r w:rsidR="00BC734D">
        <w:t>By 1774 the New Lloyd’s had 179 subscribers who enjoye</w:t>
      </w:r>
      <w:r w:rsidR="006C6179">
        <w:t xml:space="preserve">d the sole right to underwrite </w:t>
      </w:r>
      <w:r w:rsidR="005E5223">
        <w:t>i</w:t>
      </w:r>
      <w:r w:rsidR="00BC734D">
        <w:t xml:space="preserve">n their </w:t>
      </w:r>
      <w:r w:rsidR="005E5223">
        <w:t>p</w:t>
      </w:r>
      <w:r w:rsidR="00BC734D">
        <w:t>remises in the Royal Exchange.</w:t>
      </w:r>
      <w:r w:rsidR="008804F8">
        <w:t xml:space="preserve"> This soon</w:t>
      </w:r>
      <w:r w:rsidR="00B666F6" w:rsidRPr="00B666F6">
        <w:t xml:space="preserve"> </w:t>
      </w:r>
      <w:r w:rsidR="008804F8">
        <w:t xml:space="preserve">replaced the previous </w:t>
      </w:r>
      <w:r w:rsidR="00B666F6">
        <w:t>incarnation of Lloyd’s</w:t>
      </w:r>
      <w:r w:rsidR="008804F8">
        <w:t>.</w:t>
      </w:r>
    </w:p>
    <w:p w:rsidR="00BC734D" w:rsidRDefault="00BC734D" w:rsidP="00650DCA"/>
    <w:p w:rsidR="00BC734D" w:rsidRDefault="00BC734D" w:rsidP="00BC734D">
      <w:r>
        <w:t xml:space="preserve">In the </w:t>
      </w:r>
      <w:r w:rsidR="008804F8">
        <w:t>early</w:t>
      </w:r>
      <w:r>
        <w:t xml:space="preserve"> nineteenth century </w:t>
      </w:r>
      <w:r w:rsidR="00340B71">
        <w:t xml:space="preserve">Lloyd’s </w:t>
      </w:r>
      <w:r>
        <w:t xml:space="preserve">underwriters </w:t>
      </w:r>
      <w:r w:rsidR="00971836">
        <w:t xml:space="preserve">came under attack </w:t>
      </w:r>
      <w:r>
        <w:t>for the alleged inadequacy of their capital reserves. The</w:t>
      </w:r>
      <w:r w:rsidR="008804F8">
        <w:t>ir</w:t>
      </w:r>
      <w:r>
        <w:t xml:space="preserve"> response was to </w:t>
      </w:r>
      <w:r w:rsidR="00653EB1">
        <w:t xml:space="preserve">formalise </w:t>
      </w:r>
      <w:r w:rsidR="008804F8">
        <w:t>the</w:t>
      </w:r>
      <w:r w:rsidR="00653EB1">
        <w:t xml:space="preserve"> </w:t>
      </w:r>
      <w:r w:rsidR="00D82317">
        <w:t>institution</w:t>
      </w:r>
      <w:r w:rsidR="00653EB1">
        <w:t xml:space="preserve">. </w:t>
      </w:r>
      <w:r>
        <w:t xml:space="preserve">In 1811 a deed of association was drawn up, a new </w:t>
      </w:r>
      <w:r w:rsidR="00390E6A">
        <w:t>govern</w:t>
      </w:r>
      <w:r w:rsidR="00653EB1">
        <w:t xml:space="preserve">ing </w:t>
      </w:r>
      <w:r>
        <w:t>committee</w:t>
      </w:r>
      <w:r w:rsidR="00C0101F">
        <w:t xml:space="preserve"> </w:t>
      </w:r>
      <w:r>
        <w:t>was established</w:t>
      </w:r>
      <w:r w:rsidR="00C0101F">
        <w:t xml:space="preserve">, </w:t>
      </w:r>
      <w:r>
        <w:t xml:space="preserve">and the first agents </w:t>
      </w:r>
      <w:r w:rsidR="00653EB1">
        <w:t xml:space="preserve">were </w:t>
      </w:r>
      <w:r>
        <w:t>appointed</w:t>
      </w:r>
      <w:r w:rsidR="00653EB1">
        <w:t>,</w:t>
      </w:r>
      <w:r>
        <w:t xml:space="preserve"> who </w:t>
      </w:r>
      <w:r w:rsidR="008804F8">
        <w:t>transmitted</w:t>
      </w:r>
      <w:r>
        <w:t xml:space="preserve"> shipping intelligence, t</w:t>
      </w:r>
      <w:r w:rsidR="008804F8">
        <w:t xml:space="preserve">ook </w:t>
      </w:r>
      <w:r>
        <w:t>charge of salvage and overs</w:t>
      </w:r>
      <w:r w:rsidR="008804F8">
        <w:t>aw</w:t>
      </w:r>
      <w:r>
        <w:t xml:space="preserve"> claims and ship repairs. </w:t>
      </w:r>
    </w:p>
    <w:p w:rsidR="00BC734D" w:rsidRDefault="00BC734D" w:rsidP="00BC734D">
      <w:pPr>
        <w:ind w:firstLine="720"/>
      </w:pPr>
      <w:r>
        <w:t xml:space="preserve">. </w:t>
      </w:r>
    </w:p>
    <w:p w:rsidR="002C553A" w:rsidRDefault="00BC734D" w:rsidP="00D52041">
      <w:r>
        <w:t xml:space="preserve">As the market grew, </w:t>
      </w:r>
      <w:r w:rsidR="008804F8">
        <w:t xml:space="preserve">many </w:t>
      </w:r>
      <w:r>
        <w:t xml:space="preserve">subscriber-members became detached from </w:t>
      </w:r>
      <w:r w:rsidR="00ED7DCB">
        <w:t>insurance operations</w:t>
      </w:r>
      <w:r>
        <w:t>, and became known as ‘names’, that is individuals who put up their personal wealth as capital</w:t>
      </w:r>
      <w:r w:rsidR="004C33FA">
        <w:t xml:space="preserve">, </w:t>
      </w:r>
      <w:r w:rsidR="00971836">
        <w:t xml:space="preserve">but who did not </w:t>
      </w:r>
      <w:r w:rsidR="00ED7DCB">
        <w:t>actively</w:t>
      </w:r>
      <w:r w:rsidR="00971836">
        <w:t xml:space="preserve"> underwrite themselves. They became</w:t>
      </w:r>
      <w:r w:rsidR="00D52041">
        <w:t xml:space="preserve"> organised into syndicates. </w:t>
      </w:r>
      <w:r w:rsidR="002C553A" w:rsidRPr="008B4C8C">
        <w:t>A name</w:t>
      </w:r>
      <w:r w:rsidR="00785EF6">
        <w:t>’</w:t>
      </w:r>
      <w:r w:rsidR="002C553A" w:rsidRPr="008B4C8C">
        <w:t xml:space="preserve">s declared </w:t>
      </w:r>
      <w:r w:rsidR="005E5223">
        <w:t>means</w:t>
      </w:r>
      <w:r w:rsidR="002C553A" w:rsidRPr="008B4C8C">
        <w:t xml:space="preserve"> de</w:t>
      </w:r>
      <w:r w:rsidR="005E5223">
        <w:t>termined</w:t>
      </w:r>
      <w:r w:rsidR="002C553A" w:rsidRPr="008B4C8C">
        <w:t xml:space="preserve"> how much c</w:t>
      </w:r>
      <w:r w:rsidR="002C553A">
        <w:t>ould</w:t>
      </w:r>
      <w:r w:rsidR="002C553A" w:rsidRPr="008B4C8C">
        <w:t xml:space="preserve"> be </w:t>
      </w:r>
      <w:r w:rsidR="00EE26DF">
        <w:t>insured</w:t>
      </w:r>
      <w:r w:rsidR="002C553A" w:rsidRPr="008B4C8C">
        <w:t xml:space="preserve"> on his</w:t>
      </w:r>
      <w:r w:rsidR="002C553A">
        <w:t xml:space="preserve"> </w:t>
      </w:r>
      <w:r w:rsidR="002C553A" w:rsidRPr="008B4C8C">
        <w:t>behalf</w:t>
      </w:r>
      <w:r w:rsidR="002C553A">
        <w:t xml:space="preserve"> </w:t>
      </w:r>
      <w:r w:rsidR="001017CF">
        <w:t xml:space="preserve">- </w:t>
      </w:r>
      <w:r w:rsidR="00340B71">
        <w:t>w</w:t>
      </w:r>
      <w:r w:rsidR="001017CF">
        <w:t xml:space="preserve">omen were not admitted as names until 1970 - </w:t>
      </w:r>
      <w:r w:rsidR="002C553A">
        <w:t xml:space="preserve">by the </w:t>
      </w:r>
      <w:r w:rsidR="00ED7DCB">
        <w:t xml:space="preserve">syndicate’s </w:t>
      </w:r>
      <w:r w:rsidR="002C553A">
        <w:t>underwriter</w:t>
      </w:r>
      <w:r w:rsidR="002C553A" w:rsidRPr="008B4C8C">
        <w:t xml:space="preserve">. </w:t>
      </w:r>
      <w:r w:rsidR="009250DA">
        <w:t xml:space="preserve">Solvency was, in theory, ensured by </w:t>
      </w:r>
      <w:r w:rsidR="00340B71">
        <w:t>limiting</w:t>
      </w:r>
      <w:r w:rsidR="009250DA">
        <w:t xml:space="preserve"> the underwriting capacity of a syndicate to the assets of </w:t>
      </w:r>
      <w:r w:rsidR="008804F8">
        <w:t>its</w:t>
      </w:r>
      <w:r w:rsidR="009250DA">
        <w:t xml:space="preserve"> members</w:t>
      </w:r>
      <w:r w:rsidR="004C33FA">
        <w:t xml:space="preserve">, but there was no legal </w:t>
      </w:r>
      <w:r w:rsidR="00340B71">
        <w:t xml:space="preserve">limit to </w:t>
      </w:r>
      <w:r w:rsidR="004C33FA">
        <w:t>their liability</w:t>
      </w:r>
      <w:r w:rsidR="009250DA">
        <w:t xml:space="preserve">. </w:t>
      </w:r>
      <w:r w:rsidR="002C553A">
        <w:t>Although Lloyd’s was in</w:t>
      </w:r>
      <w:r w:rsidR="00340B71">
        <w:t xml:space="preserve">corporated </w:t>
      </w:r>
      <w:r w:rsidR="002C553A">
        <w:t>in 1871, th</w:t>
      </w:r>
      <w:r w:rsidR="004C33FA">
        <w:t xml:space="preserve">e </w:t>
      </w:r>
      <w:r w:rsidR="00340B71">
        <w:t xml:space="preserve">incorporating </w:t>
      </w:r>
      <w:r w:rsidR="004C33FA">
        <w:t>act</w:t>
      </w:r>
      <w:r w:rsidR="002C553A">
        <w:t xml:space="preserve"> </w:t>
      </w:r>
      <w:r w:rsidR="00D45312">
        <w:t xml:space="preserve">was </w:t>
      </w:r>
      <w:r w:rsidR="002C553A">
        <w:t xml:space="preserve">principally </w:t>
      </w:r>
      <w:r w:rsidR="00D45312">
        <w:t>intended</w:t>
      </w:r>
      <w:r w:rsidR="002C553A">
        <w:t xml:space="preserve"> to strengthen </w:t>
      </w:r>
      <w:r w:rsidR="00D45312">
        <w:t>the committee’s rule-making powers</w:t>
      </w:r>
      <w:r w:rsidR="00ED7DCB">
        <w:t xml:space="preserve">. </w:t>
      </w:r>
      <w:r w:rsidR="004C33FA">
        <w:t>It</w:t>
      </w:r>
      <w:r w:rsidR="00D45312">
        <w:t xml:space="preserve"> did not remove the unlimited personal liability of </w:t>
      </w:r>
      <w:r w:rsidR="002C553A" w:rsidRPr="008B4C8C">
        <w:t xml:space="preserve">names for </w:t>
      </w:r>
      <w:r w:rsidR="00D45312">
        <w:t>the losses</w:t>
      </w:r>
      <w:r w:rsidR="002C553A" w:rsidRPr="008B4C8C">
        <w:t xml:space="preserve"> </w:t>
      </w:r>
      <w:r w:rsidR="002C553A">
        <w:t xml:space="preserve">of </w:t>
      </w:r>
      <w:r w:rsidR="00D45312">
        <w:t xml:space="preserve">their </w:t>
      </w:r>
      <w:r w:rsidR="002C553A">
        <w:t>syndicate</w:t>
      </w:r>
      <w:r w:rsidR="00D45312">
        <w:t>s</w:t>
      </w:r>
      <w:r w:rsidR="002C553A">
        <w:t>.</w:t>
      </w:r>
    </w:p>
    <w:p w:rsidR="002C553A" w:rsidRDefault="002C553A" w:rsidP="00D52041"/>
    <w:p w:rsidR="00D52041" w:rsidRDefault="00D52041" w:rsidP="002C553A">
      <w:r>
        <w:t>The syndicates were not legal partnerships. At the end of e</w:t>
      </w:r>
      <w:r w:rsidR="00EE26DF">
        <w:t>very</w:t>
      </w:r>
      <w:r>
        <w:t xml:space="preserve"> year, each syndicate was </w:t>
      </w:r>
      <w:r w:rsidR="00B24832">
        <w:t>formally</w:t>
      </w:r>
      <w:r>
        <w:t xml:space="preserve"> disbanded as a trading entity, </w:t>
      </w:r>
      <w:r w:rsidR="00B24832">
        <w:t>but</w:t>
      </w:r>
      <w:r>
        <w:t xml:space="preserve"> </w:t>
      </w:r>
      <w:r w:rsidR="00AE453B">
        <w:t>then</w:t>
      </w:r>
      <w:r>
        <w:t xml:space="preserve"> usually reconstituted for the next year</w:t>
      </w:r>
      <w:r w:rsidR="00EE26DF">
        <w:t>, often</w:t>
      </w:r>
      <w:r>
        <w:t xml:space="preserve"> with the same membership and the same identifying number. </w:t>
      </w:r>
      <w:r w:rsidR="009250DA">
        <w:t>Because claims</w:t>
      </w:r>
      <w:r w:rsidR="00340B71">
        <w:t xml:space="preserve"> arising from ocean-going voyages</w:t>
      </w:r>
      <w:r w:rsidR="009250DA">
        <w:t xml:space="preserve"> could take time to be </w:t>
      </w:r>
      <w:r w:rsidR="00F21650">
        <w:t>settled</w:t>
      </w:r>
      <w:r w:rsidR="009250DA">
        <w:t xml:space="preserve">, the practice developed of waiting three years from the beginning of a syndicate before ‘closing’ </w:t>
      </w:r>
      <w:r w:rsidR="00B24832">
        <w:t>one</w:t>
      </w:r>
      <w:r w:rsidR="009250DA">
        <w:t xml:space="preserve"> year’s account and declaring a profit or loss. This </w:t>
      </w:r>
      <w:r w:rsidR="009250DA" w:rsidRPr="003B7E25">
        <w:rPr>
          <w:color w:val="000000"/>
        </w:rPr>
        <w:t xml:space="preserve">three-year accounting </w:t>
      </w:r>
      <w:r w:rsidR="009250DA">
        <w:rPr>
          <w:color w:val="000000"/>
        </w:rPr>
        <w:t>system thus</w:t>
      </w:r>
      <w:r w:rsidR="009250DA" w:rsidRPr="003B7E25">
        <w:rPr>
          <w:color w:val="000000"/>
        </w:rPr>
        <w:t xml:space="preserve"> start</w:t>
      </w:r>
      <w:r w:rsidR="00A80907">
        <w:rPr>
          <w:color w:val="000000"/>
        </w:rPr>
        <w:t>ed</w:t>
      </w:r>
      <w:r w:rsidR="009250DA" w:rsidRPr="003B7E25">
        <w:rPr>
          <w:color w:val="000000"/>
        </w:rPr>
        <w:t xml:space="preserve"> with year</w:t>
      </w:r>
      <w:r w:rsidR="00A80907">
        <w:rPr>
          <w:color w:val="000000"/>
        </w:rPr>
        <w:t xml:space="preserve"> one’</w:t>
      </w:r>
      <w:r w:rsidR="009250DA" w:rsidRPr="003B7E25">
        <w:rPr>
          <w:color w:val="000000"/>
        </w:rPr>
        <w:t>s premium income and allow</w:t>
      </w:r>
      <w:r w:rsidR="009250DA">
        <w:rPr>
          <w:color w:val="000000"/>
        </w:rPr>
        <w:t>ed</w:t>
      </w:r>
      <w:r w:rsidR="009250DA" w:rsidRPr="003B7E25">
        <w:rPr>
          <w:color w:val="000000"/>
        </w:rPr>
        <w:t xml:space="preserve"> two </w:t>
      </w:r>
      <w:r w:rsidR="009250DA">
        <w:rPr>
          <w:color w:val="000000"/>
        </w:rPr>
        <w:t xml:space="preserve">further </w:t>
      </w:r>
      <w:r w:rsidR="009250DA" w:rsidRPr="003B7E25">
        <w:rPr>
          <w:color w:val="000000"/>
        </w:rPr>
        <w:t xml:space="preserve">years for claims to come in before the </w:t>
      </w:r>
      <w:r w:rsidR="00A80907">
        <w:rPr>
          <w:color w:val="000000"/>
        </w:rPr>
        <w:t xml:space="preserve">result for </w:t>
      </w:r>
      <w:r w:rsidR="009250DA" w:rsidRPr="003B7E25">
        <w:rPr>
          <w:color w:val="000000"/>
        </w:rPr>
        <w:t xml:space="preserve">year </w:t>
      </w:r>
      <w:r w:rsidR="00A80907">
        <w:rPr>
          <w:color w:val="000000"/>
        </w:rPr>
        <w:t>one was</w:t>
      </w:r>
      <w:r w:rsidR="009250DA" w:rsidRPr="003B7E25">
        <w:rPr>
          <w:color w:val="000000"/>
        </w:rPr>
        <w:t xml:space="preserve"> </w:t>
      </w:r>
      <w:r w:rsidR="00A80907">
        <w:rPr>
          <w:color w:val="000000"/>
        </w:rPr>
        <w:t>declared</w:t>
      </w:r>
      <w:r w:rsidR="009250DA" w:rsidRPr="003B7E25">
        <w:rPr>
          <w:color w:val="000000"/>
        </w:rPr>
        <w:t>.</w:t>
      </w:r>
      <w:r w:rsidR="00A80907">
        <w:rPr>
          <w:color w:val="000000"/>
        </w:rPr>
        <w:t xml:space="preserve"> </w:t>
      </w:r>
      <w:r w:rsidR="00B24832">
        <w:rPr>
          <w:color w:val="000000"/>
        </w:rPr>
        <w:t>T</w:t>
      </w:r>
      <w:r w:rsidR="00A80907">
        <w:t xml:space="preserve">he result also included setting aside reserves for future claims </w:t>
      </w:r>
      <w:r w:rsidR="00EE26DF">
        <w:t>that had not yet come in during t</w:t>
      </w:r>
      <w:r w:rsidR="00A80907">
        <w:t xml:space="preserve">he three years accounting period. How much to set aside was difficult to estimate. </w:t>
      </w:r>
      <w:r w:rsidR="00A02D84">
        <w:t>In the twentieth century, s</w:t>
      </w:r>
      <w:r w:rsidR="00A80907">
        <w:t xml:space="preserve">ome types of ‘long-tail’ liability </w:t>
      </w:r>
      <w:r w:rsidR="00B24832">
        <w:t>insurance</w:t>
      </w:r>
      <w:r w:rsidR="00A80907">
        <w:t xml:space="preserve"> produce</w:t>
      </w:r>
      <w:r w:rsidR="00A02D84">
        <w:t>d</w:t>
      </w:r>
      <w:r w:rsidR="00A80907">
        <w:t xml:space="preserve"> claims that </w:t>
      </w:r>
      <w:r w:rsidR="00EE26DF">
        <w:t>arrived</w:t>
      </w:r>
      <w:r w:rsidR="00A80907">
        <w:t xml:space="preserve"> </w:t>
      </w:r>
      <w:r w:rsidR="00A02D84">
        <w:t>decades</w:t>
      </w:r>
      <w:r w:rsidR="00A80907">
        <w:t xml:space="preserve"> after the policies were written. The reserve was normally set aside by buying a reinsurance policy that would pay for any future claims. This was known as </w:t>
      </w:r>
      <w:r w:rsidR="00B24832">
        <w:t>‘</w:t>
      </w:r>
      <w:r w:rsidR="00A80907">
        <w:t>reinsurance-to-close</w:t>
      </w:r>
      <w:r w:rsidR="00B24832">
        <w:t>’</w:t>
      </w:r>
      <w:r w:rsidR="00A80907">
        <w:t xml:space="preserve"> (RITC).</w:t>
      </w:r>
      <w:r w:rsidR="007631CF">
        <w:rPr>
          <w:rStyle w:val="EndnoteReference"/>
        </w:rPr>
        <w:endnoteReference w:id="4"/>
      </w:r>
      <w:r w:rsidR="00A02D84">
        <w:t xml:space="preserve"> </w:t>
      </w:r>
      <w:r w:rsidR="00A80907">
        <w:t xml:space="preserve">The reinsurer was </w:t>
      </w:r>
      <w:r w:rsidR="00A02D84">
        <w:t xml:space="preserve">often </w:t>
      </w:r>
      <w:r w:rsidR="00A80907">
        <w:t>another Lloyd</w:t>
      </w:r>
      <w:r w:rsidR="00A02D84">
        <w:t>’</w:t>
      </w:r>
      <w:r w:rsidR="00A80907">
        <w:t xml:space="preserve">s syndicate, </w:t>
      </w:r>
      <w:r w:rsidR="00A02D84">
        <w:t>sometimes</w:t>
      </w:r>
      <w:r w:rsidR="00A80907">
        <w:t xml:space="preserve"> the immediate successor of the syndicate</w:t>
      </w:r>
      <w:r w:rsidR="00CC02E0">
        <w:t xml:space="preserve"> paying for the RITC</w:t>
      </w:r>
      <w:r w:rsidR="00A80907">
        <w:t>.</w:t>
      </w:r>
      <w:r w:rsidR="00CC02E0" w:rsidRPr="00CC02E0">
        <w:t xml:space="preserve"> </w:t>
      </w:r>
      <w:r w:rsidR="00CC02E0">
        <w:t>Thus a name joining a syndicate with a long history of such transactions might pick up the personal</w:t>
      </w:r>
      <w:r w:rsidR="00B24832">
        <w:t xml:space="preserve"> </w:t>
      </w:r>
      <w:r w:rsidR="00CC02E0">
        <w:t xml:space="preserve">unlimited liability for losses on policies written </w:t>
      </w:r>
      <w:r w:rsidR="00A02D84">
        <w:t>a long time before</w:t>
      </w:r>
      <w:r w:rsidR="00CC02E0">
        <w:t>.</w:t>
      </w:r>
      <w:r w:rsidR="008655CE">
        <w:t xml:space="preserve"> This </w:t>
      </w:r>
      <w:r w:rsidR="002D79C1">
        <w:t>was</w:t>
      </w:r>
      <w:r w:rsidR="008655CE">
        <w:t xml:space="preserve"> </w:t>
      </w:r>
      <w:r w:rsidR="00A02D84">
        <w:t xml:space="preserve">a </w:t>
      </w:r>
      <w:r w:rsidR="008655CE">
        <w:t xml:space="preserve">key </w:t>
      </w:r>
      <w:r w:rsidR="002D79C1">
        <w:t>feature</w:t>
      </w:r>
      <w:r w:rsidR="00E0144F">
        <w:t xml:space="preserve"> of</w:t>
      </w:r>
      <w:r w:rsidR="008655CE">
        <w:t xml:space="preserve"> the crisis that unfolded in the 1980s.</w:t>
      </w:r>
    </w:p>
    <w:p w:rsidR="00E87C69" w:rsidRDefault="00E87C69" w:rsidP="00E87C69">
      <w:pPr>
        <w:pStyle w:val="NormalWeb"/>
      </w:pPr>
      <w:r>
        <w:t>As risks became larger and the market diversified out of marine insurance, the number of Lloyd’s members and average size of syndicates increase</w:t>
      </w:r>
      <w:r w:rsidR="005A2024">
        <w:t xml:space="preserve">d. </w:t>
      </w:r>
      <w:r>
        <w:t xml:space="preserve">In the 1880s few syndicates </w:t>
      </w:r>
      <w:r w:rsidR="005A2024">
        <w:t>had</w:t>
      </w:r>
      <w:r>
        <w:t xml:space="preserve"> more than six names. By the 1980s some had </w:t>
      </w:r>
      <w:r w:rsidR="00A02D84">
        <w:t>several thousand</w:t>
      </w:r>
      <w:r>
        <w:t>.</w:t>
      </w:r>
      <w:r w:rsidRPr="003949F5">
        <w:t xml:space="preserve"> </w:t>
      </w:r>
      <w:r>
        <w:t>As syndicates became larger, they became administered by managing agents who appointed the active underwriters</w:t>
      </w:r>
      <w:r w:rsidR="00A02D84">
        <w:t xml:space="preserve"> and received a</w:t>
      </w:r>
      <w:r w:rsidR="002B604F">
        <w:t xml:space="preserve"> </w:t>
      </w:r>
      <w:r w:rsidR="00A02D84">
        <w:t>fee and a commission on the syndicate’s profits</w:t>
      </w:r>
      <w:r>
        <w:t xml:space="preserve">. </w:t>
      </w:r>
      <w:r w:rsidR="00A02D84">
        <w:t xml:space="preserve">Managing agents often ran </w:t>
      </w:r>
      <w:r w:rsidR="002D79C1">
        <w:t>several</w:t>
      </w:r>
      <w:r w:rsidR="00A02D84">
        <w:t xml:space="preserve"> syndicate</w:t>
      </w:r>
      <w:r w:rsidR="002D79C1">
        <w:t>s</w:t>
      </w:r>
      <w:r w:rsidR="00A02D84">
        <w:t xml:space="preserve">. </w:t>
      </w:r>
      <w:r w:rsidR="004E75A7">
        <w:t xml:space="preserve">During the 1970s </w:t>
      </w:r>
      <w:r w:rsidR="00A02D84">
        <w:t>names’ or members’ agent</w:t>
      </w:r>
      <w:r w:rsidR="002D79C1">
        <w:t>s also emerged</w:t>
      </w:r>
      <w:r w:rsidR="00A02D84">
        <w:t>, who recruited names to syndicates</w:t>
      </w:r>
      <w:r w:rsidR="005F2BE2">
        <w:t xml:space="preserve"> </w:t>
      </w:r>
      <w:r w:rsidR="009E4F2C">
        <w:t xml:space="preserve">in return </w:t>
      </w:r>
      <w:r w:rsidR="00A02D84">
        <w:t>for a</w:t>
      </w:r>
      <w:r w:rsidR="009E4F2C">
        <w:t>n annual</w:t>
      </w:r>
      <w:r w:rsidR="00A02D84">
        <w:t xml:space="preserve"> fee</w:t>
      </w:r>
      <w:r w:rsidR="005F2BE2">
        <w:t xml:space="preserve"> assessed on the stamp (underwriting) capacity of their names</w:t>
      </w:r>
      <w:r>
        <w:t>.</w:t>
      </w:r>
      <w:r w:rsidR="002B604F">
        <w:rPr>
          <w:rStyle w:val="EndnoteReference"/>
        </w:rPr>
        <w:endnoteReference w:id="5"/>
      </w:r>
    </w:p>
    <w:p w:rsidR="00A2320E" w:rsidRDefault="005A2024" w:rsidP="00A2320E">
      <w:r>
        <w:t xml:space="preserve">Outsiders </w:t>
      </w:r>
      <w:r w:rsidR="00E87C69">
        <w:t>could not do business directly with Lloyd</w:t>
      </w:r>
      <w:r>
        <w:t>’</w:t>
      </w:r>
      <w:r w:rsidR="00E87C69">
        <w:t>s. T</w:t>
      </w:r>
      <w:r w:rsidR="00E0144F">
        <w:t xml:space="preserve">hey were required to hire </w:t>
      </w:r>
      <w:r w:rsidR="00E87C69">
        <w:t>brokers</w:t>
      </w:r>
      <w:r w:rsidR="00E0144F">
        <w:t xml:space="preserve"> licensed by Lloyd’s</w:t>
      </w:r>
      <w:r w:rsidR="00E87C69">
        <w:t xml:space="preserve">, who shopped </w:t>
      </w:r>
      <w:r w:rsidR="00E0144F">
        <w:t xml:space="preserve">their </w:t>
      </w:r>
      <w:r w:rsidR="00E87C69">
        <w:t>c</w:t>
      </w:r>
      <w:r>
        <w:t>lient</w:t>
      </w:r>
      <w:r w:rsidR="00E87C69">
        <w:t>s</w:t>
      </w:r>
      <w:r w:rsidR="00E0144F">
        <w:t>’</w:t>
      </w:r>
      <w:r w:rsidR="00E87C69">
        <w:t xml:space="preserve"> </w:t>
      </w:r>
      <w:r>
        <w:t xml:space="preserve">orders for </w:t>
      </w:r>
      <w:r w:rsidR="00E0144F">
        <w:t>cover</w:t>
      </w:r>
      <w:r>
        <w:t xml:space="preserve"> </w:t>
      </w:r>
      <w:r w:rsidR="00E87C69">
        <w:t>a</w:t>
      </w:r>
      <w:r w:rsidR="00E0144F">
        <w:t>round</w:t>
      </w:r>
      <w:r w:rsidR="00E87C69">
        <w:t xml:space="preserve"> the syndicates, </w:t>
      </w:r>
      <w:r w:rsidR="00C5001F">
        <w:t>and a</w:t>
      </w:r>
      <w:r w:rsidR="00E0144F">
        <w:t>round</w:t>
      </w:r>
      <w:r w:rsidR="00C5001F">
        <w:t xml:space="preserve"> insurance companies outside the market, </w:t>
      </w:r>
      <w:r w:rsidR="00E87C69">
        <w:t>trying to obtain the best prices and terms</w:t>
      </w:r>
      <w:r w:rsidR="002A1BFD">
        <w:t xml:space="preserve">. </w:t>
      </w:r>
      <w:r w:rsidR="00E87C69">
        <w:t>B</w:t>
      </w:r>
      <w:r w:rsidR="00C5001F">
        <w:t xml:space="preserve">y </w:t>
      </w:r>
      <w:r w:rsidR="00E87C69">
        <w:t xml:space="preserve">the First World War many of the larger broking firms </w:t>
      </w:r>
      <w:r w:rsidR="00C5001F">
        <w:t xml:space="preserve">had </w:t>
      </w:r>
      <w:r w:rsidR="00E87C69">
        <w:t>bec</w:t>
      </w:r>
      <w:r w:rsidR="00C5001F">
        <w:t>o</w:t>
      </w:r>
      <w:r w:rsidR="00E87C69">
        <w:t>me limited companies.</w:t>
      </w:r>
      <w:r w:rsidR="00E87C69" w:rsidRPr="004823EE">
        <w:t xml:space="preserve"> </w:t>
      </w:r>
      <w:r w:rsidR="00E87C69">
        <w:t>Be</w:t>
      </w:r>
      <w:r w:rsidR="00E0144F">
        <w:t>fore and after the Second World War</w:t>
      </w:r>
      <w:r w:rsidR="00E87C69">
        <w:t xml:space="preserve"> </w:t>
      </w:r>
      <w:r w:rsidR="00E0144F">
        <w:t xml:space="preserve">brokers merged, leading </w:t>
      </w:r>
      <w:r w:rsidR="00E87C69">
        <w:t xml:space="preserve">to </w:t>
      </w:r>
      <w:r w:rsidR="00E0144F">
        <w:t xml:space="preserve">greater </w:t>
      </w:r>
      <w:r w:rsidR="00C5001F">
        <w:t xml:space="preserve">market </w:t>
      </w:r>
      <w:r w:rsidR="00E87C69">
        <w:t xml:space="preserve">concentration. By 1978 68 per cent of premiums at Lloyd’s were placed by the dozen leading broking firms. </w:t>
      </w:r>
      <w:r w:rsidR="00F30309">
        <w:lastRenderedPageBreak/>
        <w:t xml:space="preserve">Lloyd’s became </w:t>
      </w:r>
      <w:r>
        <w:t xml:space="preserve">particularly </w:t>
      </w:r>
      <w:r w:rsidR="00F30309">
        <w:t xml:space="preserve">attractive to </w:t>
      </w:r>
      <w:r w:rsidR="00AC7636">
        <w:t xml:space="preserve">American </w:t>
      </w:r>
      <w:r w:rsidR="00F30309">
        <w:t>broking co</w:t>
      </w:r>
      <w:r w:rsidR="00AC7636">
        <w:t>mpanies</w:t>
      </w:r>
      <w:r w:rsidR="00F30309">
        <w:t xml:space="preserve"> seeking a foothold in London m</w:t>
      </w:r>
      <w:r w:rsidR="00AC7636">
        <w:t>arket</w:t>
      </w:r>
      <w:r w:rsidR="00F30309">
        <w:t xml:space="preserve"> and even the largest Lloyd</w:t>
      </w:r>
      <w:r>
        <w:t>’</w:t>
      </w:r>
      <w:r w:rsidR="00F30309">
        <w:t xml:space="preserve">s brokers found themselves </w:t>
      </w:r>
      <w:r w:rsidR="00E0144F">
        <w:t xml:space="preserve">vulnerable </w:t>
      </w:r>
      <w:r w:rsidR="00F30309">
        <w:t xml:space="preserve">to </w:t>
      </w:r>
      <w:r w:rsidR="00E0144F">
        <w:t xml:space="preserve">takeover </w:t>
      </w:r>
      <w:r w:rsidR="00672E68">
        <w:t>by th</w:t>
      </w:r>
      <w:r w:rsidR="00F30309">
        <w:t>eir US counterparts.</w:t>
      </w:r>
      <w:r>
        <w:rPr>
          <w:rStyle w:val="EndnoteReference"/>
        </w:rPr>
        <w:endnoteReference w:id="6"/>
      </w:r>
      <w:r w:rsidR="00F30309">
        <w:t xml:space="preserve"> </w:t>
      </w:r>
    </w:p>
    <w:p w:rsidR="00FE514B" w:rsidRDefault="00937F17" w:rsidP="00D52041">
      <w:pPr>
        <w:pStyle w:val="NormalWeb"/>
      </w:pPr>
      <w:r>
        <w:t>M</w:t>
      </w:r>
      <w:r w:rsidR="00AC7636">
        <w:t xml:space="preserve">ost </w:t>
      </w:r>
      <w:r w:rsidR="00ED0E41">
        <w:t xml:space="preserve">managing </w:t>
      </w:r>
      <w:r w:rsidR="00AC7636">
        <w:t xml:space="preserve">agencies became owned by a handful of </w:t>
      </w:r>
      <w:r w:rsidR="002A6D42">
        <w:t xml:space="preserve">these </w:t>
      </w:r>
      <w:r w:rsidR="00AC7636">
        <w:t xml:space="preserve">giant broking firms. Through the agencies the brokers controlled most of the syndicates and therefore indirectly employed most of the underwriters. The potential </w:t>
      </w:r>
      <w:r w:rsidR="00ED0E41">
        <w:t xml:space="preserve">arose </w:t>
      </w:r>
      <w:r w:rsidR="00AC7636">
        <w:t>for a</w:t>
      </w:r>
      <w:r w:rsidR="00ED0E41">
        <w:t xml:space="preserve"> conflict of interest</w:t>
      </w:r>
      <w:r w:rsidR="00AC7636">
        <w:t xml:space="preserve"> between brokers who </w:t>
      </w:r>
      <w:r w:rsidR="00B5131F">
        <w:t>sought</w:t>
      </w:r>
      <w:r w:rsidR="00AC7636">
        <w:t xml:space="preserve"> the lowest rates for their clients and underwriters who sought the best risks at the highest rates fo</w:t>
      </w:r>
      <w:r w:rsidR="00ED0E41">
        <w:t>r their names</w:t>
      </w:r>
      <w:r w:rsidR="00E87C69">
        <w:t>.</w:t>
      </w:r>
      <w:r w:rsidR="00D52041">
        <w:t xml:space="preserve"> </w:t>
      </w:r>
    </w:p>
    <w:p w:rsidR="00D52041" w:rsidRDefault="00EF7437" w:rsidP="00650DCA">
      <w:pPr>
        <w:rPr>
          <w:b/>
        </w:rPr>
      </w:pPr>
      <w:r w:rsidRPr="00BC734D">
        <w:rPr>
          <w:b/>
        </w:rPr>
        <w:t>2</w:t>
      </w:r>
      <w:r w:rsidR="00D64779" w:rsidRPr="00BC734D">
        <w:rPr>
          <w:b/>
        </w:rPr>
        <w:t xml:space="preserve">. </w:t>
      </w:r>
      <w:r w:rsidR="000F6AFB">
        <w:rPr>
          <w:b/>
        </w:rPr>
        <w:t>Expansion, s</w:t>
      </w:r>
      <w:r w:rsidR="00D64779" w:rsidRPr="00BC734D">
        <w:rPr>
          <w:b/>
        </w:rPr>
        <w:t>candal</w:t>
      </w:r>
      <w:r w:rsidR="00867331">
        <w:rPr>
          <w:b/>
        </w:rPr>
        <w:t>s and governance</w:t>
      </w:r>
      <w:r w:rsidR="000F6AFB">
        <w:rPr>
          <w:b/>
        </w:rPr>
        <w:t xml:space="preserve"> issues</w:t>
      </w:r>
      <w:r w:rsidR="003E5737">
        <w:rPr>
          <w:b/>
        </w:rPr>
        <w:t>.</w:t>
      </w:r>
    </w:p>
    <w:p w:rsidR="00FE743D" w:rsidRDefault="003E5737" w:rsidP="00C41258">
      <w:r>
        <w:t>There was a s</w:t>
      </w:r>
      <w:r w:rsidR="00CF46BD" w:rsidRPr="00CF46BD">
        <w:t xml:space="preserve">trange duality about Lloyd’s </w:t>
      </w:r>
      <w:r w:rsidR="00E122DE">
        <w:t>in</w:t>
      </w:r>
      <w:r>
        <w:t xml:space="preserve"> the twentieth century</w:t>
      </w:r>
      <w:r w:rsidR="00CF46BD">
        <w:t>. On the one hand</w:t>
      </w:r>
      <w:r w:rsidR="00301D1D">
        <w:t>,</w:t>
      </w:r>
      <w:r w:rsidR="00CF46BD">
        <w:t xml:space="preserve"> </w:t>
      </w:r>
      <w:r w:rsidR="008655CE">
        <w:t>it</w:t>
      </w:r>
      <w:r w:rsidR="00CF46BD">
        <w:t xml:space="preserve"> demonstrated </w:t>
      </w:r>
      <w:r w:rsidR="004E2E4C">
        <w:t>an impressive</w:t>
      </w:r>
      <w:r w:rsidR="00CF46BD" w:rsidRPr="00CF46BD">
        <w:t xml:space="preserve"> capacity </w:t>
      </w:r>
      <w:r w:rsidR="00CF46BD">
        <w:t>for product innovation and flexible underwriting</w:t>
      </w:r>
      <w:r w:rsidR="00E122DE">
        <w:t xml:space="preserve"> by </w:t>
      </w:r>
      <w:r w:rsidR="003D6434">
        <w:t>diversif</w:t>
      </w:r>
      <w:r w:rsidR="00E122DE">
        <w:t>ying</w:t>
      </w:r>
      <w:r w:rsidR="003D6434">
        <w:t xml:space="preserve"> into new lines such as burglary, engineering</w:t>
      </w:r>
      <w:r w:rsidR="004E2E4C">
        <w:t xml:space="preserve">, motor vehicle, aviation, </w:t>
      </w:r>
      <w:r w:rsidR="00764DC7">
        <w:t xml:space="preserve">trade credit </w:t>
      </w:r>
      <w:r w:rsidR="004E2E4C">
        <w:t xml:space="preserve">and </w:t>
      </w:r>
      <w:r w:rsidR="003D6434">
        <w:t xml:space="preserve">various kinds </w:t>
      </w:r>
      <w:r w:rsidR="00764DC7">
        <w:t xml:space="preserve">of </w:t>
      </w:r>
      <w:r w:rsidR="003D6434">
        <w:t>lia</w:t>
      </w:r>
      <w:r w:rsidR="004E2E4C">
        <w:t>bility and indemnity insurance</w:t>
      </w:r>
      <w:r w:rsidR="003D6434">
        <w:t>.</w:t>
      </w:r>
      <w:r>
        <w:rPr>
          <w:rStyle w:val="EndnoteReference"/>
        </w:rPr>
        <w:endnoteReference w:id="7"/>
      </w:r>
      <w:r w:rsidR="003D6434">
        <w:t xml:space="preserve"> </w:t>
      </w:r>
      <w:r w:rsidR="004E2E4C">
        <w:t>L</w:t>
      </w:r>
      <w:r w:rsidR="00D43FC1">
        <w:t xml:space="preserve">ater </w:t>
      </w:r>
      <w:r w:rsidR="00291B12">
        <w:t>it</w:t>
      </w:r>
      <w:r w:rsidR="004E2E4C">
        <w:t xml:space="preserve"> </w:t>
      </w:r>
      <w:r w:rsidR="003D6434">
        <w:t>ex</w:t>
      </w:r>
      <w:r w:rsidR="00291B12">
        <w:t>tended</w:t>
      </w:r>
      <w:r w:rsidR="003D6434">
        <w:t xml:space="preserve"> to </w:t>
      </w:r>
      <w:r w:rsidR="00C41258">
        <w:t>insur</w:t>
      </w:r>
      <w:r w:rsidR="00291B12">
        <w:t>e</w:t>
      </w:r>
      <w:r w:rsidR="00C41258">
        <w:t xml:space="preserve"> </w:t>
      </w:r>
      <w:r w:rsidR="003D6434">
        <w:t>oil tankers, oil rigs, satellites, natural disasters</w:t>
      </w:r>
      <w:r w:rsidR="00C41258">
        <w:t xml:space="preserve">, and </w:t>
      </w:r>
      <w:r w:rsidR="003D6434">
        <w:t xml:space="preserve">large, </w:t>
      </w:r>
      <w:r>
        <w:t xml:space="preserve">idiosyncratic </w:t>
      </w:r>
      <w:r w:rsidR="00C41258">
        <w:t>or</w:t>
      </w:r>
      <w:r w:rsidR="003D6434">
        <w:t xml:space="preserve"> hard</w:t>
      </w:r>
      <w:r w:rsidR="00C41258">
        <w:t>-</w:t>
      </w:r>
      <w:r w:rsidR="003D6434">
        <w:t>to</w:t>
      </w:r>
      <w:r w:rsidR="00C41258">
        <w:t>-</w:t>
      </w:r>
      <w:r w:rsidR="003D6434">
        <w:t>place risks</w:t>
      </w:r>
      <w:r>
        <w:t>.</w:t>
      </w:r>
      <w:r>
        <w:rPr>
          <w:rStyle w:val="EndnoteReference"/>
        </w:rPr>
        <w:endnoteReference w:id="8"/>
      </w:r>
      <w:r w:rsidR="00C41258">
        <w:t xml:space="preserve"> A</w:t>
      </w:r>
      <w:r w:rsidR="00963D88">
        <w:t xml:space="preserve"> major</w:t>
      </w:r>
      <w:r w:rsidR="00C41258">
        <w:t xml:space="preserve"> growth area was </w:t>
      </w:r>
      <w:r w:rsidR="00BF2E58">
        <w:t>US property and casualty</w:t>
      </w:r>
      <w:r w:rsidR="00C41258">
        <w:t xml:space="preserve"> </w:t>
      </w:r>
      <w:r w:rsidR="00BF2E58">
        <w:t>reinsurance</w:t>
      </w:r>
      <w:r w:rsidR="00C41258">
        <w:t xml:space="preserve">, which </w:t>
      </w:r>
      <w:r w:rsidR="00D43FC1">
        <w:t xml:space="preserve">by the 1960s </w:t>
      </w:r>
      <w:r w:rsidR="00C41258">
        <w:t>accounted for about half of Lloyd</w:t>
      </w:r>
      <w:r w:rsidR="00E23334">
        <w:t>’</w:t>
      </w:r>
      <w:r w:rsidR="00C41258">
        <w:t>s busi</w:t>
      </w:r>
      <w:r>
        <w:t>ness.</w:t>
      </w:r>
      <w:r w:rsidR="004E2E4C" w:rsidRPr="004E2E4C">
        <w:rPr>
          <w:rStyle w:val="EndnoteReference"/>
        </w:rPr>
        <w:t xml:space="preserve"> </w:t>
      </w:r>
      <w:r w:rsidR="004E2E4C">
        <w:rPr>
          <w:rStyle w:val="EndnoteReference"/>
        </w:rPr>
        <w:endnoteReference w:id="9"/>
      </w:r>
      <w:r w:rsidR="004E2E4C">
        <w:t xml:space="preserve"> </w:t>
      </w:r>
      <w:r>
        <w:t xml:space="preserve"> </w:t>
      </w:r>
      <w:r w:rsidR="00BF0A05">
        <w:t>G</w:t>
      </w:r>
      <w:r w:rsidR="00FE743D">
        <w:t>rowth was accompanied by a</w:t>
      </w:r>
      <w:r w:rsidR="00D43FC1">
        <w:t xml:space="preserve"> rise </w:t>
      </w:r>
      <w:r w:rsidR="00FE743D">
        <w:t xml:space="preserve">in </w:t>
      </w:r>
      <w:r w:rsidR="00BF0A05">
        <w:t>membership</w:t>
      </w:r>
      <w:r w:rsidR="00D43FC1">
        <w:t>,</w:t>
      </w:r>
      <w:r w:rsidR="00BF0A05">
        <w:t xml:space="preserve"> from 3,157 to 6,052 b</w:t>
      </w:r>
      <w:r w:rsidR="00FE743D">
        <w:t xml:space="preserve">etween 1952 and 1968. </w:t>
      </w:r>
      <w:r w:rsidR="00A928BA">
        <w:t xml:space="preserve">An additional building </w:t>
      </w:r>
      <w:r w:rsidR="008655CE">
        <w:t>had to be</w:t>
      </w:r>
      <w:r w:rsidR="00A928BA">
        <w:t xml:space="preserve"> opened </w:t>
      </w:r>
      <w:r w:rsidR="008655CE">
        <w:t xml:space="preserve">in </w:t>
      </w:r>
      <w:r w:rsidR="00FE743D">
        <w:t>1957</w:t>
      </w:r>
      <w:r w:rsidR="008655CE">
        <w:t xml:space="preserve"> to meet the demand for </w:t>
      </w:r>
      <w:r w:rsidR="00D0025A">
        <w:t>space</w:t>
      </w:r>
      <w:r w:rsidR="008655CE">
        <w:t xml:space="preserve">. </w:t>
      </w:r>
      <w:r w:rsidR="00A928BA">
        <w:t xml:space="preserve"> </w:t>
      </w:r>
      <w:r w:rsidR="00FE743D">
        <w:t xml:space="preserve">  </w:t>
      </w:r>
    </w:p>
    <w:p w:rsidR="003D6434" w:rsidRDefault="003D6434" w:rsidP="00650DCA"/>
    <w:p w:rsidR="00A459EE" w:rsidRDefault="009A0FB9" w:rsidP="00650DCA">
      <w:r>
        <w:t xml:space="preserve">On the other hand, </w:t>
      </w:r>
      <w:r w:rsidR="00D3416E">
        <w:t xml:space="preserve">Lloyd’s </w:t>
      </w:r>
      <w:r w:rsidR="00A459EE">
        <w:t xml:space="preserve">was </w:t>
      </w:r>
      <w:r w:rsidR="00301D1D">
        <w:t xml:space="preserve">also </w:t>
      </w:r>
      <w:r w:rsidR="00A459EE">
        <w:t xml:space="preserve">widely regarded as </w:t>
      </w:r>
      <w:r w:rsidR="0022651E">
        <w:t>a</w:t>
      </w:r>
      <w:r>
        <w:t>n</w:t>
      </w:r>
      <w:r w:rsidR="00A459EE">
        <w:t xml:space="preserve"> elitist</w:t>
      </w:r>
      <w:r w:rsidR="00AB3DA2">
        <w:t xml:space="preserve"> old boys’</w:t>
      </w:r>
      <w:r w:rsidR="00A459EE">
        <w:t xml:space="preserve"> club with arcane rules and opaque practices.</w:t>
      </w:r>
      <w:r w:rsidR="0004123F">
        <w:rPr>
          <w:rStyle w:val="EndnoteReference"/>
        </w:rPr>
        <w:endnoteReference w:id="10"/>
      </w:r>
      <w:r w:rsidR="009438EC">
        <w:t xml:space="preserve"> </w:t>
      </w:r>
      <w:r w:rsidR="002F14B7">
        <w:t>I</w:t>
      </w:r>
      <w:r w:rsidR="008655CE">
        <w:t>nsurance</w:t>
      </w:r>
      <w:r w:rsidR="00A459EE">
        <w:t xml:space="preserve"> </w:t>
      </w:r>
      <w:r w:rsidR="008655CE">
        <w:t>involved</w:t>
      </w:r>
      <w:r w:rsidR="00A459EE">
        <w:t xml:space="preserve"> a process of negotiation between brokers and a lead underwriter who specialised in that category of risk. The latter might </w:t>
      </w:r>
      <w:r w:rsidR="009438EC">
        <w:t>examine</w:t>
      </w:r>
      <w:r w:rsidR="00A459EE">
        <w:t xml:space="preserve"> what </w:t>
      </w:r>
      <w:r w:rsidR="002F14B7">
        <w:t xml:space="preserve">had previously been </w:t>
      </w:r>
      <w:r w:rsidR="00A459EE">
        <w:t xml:space="preserve">charged on risks of the </w:t>
      </w:r>
      <w:r w:rsidR="008655CE">
        <w:t xml:space="preserve">same </w:t>
      </w:r>
      <w:r w:rsidR="00A459EE">
        <w:t xml:space="preserve">type, but the </w:t>
      </w:r>
      <w:r w:rsidR="003917D1">
        <w:t xml:space="preserve">personal </w:t>
      </w:r>
      <w:r w:rsidR="00A459EE">
        <w:t>history of d</w:t>
      </w:r>
      <w:r w:rsidR="00D0025A">
        <w:t>eals between the parties, trust</w:t>
      </w:r>
      <w:r w:rsidR="00A459EE">
        <w:t xml:space="preserve"> and </w:t>
      </w:r>
      <w:r w:rsidR="00C4575D">
        <w:t>reputation</w:t>
      </w:r>
      <w:r w:rsidR="00A459EE">
        <w:t xml:space="preserve"> were </w:t>
      </w:r>
      <w:r w:rsidR="009438EC">
        <w:t xml:space="preserve">as important </w:t>
      </w:r>
      <w:r w:rsidR="00A459EE">
        <w:t>in determining whether an insuran</w:t>
      </w:r>
      <w:r w:rsidR="00142C5E">
        <w:t xml:space="preserve">ce would </w:t>
      </w:r>
      <w:r w:rsidR="008962D2">
        <w:t>be made</w:t>
      </w:r>
      <w:r w:rsidR="00142C5E">
        <w:t xml:space="preserve"> or not. Once </w:t>
      </w:r>
      <w:r w:rsidR="00A459EE">
        <w:t>a price was agreed, other</w:t>
      </w:r>
      <w:r w:rsidR="002F14B7">
        <w:t>s</w:t>
      </w:r>
      <w:r w:rsidR="00A459EE">
        <w:t xml:space="preserve"> would </w:t>
      </w:r>
      <w:r w:rsidR="008655CE">
        <w:t>usually</w:t>
      </w:r>
      <w:r w:rsidR="00A459EE">
        <w:t xml:space="preserve"> follow the lead underwriter </w:t>
      </w:r>
      <w:r w:rsidR="009438EC">
        <w:t>by</w:t>
      </w:r>
      <w:r w:rsidR="00A459EE">
        <w:t xml:space="preserve"> insur</w:t>
      </w:r>
      <w:r w:rsidR="009438EC">
        <w:t>ing</w:t>
      </w:r>
      <w:r w:rsidR="00A459EE">
        <w:t xml:space="preserve"> part of the risk</w:t>
      </w:r>
      <w:r w:rsidR="00142C5E">
        <w:t xml:space="preserve"> at that price</w:t>
      </w:r>
      <w:r w:rsidR="00A459EE">
        <w:t>.</w:t>
      </w:r>
      <w:r w:rsidR="009438EC">
        <w:rPr>
          <w:rStyle w:val="EndnoteReference"/>
        </w:rPr>
        <w:endnoteReference w:id="11"/>
      </w:r>
      <w:r w:rsidR="00A459EE">
        <w:t xml:space="preserve"> </w:t>
      </w:r>
    </w:p>
    <w:p w:rsidR="001A2E45" w:rsidRDefault="001A2E45" w:rsidP="00650DCA"/>
    <w:p w:rsidR="0027004F" w:rsidRDefault="00FE743D" w:rsidP="0027004F">
      <w:r>
        <w:t>By the end of the 1960s t</w:t>
      </w:r>
      <w:r w:rsidR="00FB3CED">
        <w:t>he growth in large risks such as supertankers</w:t>
      </w:r>
      <w:r w:rsidR="008962D2">
        <w:t xml:space="preserve"> </w:t>
      </w:r>
      <w:r w:rsidR="00FB3CED">
        <w:t xml:space="preserve">and jet aircraft, and the losses associated with Hurricane Betsy, </w:t>
      </w:r>
      <w:r w:rsidR="009A0FB9">
        <w:t xml:space="preserve">which hit the US Gulf coast in 1965, raised Lloyd’s awareness </w:t>
      </w:r>
      <w:r w:rsidR="00FB3CED">
        <w:t xml:space="preserve">of </w:t>
      </w:r>
      <w:r w:rsidR="00C04042">
        <w:t xml:space="preserve">the need </w:t>
      </w:r>
      <w:r w:rsidR="008962D2">
        <w:t xml:space="preserve">to increase </w:t>
      </w:r>
      <w:r w:rsidR="00C04042">
        <w:t>underwriting capacity</w:t>
      </w:r>
      <w:r w:rsidR="008962D2">
        <w:t>.</w:t>
      </w:r>
      <w:r w:rsidR="008962D2">
        <w:rPr>
          <w:rStyle w:val="EndnoteReference"/>
        </w:rPr>
        <w:endnoteReference w:id="12"/>
      </w:r>
      <w:r w:rsidR="008962D2">
        <w:t xml:space="preserve"> A</w:t>
      </w:r>
      <w:r>
        <w:t xml:space="preserve"> </w:t>
      </w:r>
      <w:r w:rsidR="009A0FB9">
        <w:t xml:space="preserve">report was commissioned from </w:t>
      </w:r>
      <w:r>
        <w:t>the Earl of Cromer</w:t>
      </w:r>
      <w:r w:rsidR="009A0FB9">
        <w:t xml:space="preserve">, who </w:t>
      </w:r>
      <w:r w:rsidR="007F584B">
        <w:t xml:space="preserve">recommended </w:t>
      </w:r>
      <w:r w:rsidR="0016338B">
        <w:t xml:space="preserve">reducing the means-tested qualification for names and </w:t>
      </w:r>
      <w:r w:rsidR="00963D88">
        <w:t xml:space="preserve">introducing </w:t>
      </w:r>
      <w:r w:rsidR="0016338B">
        <w:t>a new simplified deposit scheme.</w:t>
      </w:r>
      <w:r w:rsidR="0016338B">
        <w:rPr>
          <w:rStyle w:val="EndnoteReference"/>
        </w:rPr>
        <w:endnoteReference w:id="13"/>
      </w:r>
      <w:r w:rsidR="00C508D8">
        <w:t xml:space="preserve"> </w:t>
      </w:r>
      <w:r w:rsidR="009A0FB9">
        <w:t>M</w:t>
      </w:r>
      <w:r w:rsidR="00C508D8">
        <w:t xml:space="preserve">embership was opened to </w:t>
      </w:r>
      <w:r w:rsidR="00963D88">
        <w:t xml:space="preserve">all </w:t>
      </w:r>
      <w:r w:rsidR="00C508D8">
        <w:t>national</w:t>
      </w:r>
      <w:r w:rsidR="00963D88">
        <w:t xml:space="preserve">ities and </w:t>
      </w:r>
      <w:r w:rsidR="00C508D8">
        <w:t xml:space="preserve">to women. </w:t>
      </w:r>
      <w:r w:rsidR="00672E68">
        <w:t>The result was a surge in appl</w:t>
      </w:r>
      <w:r w:rsidR="0075283E">
        <w:t>ication</w:t>
      </w:r>
      <w:r w:rsidR="00672E68">
        <w:t>s</w:t>
      </w:r>
      <w:r w:rsidR="00C508D8">
        <w:t xml:space="preserve"> stimulated </w:t>
      </w:r>
      <w:r w:rsidR="002C77C2">
        <w:t xml:space="preserve">by successive </w:t>
      </w:r>
      <w:r w:rsidR="00672E68">
        <w:t>years of high returns</w:t>
      </w:r>
      <w:r w:rsidR="00C4575D">
        <w:t xml:space="preserve"> </w:t>
      </w:r>
      <w:r w:rsidR="00672E68">
        <w:t xml:space="preserve">and </w:t>
      </w:r>
      <w:r w:rsidR="002C77C2">
        <w:t xml:space="preserve">by </w:t>
      </w:r>
      <w:r w:rsidR="0004586D">
        <w:t xml:space="preserve">the </w:t>
      </w:r>
      <w:r w:rsidR="00672E68">
        <w:t xml:space="preserve">tax advantages associated with </w:t>
      </w:r>
      <w:r w:rsidR="00AC7636">
        <w:t>membership.</w:t>
      </w:r>
      <w:r w:rsidR="0075283E">
        <w:rPr>
          <w:rStyle w:val="EndnoteReference"/>
        </w:rPr>
        <w:endnoteReference w:id="14"/>
      </w:r>
      <w:r w:rsidR="00D17E79">
        <w:t xml:space="preserve"> </w:t>
      </w:r>
      <w:r w:rsidR="00C4575D">
        <w:t>By 1980 t</w:t>
      </w:r>
      <w:r w:rsidR="00F30309">
        <w:t xml:space="preserve">he number </w:t>
      </w:r>
      <w:r w:rsidR="00D43FC1">
        <w:t xml:space="preserve">of names </w:t>
      </w:r>
      <w:r w:rsidR="00C4575D">
        <w:t>reached 18,500</w:t>
      </w:r>
      <w:r w:rsidR="00F30309">
        <w:t>.</w:t>
      </w:r>
      <w:r w:rsidR="00D17E79">
        <w:rPr>
          <w:rStyle w:val="EndnoteReference"/>
        </w:rPr>
        <w:endnoteReference w:id="15"/>
      </w:r>
      <w:r w:rsidR="00F30309">
        <w:t xml:space="preserve"> </w:t>
      </w:r>
    </w:p>
    <w:p w:rsidR="00F30309" w:rsidRDefault="00F30309" w:rsidP="00F065BD"/>
    <w:p w:rsidR="00833D0A" w:rsidRDefault="008962D2" w:rsidP="0072410A">
      <w:r>
        <w:t>As</w:t>
      </w:r>
      <w:r w:rsidR="00833D0A">
        <w:t xml:space="preserve"> new members </w:t>
      </w:r>
      <w:r>
        <w:t xml:space="preserve">flooded </w:t>
      </w:r>
      <w:r w:rsidR="00833D0A">
        <w:t xml:space="preserve">into Lloyd’s, the market </w:t>
      </w:r>
      <w:r>
        <w:t xml:space="preserve">began to </w:t>
      </w:r>
      <w:r w:rsidR="0072410A">
        <w:t>face</w:t>
      </w:r>
      <w:r w:rsidR="00833D0A">
        <w:t xml:space="preserve"> a </w:t>
      </w:r>
      <w:r w:rsidR="00BF0A05">
        <w:t>series</w:t>
      </w:r>
      <w:r w:rsidR="00833D0A">
        <w:t xml:space="preserve"> of catastrophic </w:t>
      </w:r>
      <w:r w:rsidR="00AE6D3F">
        <w:t>tanker, oil rig and aviation disasters</w:t>
      </w:r>
      <w:r w:rsidR="00833D0A">
        <w:t>, scandals, and claims of negligen</w:t>
      </w:r>
      <w:r w:rsidR="0057359D">
        <w:t xml:space="preserve">t underwriting </w:t>
      </w:r>
      <w:r w:rsidR="00833D0A">
        <w:t>and poor monitoring of syndicates.</w:t>
      </w:r>
      <w:r w:rsidR="00AE6D3F" w:rsidRPr="00AE6D3F">
        <w:rPr>
          <w:rStyle w:val="EndnoteReference"/>
        </w:rPr>
        <w:t xml:space="preserve"> </w:t>
      </w:r>
      <w:r w:rsidR="00AE6D3F" w:rsidRPr="007859BA">
        <w:rPr>
          <w:rStyle w:val="EndnoteReference"/>
        </w:rPr>
        <w:endnoteReference w:id="16"/>
      </w:r>
      <w:r w:rsidR="00833D0A">
        <w:t xml:space="preserve"> </w:t>
      </w:r>
      <w:r w:rsidR="00342848">
        <w:t>The most prominent scand</w:t>
      </w:r>
      <w:r w:rsidR="00274007">
        <w:t xml:space="preserve">al was that of the syndicate </w:t>
      </w:r>
      <w:r w:rsidR="00342848">
        <w:t xml:space="preserve">Sasse, Turnbull and Co., which was suspended in 1977 </w:t>
      </w:r>
      <w:r w:rsidR="0072410A">
        <w:t xml:space="preserve">when over 40 of its members refused to pay calls and formed </w:t>
      </w:r>
      <w:r w:rsidR="00486FB2">
        <w:t>an</w:t>
      </w:r>
      <w:r w:rsidR="0072410A">
        <w:t xml:space="preserve"> action group. Two years earlier, Tim Sasse, the chief underwriter, had authorized a firm in New York to </w:t>
      </w:r>
      <w:r w:rsidR="006D4227">
        <w:t>insure</w:t>
      </w:r>
      <w:r w:rsidR="0072410A">
        <w:t xml:space="preserve"> on his syndicate</w:t>
      </w:r>
      <w:r w:rsidR="00486FB2">
        <w:t>’</w:t>
      </w:r>
      <w:r w:rsidR="0072410A">
        <w:t xml:space="preserve">s behalf, </w:t>
      </w:r>
      <w:r w:rsidR="006D4227">
        <w:t xml:space="preserve">but </w:t>
      </w:r>
      <w:r w:rsidR="00EA54AE">
        <w:t>fail</w:t>
      </w:r>
      <w:r w:rsidR="006D4227">
        <w:t>ed</w:t>
      </w:r>
      <w:r w:rsidR="00EA54AE">
        <w:t xml:space="preserve"> to </w:t>
      </w:r>
      <w:r w:rsidR="0072410A">
        <w:t xml:space="preserve">check the reputation of the firm or the business it was doing. The </w:t>
      </w:r>
      <w:r w:rsidR="00486FB2">
        <w:t>New York</w:t>
      </w:r>
      <w:r w:rsidR="0016338B">
        <w:t>ers</w:t>
      </w:r>
      <w:r w:rsidR="0072410A">
        <w:t xml:space="preserve"> insure</w:t>
      </w:r>
      <w:r w:rsidR="00274007">
        <w:t>d</w:t>
      </w:r>
      <w:r w:rsidR="0072410A">
        <w:t xml:space="preserve"> derelict properties in South Bronx</w:t>
      </w:r>
      <w:r w:rsidR="006D4227">
        <w:t xml:space="preserve"> that </w:t>
      </w:r>
      <w:r w:rsidR="00486FB2">
        <w:t>promptly burned down</w:t>
      </w:r>
      <w:r w:rsidR="0016338B">
        <w:t xml:space="preserve"> at a cost of </w:t>
      </w:r>
      <w:r w:rsidR="00F10D0F">
        <w:t>$25</w:t>
      </w:r>
      <w:r w:rsidR="00EA54AE">
        <w:t>m</w:t>
      </w:r>
      <w:r w:rsidR="0072410A">
        <w:t xml:space="preserve">. In 1980 </w:t>
      </w:r>
      <w:r w:rsidR="00EA54AE">
        <w:t xml:space="preserve">the </w:t>
      </w:r>
      <w:r w:rsidR="0072410A">
        <w:t>names</w:t>
      </w:r>
      <w:r w:rsidR="00411730">
        <w:t xml:space="preserve"> sued Lloyd</w:t>
      </w:r>
      <w:r w:rsidR="00486FB2">
        <w:t>’</w:t>
      </w:r>
      <w:r w:rsidR="00411730">
        <w:t xml:space="preserve">s, alleging </w:t>
      </w:r>
      <w:r w:rsidR="000C1E6B">
        <w:t xml:space="preserve">a failure of supervision. </w:t>
      </w:r>
      <w:r w:rsidR="006B6DF3">
        <w:t>An out</w:t>
      </w:r>
      <w:r w:rsidR="0072410A">
        <w:t>-</w:t>
      </w:r>
      <w:r w:rsidR="006B6DF3">
        <w:t>of</w:t>
      </w:r>
      <w:r w:rsidR="0072410A">
        <w:t>-</w:t>
      </w:r>
      <w:r w:rsidR="006B6DF3">
        <w:t xml:space="preserve">court agreement was reached </w:t>
      </w:r>
      <w:r w:rsidR="0072410A">
        <w:t>i</w:t>
      </w:r>
      <w:r w:rsidR="006B6DF3">
        <w:t>n which Lloyd</w:t>
      </w:r>
      <w:r w:rsidR="0072410A">
        <w:t>’</w:t>
      </w:r>
      <w:r w:rsidR="006B6DF3">
        <w:t xml:space="preserve">s shouldered </w:t>
      </w:r>
      <w:r w:rsidR="00F10D0F">
        <w:t>two-thirds</w:t>
      </w:r>
      <w:r w:rsidR="006B6DF3">
        <w:t xml:space="preserve"> of the loss</w:t>
      </w:r>
      <w:r w:rsidR="00F10D0F">
        <w:t>es</w:t>
      </w:r>
      <w:r w:rsidR="006B6DF3">
        <w:t>.</w:t>
      </w:r>
      <w:r w:rsidR="005A1E19">
        <w:rPr>
          <w:rStyle w:val="EndnoteReference"/>
        </w:rPr>
        <w:endnoteReference w:id="17"/>
      </w:r>
      <w:r w:rsidR="00411730" w:rsidRPr="00411730">
        <w:t xml:space="preserve"> </w:t>
      </w:r>
    </w:p>
    <w:p w:rsidR="006B1054" w:rsidRDefault="006B1054" w:rsidP="0072410A"/>
    <w:p w:rsidR="0036207C" w:rsidRDefault="00DA7879" w:rsidP="0036207C">
      <w:r>
        <w:lastRenderedPageBreak/>
        <w:t>Such</w:t>
      </w:r>
      <w:r w:rsidR="009B0CDD">
        <w:t xml:space="preserve"> scandals </w:t>
      </w:r>
      <w:r w:rsidR="006B1054">
        <w:t>drew</w:t>
      </w:r>
      <w:r w:rsidR="0010144A">
        <w:t xml:space="preserve"> </w:t>
      </w:r>
      <w:r w:rsidR="006B1054">
        <w:t xml:space="preserve">attention to </w:t>
      </w:r>
      <w:r w:rsidR="0010144A">
        <w:t xml:space="preserve">several </w:t>
      </w:r>
      <w:r w:rsidR="006B1054">
        <w:t xml:space="preserve">issues </w:t>
      </w:r>
      <w:r w:rsidR="0010144A">
        <w:t xml:space="preserve">that dogged </w:t>
      </w:r>
      <w:r w:rsidR="007C0B07">
        <w:t>Lloyd’s</w:t>
      </w:r>
      <w:r w:rsidR="0010144A">
        <w:t xml:space="preserve"> </w:t>
      </w:r>
      <w:r w:rsidR="00EA54AE">
        <w:t>through</w:t>
      </w:r>
      <w:r w:rsidR="0010144A">
        <w:t xml:space="preserve"> the 1980s</w:t>
      </w:r>
      <w:r w:rsidR="006B1054">
        <w:t xml:space="preserve">: </w:t>
      </w:r>
      <w:r w:rsidR="0010144A">
        <w:t xml:space="preserve">the efficacy of its governance system, the problematic </w:t>
      </w:r>
      <w:r w:rsidR="006B6DF3" w:rsidRPr="00C72FF9">
        <w:t>rel</w:t>
      </w:r>
      <w:r w:rsidR="001D06AE">
        <w:t>ationship</w:t>
      </w:r>
      <w:r w:rsidR="006B6DF3" w:rsidRPr="00C72FF9">
        <w:t xml:space="preserve"> between names and their</w:t>
      </w:r>
      <w:r w:rsidR="006B6DF3">
        <w:t xml:space="preserve"> agents</w:t>
      </w:r>
      <w:r w:rsidR="0010144A">
        <w:t xml:space="preserve">, and the conflict of interest implicit in </w:t>
      </w:r>
      <w:r w:rsidR="006B6DF3">
        <w:t>broking firms placing business with syndicates that they owned</w:t>
      </w:r>
      <w:r w:rsidR="0010144A">
        <w:t xml:space="preserve">. </w:t>
      </w:r>
      <w:r w:rsidR="00DF7451" w:rsidRPr="00DF7451">
        <w:t xml:space="preserve">The continued </w:t>
      </w:r>
      <w:r w:rsidR="00DF7451">
        <w:t>entry of large number</w:t>
      </w:r>
      <w:r w:rsidR="00DF7451" w:rsidRPr="00DF7451">
        <w:t xml:space="preserve">s of new </w:t>
      </w:r>
      <w:r w:rsidR="009C5CAA">
        <w:t>names</w:t>
      </w:r>
      <w:r w:rsidR="00DF7451" w:rsidRPr="00DF7451">
        <w:t xml:space="preserve">, many of them ignorant of the insurance business and not </w:t>
      </w:r>
      <w:r>
        <w:t>very rich</w:t>
      </w:r>
      <w:r w:rsidR="00DF7451" w:rsidRPr="00DF7451">
        <w:t xml:space="preserve">, </w:t>
      </w:r>
      <w:r w:rsidR="00652F6C">
        <w:t xml:space="preserve">made these issues more pressing. </w:t>
      </w:r>
      <w:r w:rsidR="007C0B07">
        <w:t>In 1980 an</w:t>
      </w:r>
      <w:r w:rsidR="00652F6C">
        <w:t xml:space="preserve"> inquiry chaired by Sir Henry Fisher recommended (i) the establishment of a new Lloyd’s council w</w:t>
      </w:r>
      <w:r w:rsidR="001B4597">
        <w:t>ith greater disciplinary powers</w:t>
      </w:r>
      <w:r w:rsidR="00652F6C">
        <w:t xml:space="preserve">; (ii) </w:t>
      </w:r>
      <w:r w:rsidR="00652F6C" w:rsidRPr="00652F6C">
        <w:t>divestment</w:t>
      </w:r>
      <w:r w:rsidR="00652F6C">
        <w:t xml:space="preserve">, forcing Lloyd’s brokers to sell off their underwriting interests within five years; (iii) </w:t>
      </w:r>
      <w:r w:rsidR="00652F6C" w:rsidRPr="00652F6C">
        <w:t>divorce</w:t>
      </w:r>
      <w:r w:rsidR="00652F6C">
        <w:t>, preventing agents who recruited names for syndicates from managing those syndicates.</w:t>
      </w:r>
      <w:r w:rsidR="004C51EC">
        <w:rPr>
          <w:rStyle w:val="EndnoteReference"/>
        </w:rPr>
        <w:endnoteReference w:id="18"/>
      </w:r>
      <w:r w:rsidR="00652F6C">
        <w:t xml:space="preserve"> </w:t>
      </w:r>
    </w:p>
    <w:p w:rsidR="0036207C" w:rsidRDefault="0036207C" w:rsidP="0036207C"/>
    <w:p w:rsidR="000D18AE" w:rsidRDefault="00735552" w:rsidP="003B10A0">
      <w:r>
        <w:t>T</w:t>
      </w:r>
      <w:r w:rsidR="00056A3D">
        <w:t xml:space="preserve">he first of </w:t>
      </w:r>
      <w:r w:rsidR="000C4B64">
        <w:t xml:space="preserve">Fisher’s </w:t>
      </w:r>
      <w:r w:rsidR="0036207C">
        <w:t xml:space="preserve">main </w:t>
      </w:r>
      <w:r w:rsidR="000C4B64">
        <w:t>recommendations w</w:t>
      </w:r>
      <w:r w:rsidR="00056A3D">
        <w:t>as</w:t>
      </w:r>
      <w:r w:rsidR="000C4B64">
        <w:t xml:space="preserve"> </w:t>
      </w:r>
      <w:r w:rsidR="007C0B07">
        <w:t>inserted</w:t>
      </w:r>
      <w:r w:rsidR="000C4B64">
        <w:t xml:space="preserve"> in </w:t>
      </w:r>
      <w:r w:rsidR="00241D58">
        <w:t xml:space="preserve">a private bill </w:t>
      </w:r>
      <w:r w:rsidR="00DB23D4">
        <w:t xml:space="preserve">introduced </w:t>
      </w:r>
      <w:r w:rsidR="00241D58">
        <w:t>i</w:t>
      </w:r>
      <w:r w:rsidR="00DB23D4">
        <w:t>n</w:t>
      </w:r>
      <w:r w:rsidR="00241D58">
        <w:t xml:space="preserve"> the Commons early in 1981</w:t>
      </w:r>
      <w:r w:rsidR="00056A3D">
        <w:t xml:space="preserve">. </w:t>
      </w:r>
      <w:r w:rsidR="00241D58">
        <w:t xml:space="preserve">The bill took up </w:t>
      </w:r>
      <w:r w:rsidR="002E54AE">
        <w:t xml:space="preserve">considerable </w:t>
      </w:r>
      <w:r w:rsidR="00241D58">
        <w:t xml:space="preserve">parliamentary time. </w:t>
      </w:r>
      <w:r w:rsidR="00990DD4">
        <w:t xml:space="preserve">Key concerns were </w:t>
      </w:r>
      <w:r w:rsidR="00332810">
        <w:t>whether</w:t>
      </w:r>
      <w:r w:rsidR="00990DD4">
        <w:t xml:space="preserve"> legislation </w:t>
      </w:r>
      <w:r w:rsidR="00332810">
        <w:t xml:space="preserve">should </w:t>
      </w:r>
      <w:r w:rsidR="00990DD4">
        <w:t xml:space="preserve">protect </w:t>
      </w:r>
      <w:r w:rsidR="00DB23D4">
        <w:t xml:space="preserve">Lloyd’s </w:t>
      </w:r>
      <w:r w:rsidR="00990DD4">
        <w:t xml:space="preserve">members, how should the power of the large brokers be mitigated, what responsibilities should be imposed on </w:t>
      </w:r>
      <w:r w:rsidR="00DB23D4">
        <w:t xml:space="preserve">Lloyd’s </w:t>
      </w:r>
      <w:r w:rsidR="00990DD4">
        <w:t>to govern the market fairly for all names, and who should monitor the rule makers?</w:t>
      </w:r>
      <w:r w:rsidR="00DB23D4">
        <w:t xml:space="preserve"> </w:t>
      </w:r>
      <w:r w:rsidR="00A361F6">
        <w:t xml:space="preserve">Those backing the bill </w:t>
      </w:r>
      <w:r w:rsidR="000D18AE">
        <w:t>argued th</w:t>
      </w:r>
      <w:r w:rsidR="003B10A0">
        <w:t>at</w:t>
      </w:r>
      <w:r w:rsidR="000D18AE">
        <w:t xml:space="preserve"> </w:t>
      </w:r>
      <w:r w:rsidR="002E54AE">
        <w:t xml:space="preserve">Lloyd’s </w:t>
      </w:r>
      <w:r w:rsidR="00460A4D">
        <w:t>Victorian</w:t>
      </w:r>
      <w:r w:rsidR="00A361F6">
        <w:t xml:space="preserve"> </w:t>
      </w:r>
      <w:r w:rsidR="003B10A0">
        <w:t xml:space="preserve">constitution was </w:t>
      </w:r>
      <w:r w:rsidR="000D18AE">
        <w:t xml:space="preserve">not suited </w:t>
      </w:r>
      <w:r w:rsidR="00A361F6">
        <w:t>to a</w:t>
      </w:r>
      <w:r w:rsidR="001B4597">
        <w:t>n</w:t>
      </w:r>
      <w:r w:rsidR="000D18AE">
        <w:t xml:space="preserve"> inst</w:t>
      </w:r>
      <w:r w:rsidR="003B10A0">
        <w:t xml:space="preserve">itution </w:t>
      </w:r>
      <w:r w:rsidR="000D18AE">
        <w:t xml:space="preserve">of nearly 20,000 names, </w:t>
      </w:r>
      <w:r w:rsidR="00056A3D">
        <w:t>most</w:t>
      </w:r>
      <w:r w:rsidR="000D18AE">
        <w:t xml:space="preserve"> of whom had no experience of the market. </w:t>
      </w:r>
      <w:r w:rsidR="00A361F6">
        <w:t>The Sasse affair had demonstrated that t</w:t>
      </w:r>
      <w:r w:rsidR="003B10A0">
        <w:t>he m</w:t>
      </w:r>
      <w:r w:rsidR="002E54AE">
        <w:t xml:space="preserve">onitoring </w:t>
      </w:r>
      <w:r w:rsidR="003B10A0">
        <w:t>powers of the e</w:t>
      </w:r>
      <w:r w:rsidR="001B4597">
        <w:t xml:space="preserve">xisting </w:t>
      </w:r>
      <w:r w:rsidR="000D18AE">
        <w:t xml:space="preserve">committee </w:t>
      </w:r>
      <w:r w:rsidR="003B10A0">
        <w:t xml:space="preserve">were </w:t>
      </w:r>
      <w:r w:rsidR="000D18AE">
        <w:t>ineffective</w:t>
      </w:r>
      <w:r w:rsidR="00A361F6">
        <w:t>.</w:t>
      </w:r>
      <w:r w:rsidR="0017077C">
        <w:rPr>
          <w:rStyle w:val="EndnoteReference"/>
        </w:rPr>
        <w:endnoteReference w:id="19"/>
      </w:r>
      <w:r w:rsidR="003B10A0">
        <w:t xml:space="preserve"> </w:t>
      </w:r>
    </w:p>
    <w:p w:rsidR="000D18AE" w:rsidRDefault="000D18AE" w:rsidP="000D18AE"/>
    <w:p w:rsidR="005922B7" w:rsidRDefault="005922B7" w:rsidP="005E0766">
      <w:r>
        <w:t xml:space="preserve">The front benches of the Conservative government and the Labour opposition agreed on the need to </w:t>
      </w:r>
      <w:r w:rsidR="004A2CD3">
        <w:t>preserve</w:t>
      </w:r>
      <w:r>
        <w:t xml:space="preserve"> the principle of self-regulation.</w:t>
      </w:r>
      <w:r w:rsidR="00460A4D">
        <w:rPr>
          <w:rStyle w:val="EndnoteReference"/>
        </w:rPr>
        <w:endnoteReference w:id="20"/>
      </w:r>
      <w:r w:rsidR="00056A3D">
        <w:t xml:space="preserve"> </w:t>
      </w:r>
      <w:r>
        <w:t xml:space="preserve">Only some on the Labour left had reservations about </w:t>
      </w:r>
      <w:r w:rsidR="00460A4D">
        <w:t xml:space="preserve">granting </w:t>
      </w:r>
      <w:r>
        <w:t xml:space="preserve">powers to an outside body without any means of </w:t>
      </w:r>
      <w:r w:rsidR="00B64D03">
        <w:t>supervising</w:t>
      </w:r>
      <w:r>
        <w:t xml:space="preserve"> it in the public interest.</w:t>
      </w:r>
      <w:r w:rsidR="003B10A0">
        <w:rPr>
          <w:rStyle w:val="EndnoteReference"/>
        </w:rPr>
        <w:endnoteReference w:id="21"/>
      </w:r>
      <w:r>
        <w:t xml:space="preserve"> </w:t>
      </w:r>
      <w:r w:rsidR="006E0F16">
        <w:t xml:space="preserve">The </w:t>
      </w:r>
      <w:r w:rsidR="00B41777">
        <w:t>C</w:t>
      </w:r>
      <w:r w:rsidR="006E0F16">
        <w:t>onservative back benches</w:t>
      </w:r>
      <w:r w:rsidR="00782F36">
        <w:t>, where over 50 names sat,</w:t>
      </w:r>
      <w:r w:rsidR="006E0F16">
        <w:t xml:space="preserve"> were united behind self-regulation, but disunited on what that </w:t>
      </w:r>
      <w:r w:rsidR="004A2CD3">
        <w:t xml:space="preserve">should </w:t>
      </w:r>
      <w:r w:rsidR="006E0F16">
        <w:t xml:space="preserve">mean in practice. </w:t>
      </w:r>
      <w:r w:rsidR="002F006C">
        <w:t xml:space="preserve">Some </w:t>
      </w:r>
      <w:r w:rsidR="00B64D03">
        <w:t xml:space="preserve">wanted greater accountability. Some </w:t>
      </w:r>
      <w:r w:rsidR="002F006C">
        <w:t>joined a campaign</w:t>
      </w:r>
      <w:r w:rsidR="000F73C3">
        <w:t>,</w:t>
      </w:r>
      <w:r w:rsidR="002F006C">
        <w:t xml:space="preserve"> organised by outside names</w:t>
      </w:r>
      <w:r w:rsidR="000F73C3">
        <w:t>,</w:t>
      </w:r>
      <w:r w:rsidR="00990DD4">
        <w:t xml:space="preserve"> against </w:t>
      </w:r>
      <w:r w:rsidR="007622DD">
        <w:t xml:space="preserve">a </w:t>
      </w:r>
      <w:r w:rsidR="00990DD4">
        <w:t>clause</w:t>
      </w:r>
      <w:r w:rsidR="007622DD">
        <w:t xml:space="preserve"> </w:t>
      </w:r>
      <w:r w:rsidR="008F6D39">
        <w:t xml:space="preserve">in the bill </w:t>
      </w:r>
      <w:r w:rsidR="007622DD">
        <w:t xml:space="preserve">that </w:t>
      </w:r>
      <w:r w:rsidR="00990DD4">
        <w:t>granted the new Lloyd’s council immunity against legal action.</w:t>
      </w:r>
      <w:r>
        <w:t xml:space="preserve"> </w:t>
      </w:r>
      <w:r w:rsidR="005545FE">
        <w:t xml:space="preserve">Others </w:t>
      </w:r>
      <w:r w:rsidR="000769FC">
        <w:t>could not see what the fuss was about</w:t>
      </w:r>
      <w:r w:rsidR="00840681">
        <w:t>. I</w:t>
      </w:r>
      <w:r w:rsidR="000769FC">
        <w:t xml:space="preserve">f </w:t>
      </w:r>
      <w:r w:rsidR="00CA5FEF">
        <w:t>names</w:t>
      </w:r>
      <w:r w:rsidR="000769FC">
        <w:t xml:space="preserve"> wanted protection ‘they shouldn’t have joined Lloyds in the first place’.</w:t>
      </w:r>
      <w:r w:rsidR="005545FE">
        <w:rPr>
          <w:rStyle w:val="EndnoteReference"/>
        </w:rPr>
        <w:endnoteReference w:id="22"/>
      </w:r>
      <w:r w:rsidR="006E0F16">
        <w:t xml:space="preserve"> </w:t>
      </w:r>
      <w:r w:rsidR="0099713E">
        <w:t>In the end an amendment was agreed that safeguarded Lloyd’s council against litigation by names</w:t>
      </w:r>
      <w:r w:rsidR="0099713E" w:rsidRPr="003F5679">
        <w:t xml:space="preserve"> </w:t>
      </w:r>
      <w:r w:rsidR="0099713E">
        <w:t xml:space="preserve">for negligent or fraudulent underwriting by their syndicates, but removed </w:t>
      </w:r>
      <w:r w:rsidR="004A2CD3">
        <w:t>its</w:t>
      </w:r>
      <w:r w:rsidR="0099713E">
        <w:t xml:space="preserve"> immunity from claims deriving from its own negligence.</w:t>
      </w:r>
      <w:r w:rsidR="0099713E">
        <w:rPr>
          <w:rStyle w:val="EndnoteReference"/>
        </w:rPr>
        <w:endnoteReference w:id="23"/>
      </w:r>
    </w:p>
    <w:p w:rsidR="00241D58" w:rsidRDefault="00241D58" w:rsidP="000C4B64"/>
    <w:p w:rsidR="003E11E8" w:rsidRDefault="003917D1" w:rsidP="000C4B64">
      <w:pPr>
        <w:rPr>
          <w:i/>
        </w:rPr>
      </w:pPr>
      <w:r>
        <w:t>Th</w:t>
      </w:r>
      <w:r w:rsidR="003F5679">
        <w:t xml:space="preserve">e </w:t>
      </w:r>
      <w:r w:rsidR="001D1FAB">
        <w:t xml:space="preserve">bill </w:t>
      </w:r>
      <w:r>
        <w:t xml:space="preserve">that </w:t>
      </w:r>
      <w:r w:rsidR="001D1FAB">
        <w:t xml:space="preserve">passed </w:t>
      </w:r>
      <w:r w:rsidR="00205F02">
        <w:t>into</w:t>
      </w:r>
      <w:r w:rsidR="003E11E8">
        <w:t xml:space="preserve"> law in January 1983</w:t>
      </w:r>
      <w:r w:rsidR="0099713E">
        <w:t xml:space="preserve"> </w:t>
      </w:r>
      <w:r>
        <w:t xml:space="preserve">contained </w:t>
      </w:r>
      <w:r w:rsidR="0099713E">
        <w:t xml:space="preserve">divestment and immunity </w:t>
      </w:r>
      <w:r w:rsidR="00827A9C">
        <w:t>provisions</w:t>
      </w:r>
      <w:r w:rsidR="0099713E">
        <w:t xml:space="preserve">, but </w:t>
      </w:r>
      <w:r>
        <w:t xml:space="preserve">no </w:t>
      </w:r>
      <w:r w:rsidR="0099713E">
        <w:t>divorce clause</w:t>
      </w:r>
      <w:r w:rsidR="001D1FAB">
        <w:t>.</w:t>
      </w:r>
      <w:r w:rsidR="001D1FAB">
        <w:rPr>
          <w:rStyle w:val="EndnoteReference"/>
        </w:rPr>
        <w:endnoteReference w:id="24"/>
      </w:r>
      <w:r w:rsidR="001D1FAB">
        <w:t xml:space="preserve"> </w:t>
      </w:r>
      <w:r w:rsidR="00205F02">
        <w:t>The new Lloyd’s act</w:t>
      </w:r>
      <w:r w:rsidR="001D1FAB">
        <w:t xml:space="preserve"> </w:t>
      </w:r>
      <w:r w:rsidR="002E0533">
        <w:t>author</w:t>
      </w:r>
      <w:r w:rsidR="00B928DC">
        <w:t>i</w:t>
      </w:r>
      <w:r w:rsidR="002E0533">
        <w:t xml:space="preserve">sed a </w:t>
      </w:r>
      <w:r w:rsidR="001D1FAB">
        <w:t>c</w:t>
      </w:r>
      <w:r w:rsidR="002E0533">
        <w:t>ouncil</w:t>
      </w:r>
      <w:r w:rsidR="001D1FAB">
        <w:t xml:space="preserve"> </w:t>
      </w:r>
      <w:r w:rsidR="00F43F16">
        <w:t xml:space="preserve">of 27, 16 of whom were to be elected by the working </w:t>
      </w:r>
      <w:r w:rsidR="00EB2159">
        <w:t>name</w:t>
      </w:r>
      <w:r w:rsidR="00F43F16">
        <w:t>s - a</w:t>
      </w:r>
      <w:r w:rsidR="001D1FAB">
        <w:t>bout</w:t>
      </w:r>
      <w:r w:rsidR="00F43F16">
        <w:t xml:space="preserve"> 20 per cent of the total - with eight members being elected by the other four-fifths of ‘external’ names not working in the market. The remaining three members were nominated by the Bank of England. Th</w:t>
      </w:r>
      <w:r w:rsidR="00B41777">
        <w:t>e new council</w:t>
      </w:r>
      <w:r w:rsidR="00F43F16">
        <w:t xml:space="preserve"> was intended to be more representative than the old committee</w:t>
      </w:r>
      <w:r w:rsidR="001D1FAB">
        <w:t xml:space="preserve"> </w:t>
      </w:r>
      <w:r w:rsidR="00B41777">
        <w:t>that had been</w:t>
      </w:r>
      <w:r w:rsidR="00F43F16">
        <w:t xml:space="preserve"> elected only by working members. </w:t>
      </w:r>
      <w:r w:rsidR="00F43F16" w:rsidRPr="00EB2159">
        <w:t xml:space="preserve">Nevertheless </w:t>
      </w:r>
      <w:r w:rsidR="00B41777">
        <w:t xml:space="preserve">it </w:t>
      </w:r>
      <w:r w:rsidR="00F43F16" w:rsidRPr="00EB2159">
        <w:t xml:space="preserve">was still stacked in favour of Lloyd’s insiders, and, importantly, it </w:t>
      </w:r>
      <w:r w:rsidR="00F0774E">
        <w:t>had</w:t>
      </w:r>
      <w:r w:rsidR="00F43F16" w:rsidRPr="00EB2159">
        <w:t xml:space="preserve"> the power to delegate decisions to a </w:t>
      </w:r>
      <w:r w:rsidR="00EB2159">
        <w:t>sub-</w:t>
      </w:r>
      <w:r w:rsidR="00F43F16" w:rsidRPr="00EB2159">
        <w:t>committee of its w</w:t>
      </w:r>
      <w:r w:rsidR="00EB2159">
        <w:t>orking</w:t>
      </w:r>
      <w:r w:rsidR="00F43F16" w:rsidRPr="00EB2159">
        <w:t xml:space="preserve"> m</w:t>
      </w:r>
      <w:r w:rsidR="00EB2159">
        <w:t>embers</w:t>
      </w:r>
      <w:r w:rsidR="00F43F16" w:rsidRPr="00EB2159">
        <w:t xml:space="preserve">. </w:t>
      </w:r>
      <w:r w:rsidR="006E62DE">
        <w:t>The a</w:t>
      </w:r>
      <w:r w:rsidR="001363DE">
        <w:t xml:space="preserve">ct also </w:t>
      </w:r>
      <w:r w:rsidR="006E62DE">
        <w:t>required that</w:t>
      </w:r>
      <w:r w:rsidR="001363DE">
        <w:t xml:space="preserve"> brokers and managing agents divest themselves of fin</w:t>
      </w:r>
      <w:r w:rsidR="00EB2159">
        <w:t>ancial interests in each othe</w:t>
      </w:r>
      <w:r w:rsidR="00C45DD7">
        <w:t xml:space="preserve">r within five years. </w:t>
      </w:r>
      <w:r w:rsidR="003811DA">
        <w:t>The opposition of</w:t>
      </w:r>
      <w:r w:rsidR="00DB23D4">
        <w:t xml:space="preserve"> </w:t>
      </w:r>
      <w:r w:rsidR="001363DE" w:rsidRPr="00DB23D4">
        <w:t>the large</w:t>
      </w:r>
      <w:r w:rsidR="001363DE">
        <w:t xml:space="preserve"> broking firms </w:t>
      </w:r>
      <w:r w:rsidR="00DB23D4">
        <w:t>was</w:t>
      </w:r>
      <w:r w:rsidR="001363DE">
        <w:t xml:space="preserve"> tempered by </w:t>
      </w:r>
      <w:r w:rsidR="00C2450E">
        <w:t>their</w:t>
      </w:r>
      <w:r w:rsidR="001363DE">
        <w:t xml:space="preserve"> fear of stronger legislation, and by the </w:t>
      </w:r>
      <w:r w:rsidR="00B41777">
        <w:t xml:space="preserve">government’s </w:t>
      </w:r>
      <w:r w:rsidR="001363DE">
        <w:t xml:space="preserve">continued support </w:t>
      </w:r>
      <w:r w:rsidR="00C2450E">
        <w:t>for</w:t>
      </w:r>
      <w:r w:rsidR="001363DE">
        <w:t xml:space="preserve"> self-regul</w:t>
      </w:r>
      <w:r w:rsidR="00C45DD7">
        <w:t>ation</w:t>
      </w:r>
      <w:r w:rsidR="001363DE">
        <w:t xml:space="preserve">.  </w:t>
      </w:r>
    </w:p>
    <w:p w:rsidR="001363DE" w:rsidRDefault="001363DE" w:rsidP="000C4B64"/>
    <w:p w:rsidR="003E11E8" w:rsidRDefault="003E11E8" w:rsidP="000C4B64">
      <w:r>
        <w:t>At the prompting of the Bank of England, Ian Hay Davison</w:t>
      </w:r>
      <w:r w:rsidR="00B41777">
        <w:t xml:space="preserve"> </w:t>
      </w:r>
      <w:r>
        <w:t xml:space="preserve">was appointed </w:t>
      </w:r>
      <w:r w:rsidR="00B41777">
        <w:t>as</w:t>
      </w:r>
      <w:r w:rsidR="009449DE">
        <w:t xml:space="preserve"> </w:t>
      </w:r>
      <w:r w:rsidR="00B41777">
        <w:t xml:space="preserve">the </w:t>
      </w:r>
      <w:r w:rsidR="009449DE">
        <w:t xml:space="preserve">first salaried </w:t>
      </w:r>
      <w:r>
        <w:t xml:space="preserve">chief executive </w:t>
      </w:r>
      <w:r w:rsidR="009449DE">
        <w:t>of Lloyd’s</w:t>
      </w:r>
      <w:r>
        <w:t>.</w:t>
      </w:r>
      <w:r w:rsidR="00C45DD7">
        <w:rPr>
          <w:rStyle w:val="EndnoteReference"/>
        </w:rPr>
        <w:endnoteReference w:id="25"/>
      </w:r>
      <w:r>
        <w:t xml:space="preserve"> </w:t>
      </w:r>
      <w:r w:rsidR="00C45DD7">
        <w:t xml:space="preserve">Davison was </w:t>
      </w:r>
      <w:r w:rsidR="001363DE">
        <w:t>chairman of the Accounting Standards Committee and had experience as a fraud investigator for the D</w:t>
      </w:r>
      <w:r w:rsidR="00C45DD7">
        <w:t>epartment of Trade and Industry</w:t>
      </w:r>
      <w:r w:rsidR="00A24291">
        <w:t xml:space="preserve"> (DTI)</w:t>
      </w:r>
      <w:r w:rsidR="00C45DD7">
        <w:t xml:space="preserve"> </w:t>
      </w:r>
      <w:r w:rsidR="001363DE">
        <w:t xml:space="preserve">in the 1970s. He regarded his </w:t>
      </w:r>
      <w:r w:rsidR="007F0B9F">
        <w:t>role</w:t>
      </w:r>
      <w:r w:rsidR="001363DE">
        <w:t xml:space="preserve"> essentially </w:t>
      </w:r>
      <w:r w:rsidR="008C2B2E">
        <w:t xml:space="preserve">as one of </w:t>
      </w:r>
      <w:r w:rsidR="001363DE">
        <w:t>trouble</w:t>
      </w:r>
      <w:r w:rsidR="00B41777">
        <w:t>-</w:t>
      </w:r>
      <w:r w:rsidR="001363DE">
        <w:t>shooter</w:t>
      </w:r>
      <w:r w:rsidR="00C45DD7">
        <w:t xml:space="preserve">, tasked with </w:t>
      </w:r>
      <w:r w:rsidR="001363DE">
        <w:t>develop</w:t>
      </w:r>
      <w:r w:rsidR="00C45DD7">
        <w:t>ing</w:t>
      </w:r>
      <w:r w:rsidR="001363DE">
        <w:t xml:space="preserve"> </w:t>
      </w:r>
      <w:r w:rsidR="00C45DD7">
        <w:t xml:space="preserve">better </w:t>
      </w:r>
      <w:r w:rsidR="001363DE">
        <w:t>acc</w:t>
      </w:r>
      <w:r w:rsidR="00C45DD7">
        <w:t>ounting</w:t>
      </w:r>
      <w:r w:rsidR="001363DE">
        <w:t xml:space="preserve"> rules, root</w:t>
      </w:r>
      <w:r w:rsidR="00C45DD7">
        <w:t>ing</w:t>
      </w:r>
      <w:r w:rsidR="001363DE">
        <w:t xml:space="preserve"> out fraud, and restor</w:t>
      </w:r>
      <w:r w:rsidR="00C45DD7">
        <w:t>ing</w:t>
      </w:r>
      <w:r w:rsidR="001363DE">
        <w:t xml:space="preserve"> Lloyd’s public reputation. His view was that </w:t>
      </w:r>
      <w:r w:rsidR="00C833E3">
        <w:t xml:space="preserve">greater </w:t>
      </w:r>
      <w:r w:rsidR="001363DE">
        <w:t xml:space="preserve">transparency and </w:t>
      </w:r>
      <w:r w:rsidR="00C45DD7">
        <w:t xml:space="preserve">the </w:t>
      </w:r>
      <w:r w:rsidR="001363DE">
        <w:t>proper auditing of syndicate</w:t>
      </w:r>
      <w:r w:rsidR="00C45DD7">
        <w:t>s</w:t>
      </w:r>
      <w:r w:rsidR="001363DE">
        <w:t xml:space="preserve"> w</w:t>
      </w:r>
      <w:r w:rsidR="00C45DD7">
        <w:t>oul</w:t>
      </w:r>
      <w:r w:rsidR="001363DE">
        <w:t xml:space="preserve">d allow </w:t>
      </w:r>
      <w:r w:rsidR="00C45DD7">
        <w:t>names</w:t>
      </w:r>
      <w:r w:rsidR="001363DE">
        <w:t xml:space="preserve"> to </w:t>
      </w:r>
      <w:r w:rsidR="00F0774E">
        <w:t>act as</w:t>
      </w:r>
      <w:r w:rsidR="001363DE">
        <w:t xml:space="preserve"> their own police force</w:t>
      </w:r>
      <w:r w:rsidR="00C45DD7">
        <w:t>.</w:t>
      </w:r>
      <w:r w:rsidR="00C45DD7">
        <w:rPr>
          <w:rStyle w:val="EndnoteReference"/>
        </w:rPr>
        <w:endnoteReference w:id="26"/>
      </w:r>
      <w:r w:rsidR="001363DE">
        <w:t xml:space="preserve"> </w:t>
      </w:r>
    </w:p>
    <w:p w:rsidR="003E11E8" w:rsidRDefault="003E11E8" w:rsidP="000C4B64"/>
    <w:p w:rsidR="00535D26" w:rsidRDefault="00454EA0" w:rsidP="00A24291">
      <w:r w:rsidRPr="00454EA0">
        <w:t xml:space="preserve">Before </w:t>
      </w:r>
      <w:r>
        <w:t xml:space="preserve">Lloyd’s </w:t>
      </w:r>
      <w:r w:rsidRPr="00454EA0">
        <w:t>act came into effect</w:t>
      </w:r>
      <w:r w:rsidR="00D87B15">
        <w:t>,</w:t>
      </w:r>
      <w:r w:rsidRPr="00454EA0">
        <w:t xml:space="preserve"> </w:t>
      </w:r>
      <w:r w:rsidR="0063472B">
        <w:t xml:space="preserve">new </w:t>
      </w:r>
      <w:r w:rsidRPr="00454EA0">
        <w:t>scanda</w:t>
      </w:r>
      <w:r w:rsidR="00C2450E">
        <w:t xml:space="preserve">ls emerged. </w:t>
      </w:r>
      <w:r w:rsidR="001068B5">
        <w:t xml:space="preserve">The </w:t>
      </w:r>
      <w:r w:rsidR="00D87B15">
        <w:t xml:space="preserve">first </w:t>
      </w:r>
      <w:r w:rsidR="00F81FA2">
        <w:t>concerned</w:t>
      </w:r>
      <w:r w:rsidR="001068B5">
        <w:t xml:space="preserve"> the Alexander Howden agency</w:t>
      </w:r>
      <w:r w:rsidR="0063472B">
        <w:t>,</w:t>
      </w:r>
      <w:r w:rsidR="001068B5">
        <w:t xml:space="preserve"> whose chief u</w:t>
      </w:r>
      <w:r w:rsidR="00D87B15">
        <w:t>nderwriter</w:t>
      </w:r>
      <w:r w:rsidR="001068B5">
        <w:t>, Ian ‘Goldfinger’ Posgate</w:t>
      </w:r>
      <w:r w:rsidR="00D87B15">
        <w:t xml:space="preserve">, </w:t>
      </w:r>
      <w:r w:rsidR="001068B5">
        <w:t xml:space="preserve">together with </w:t>
      </w:r>
      <w:r w:rsidR="00D87B15">
        <w:t>four</w:t>
      </w:r>
      <w:r w:rsidR="001068B5">
        <w:t xml:space="preserve"> </w:t>
      </w:r>
      <w:r w:rsidR="00D87B15">
        <w:t>fellow</w:t>
      </w:r>
      <w:r w:rsidR="001068B5">
        <w:t xml:space="preserve"> </w:t>
      </w:r>
      <w:r w:rsidR="002A3BF5">
        <w:t xml:space="preserve">Howden </w:t>
      </w:r>
      <w:r w:rsidR="001068B5">
        <w:t>directors</w:t>
      </w:r>
      <w:r w:rsidR="002A3BF5">
        <w:t xml:space="preserve">, </w:t>
      </w:r>
      <w:r w:rsidR="001068B5" w:rsidRPr="00D87B15">
        <w:t>were accused o</w:t>
      </w:r>
      <w:r w:rsidR="001068B5">
        <w:t xml:space="preserve">f false accounting and siphoning off </w:t>
      </w:r>
      <w:r w:rsidR="00D87B15">
        <w:t xml:space="preserve">over </w:t>
      </w:r>
      <w:r w:rsidR="001068B5">
        <w:t>$55m from the syndicates they ran.</w:t>
      </w:r>
      <w:r w:rsidR="00CB7BD2">
        <w:rPr>
          <w:rStyle w:val="EndnoteReference"/>
        </w:rPr>
        <w:endnoteReference w:id="27"/>
      </w:r>
      <w:r w:rsidR="001068B5">
        <w:t xml:space="preserve"> </w:t>
      </w:r>
      <w:r w:rsidR="00675FA4">
        <w:t xml:space="preserve">Howden </w:t>
      </w:r>
      <w:r w:rsidR="00675FA4" w:rsidRPr="000F5617">
        <w:t xml:space="preserve">funds </w:t>
      </w:r>
      <w:r w:rsidR="00A24291">
        <w:t xml:space="preserve">allegedly had </w:t>
      </w:r>
      <w:r w:rsidR="00675FA4">
        <w:t xml:space="preserve">been </w:t>
      </w:r>
      <w:r w:rsidR="00675FA4" w:rsidRPr="000F5617">
        <w:t xml:space="preserve">used to </w:t>
      </w:r>
      <w:r w:rsidR="00675FA4">
        <w:t xml:space="preserve">invest </w:t>
      </w:r>
      <w:r w:rsidR="00675FA4" w:rsidRPr="000F5617">
        <w:t>in companies that the directors</w:t>
      </w:r>
      <w:r w:rsidR="00675FA4">
        <w:t xml:space="preserve"> owned in Panama and Bermuda</w:t>
      </w:r>
      <w:r w:rsidR="00F81FA2">
        <w:t>. G</w:t>
      </w:r>
      <w:r w:rsidR="00675FA4">
        <w:t xml:space="preserve">ifts of cash and paintings </w:t>
      </w:r>
      <w:r w:rsidR="00F81FA2">
        <w:t xml:space="preserve">were </w:t>
      </w:r>
      <w:r w:rsidR="00A24291">
        <w:t xml:space="preserve">dispensed </w:t>
      </w:r>
      <w:r w:rsidR="00675FA4">
        <w:t xml:space="preserve">to buy silence. </w:t>
      </w:r>
      <w:r w:rsidR="00CB7BD2" w:rsidRPr="000F5617">
        <w:t xml:space="preserve">Their accuser </w:t>
      </w:r>
      <w:r w:rsidR="00CB7BD2">
        <w:t>was</w:t>
      </w:r>
      <w:r w:rsidR="00CB7BD2" w:rsidRPr="000F5617">
        <w:t xml:space="preserve"> the </w:t>
      </w:r>
      <w:r w:rsidR="00675FA4">
        <w:t xml:space="preserve">giant </w:t>
      </w:r>
      <w:r w:rsidR="00CB7BD2" w:rsidRPr="000F5617">
        <w:t xml:space="preserve">US </w:t>
      </w:r>
      <w:r w:rsidR="00675FA4">
        <w:t xml:space="preserve">broking </w:t>
      </w:r>
      <w:r w:rsidR="00CB7BD2">
        <w:t xml:space="preserve">firm </w:t>
      </w:r>
      <w:r w:rsidR="00CB7BD2" w:rsidRPr="000F5617">
        <w:t xml:space="preserve">Alexander &amp; Alexander, </w:t>
      </w:r>
      <w:r w:rsidR="00675FA4">
        <w:t>which had</w:t>
      </w:r>
      <w:r w:rsidR="00CB7BD2" w:rsidRPr="000F5617">
        <w:t xml:space="preserve"> p</w:t>
      </w:r>
      <w:r w:rsidR="00675FA4">
        <w:t>urchased the Howden agency</w:t>
      </w:r>
      <w:r w:rsidR="00CB7BD2" w:rsidRPr="000F5617">
        <w:t xml:space="preserve">, but </w:t>
      </w:r>
      <w:r w:rsidR="00675FA4">
        <w:t xml:space="preserve">then discovered the fraud and </w:t>
      </w:r>
      <w:r w:rsidR="00C2450E">
        <w:t>reported it to</w:t>
      </w:r>
      <w:r w:rsidR="00675FA4">
        <w:t xml:space="preserve"> the US Securities and Exchange Commission. </w:t>
      </w:r>
      <w:r w:rsidR="00CB7BD2" w:rsidRPr="00675FA4">
        <w:t>Lloyd’s council was slow to react</w:t>
      </w:r>
      <w:r w:rsidR="0003771B">
        <w:t xml:space="preserve">. Its chairman, Peter Green, declared </w:t>
      </w:r>
      <w:r w:rsidR="002A3BF5">
        <w:t>that</w:t>
      </w:r>
      <w:r w:rsidR="0003771B" w:rsidRPr="0003771B">
        <w:t xml:space="preserve"> conflicts of interest at Lloyd</w:t>
      </w:r>
      <w:r w:rsidR="00B13116">
        <w:t>’</w:t>
      </w:r>
      <w:r w:rsidR="002A3BF5">
        <w:t>s</w:t>
      </w:r>
      <w:r w:rsidR="00B13116">
        <w:t xml:space="preserve"> were</w:t>
      </w:r>
      <w:r w:rsidR="0003771B" w:rsidRPr="0003771B">
        <w:t xml:space="preserve"> ‘no g</w:t>
      </w:r>
      <w:r w:rsidR="00B13116">
        <w:t>reater</w:t>
      </w:r>
      <w:r w:rsidR="0003771B" w:rsidRPr="0003771B">
        <w:t xml:space="preserve"> than running a butcher’s shop’.</w:t>
      </w:r>
      <w:r w:rsidR="00B13116">
        <w:rPr>
          <w:rStyle w:val="EndnoteReference"/>
        </w:rPr>
        <w:endnoteReference w:id="28"/>
      </w:r>
      <w:r w:rsidR="00B13116">
        <w:t xml:space="preserve"> </w:t>
      </w:r>
      <w:r w:rsidR="00A24291">
        <w:t xml:space="preserve">Only after the DTI </w:t>
      </w:r>
      <w:r w:rsidR="00A24291" w:rsidRPr="000F5617">
        <w:t xml:space="preserve">launched an investigation and the </w:t>
      </w:r>
      <w:r w:rsidR="00EE4BC8">
        <w:t xml:space="preserve">police were </w:t>
      </w:r>
      <w:r w:rsidR="00A24291" w:rsidRPr="000F5617">
        <w:t>brought in</w:t>
      </w:r>
      <w:r w:rsidR="00A24291">
        <w:t xml:space="preserve"> </w:t>
      </w:r>
      <w:r w:rsidR="004B7366">
        <w:t>was</w:t>
      </w:r>
      <w:r w:rsidR="00A24291">
        <w:t xml:space="preserve"> Posgate</w:t>
      </w:r>
      <w:r w:rsidR="004B7366">
        <w:t xml:space="preserve"> suspended</w:t>
      </w:r>
      <w:r w:rsidR="00A24291">
        <w:t>.</w:t>
      </w:r>
      <w:r w:rsidR="00535D26">
        <w:rPr>
          <w:rStyle w:val="EndnoteReference"/>
        </w:rPr>
        <w:endnoteReference w:id="29"/>
      </w:r>
      <w:r w:rsidR="00A24291">
        <w:t xml:space="preserve"> There followed several years of duelling through the courts over </w:t>
      </w:r>
      <w:r w:rsidR="004B7366">
        <w:t xml:space="preserve">Lloyd’s </w:t>
      </w:r>
      <w:r w:rsidR="00A24291">
        <w:t>right to suspend him.</w:t>
      </w:r>
      <w:r w:rsidR="00535D26">
        <w:rPr>
          <w:rStyle w:val="EndnoteReference"/>
        </w:rPr>
        <w:endnoteReference w:id="30"/>
      </w:r>
      <w:r w:rsidR="00A24291">
        <w:t xml:space="preserve"> </w:t>
      </w:r>
      <w:r w:rsidR="00E85CF6">
        <w:t xml:space="preserve">Following the DTI </w:t>
      </w:r>
      <w:r w:rsidR="005E3E38">
        <w:t>investigation</w:t>
      </w:r>
      <w:r w:rsidR="007B6C08">
        <w:t>,</w:t>
      </w:r>
      <w:r w:rsidR="005E3E38">
        <w:t xml:space="preserve"> </w:t>
      </w:r>
      <w:r w:rsidR="00E85CF6">
        <w:t xml:space="preserve">Posgate and </w:t>
      </w:r>
      <w:r w:rsidR="00C2450E">
        <w:t>the others</w:t>
      </w:r>
      <w:r w:rsidR="00E85CF6">
        <w:t xml:space="preserve"> were prosecuted on charges of fraud and theft.</w:t>
      </w:r>
      <w:r w:rsidR="005E3E38">
        <w:rPr>
          <w:rStyle w:val="EndnoteReference"/>
        </w:rPr>
        <w:endnoteReference w:id="31"/>
      </w:r>
      <w:r w:rsidR="005E3E38">
        <w:t xml:space="preserve"> </w:t>
      </w:r>
      <w:r w:rsidR="00F91FA8">
        <w:t xml:space="preserve">Although acquitted </w:t>
      </w:r>
      <w:r w:rsidR="00304B07">
        <w:t>at</w:t>
      </w:r>
      <w:r w:rsidR="00F91FA8">
        <w:t xml:space="preserve"> t</w:t>
      </w:r>
      <w:r w:rsidR="00445EC7">
        <w:t>rial</w:t>
      </w:r>
      <w:r w:rsidR="00EE4BC8">
        <w:t xml:space="preserve"> in 1989</w:t>
      </w:r>
      <w:r w:rsidR="00445EC7">
        <w:t xml:space="preserve">, </w:t>
      </w:r>
      <w:r w:rsidR="005E3E38">
        <w:t xml:space="preserve">Posgate never worked at Lloyd’s again. </w:t>
      </w:r>
    </w:p>
    <w:p w:rsidR="00535D26" w:rsidRDefault="00535D26" w:rsidP="00A24291"/>
    <w:p w:rsidR="00D41620" w:rsidRDefault="00581EAA" w:rsidP="008719D0">
      <w:r>
        <w:t xml:space="preserve">Another scandal </w:t>
      </w:r>
      <w:r w:rsidR="008719D0">
        <w:t xml:space="preserve">involved </w:t>
      </w:r>
      <w:r w:rsidR="001B3117">
        <w:t xml:space="preserve">the </w:t>
      </w:r>
      <w:r w:rsidR="00D41620">
        <w:t xml:space="preserve">syndicates run by the </w:t>
      </w:r>
      <w:r w:rsidR="00766EB4">
        <w:t>PCW agency</w:t>
      </w:r>
      <w:r w:rsidR="00D41620">
        <w:t xml:space="preserve">. </w:t>
      </w:r>
      <w:r w:rsidR="00A24671">
        <w:t xml:space="preserve">John Wallrock, the chairman of </w:t>
      </w:r>
      <w:r w:rsidR="00D41620">
        <w:t>PCW</w:t>
      </w:r>
      <w:r w:rsidR="00A24671">
        <w:t xml:space="preserve">’s owner, the </w:t>
      </w:r>
      <w:r w:rsidR="00E0715C">
        <w:t>broking firm Minet</w:t>
      </w:r>
      <w:r w:rsidR="00D41620">
        <w:t xml:space="preserve">, resigned in 1982 after it was discovered that he and </w:t>
      </w:r>
      <w:r w:rsidR="001300BB">
        <w:t xml:space="preserve">several </w:t>
      </w:r>
      <w:r w:rsidR="00D41620">
        <w:t xml:space="preserve">PCW </w:t>
      </w:r>
      <w:r w:rsidR="00D571DE">
        <w:t>executives</w:t>
      </w:r>
      <w:r w:rsidR="00D41620">
        <w:t xml:space="preserve"> had personally benefitted from reinsurances </w:t>
      </w:r>
      <w:r w:rsidR="001300BB">
        <w:t xml:space="preserve">made </w:t>
      </w:r>
      <w:r w:rsidR="00D41620">
        <w:t>by the syndicates. PCW, its manager Peter Dixon and chief underwriter, Peter Cameron-Webb</w:t>
      </w:r>
      <w:r w:rsidR="001300BB">
        <w:t>,</w:t>
      </w:r>
      <w:r w:rsidR="00D41620">
        <w:t xml:space="preserve"> </w:t>
      </w:r>
      <w:r w:rsidR="00A24671">
        <w:t xml:space="preserve">were investigated </w:t>
      </w:r>
      <w:r w:rsidR="00D41620">
        <w:t xml:space="preserve">by </w:t>
      </w:r>
      <w:r w:rsidR="00A24671">
        <w:t xml:space="preserve">both </w:t>
      </w:r>
      <w:r w:rsidR="00D41620">
        <w:t>the DTI and Lloyd’s.</w:t>
      </w:r>
      <w:r w:rsidR="001300BB">
        <w:rPr>
          <w:rStyle w:val="EndnoteReference"/>
        </w:rPr>
        <w:endnoteReference w:id="32"/>
      </w:r>
      <w:r w:rsidR="001300BB">
        <w:t xml:space="preserve"> </w:t>
      </w:r>
      <w:r w:rsidR="00D41620">
        <w:t>The a</w:t>
      </w:r>
      <w:r w:rsidR="00D571DE">
        <w:t>uditors</w:t>
      </w:r>
      <w:r w:rsidR="00D41620">
        <w:t xml:space="preserve"> Price Waterhouse</w:t>
      </w:r>
      <w:r w:rsidR="00B80DB9">
        <w:t xml:space="preserve"> found </w:t>
      </w:r>
      <w:r w:rsidR="00D41620">
        <w:t>PCW accounts</w:t>
      </w:r>
      <w:r w:rsidR="00B80DB9">
        <w:t xml:space="preserve"> </w:t>
      </w:r>
      <w:r w:rsidR="00D41620">
        <w:t>in ‘an appa</w:t>
      </w:r>
      <w:r>
        <w:t>l</w:t>
      </w:r>
      <w:r w:rsidR="00D41620">
        <w:t>ling state’.</w:t>
      </w:r>
      <w:r w:rsidR="00B80DB9">
        <w:rPr>
          <w:rStyle w:val="EndnoteReference"/>
        </w:rPr>
        <w:endnoteReference w:id="33"/>
      </w:r>
      <w:r w:rsidR="00D41620">
        <w:t xml:space="preserve"> </w:t>
      </w:r>
      <w:r w:rsidR="009B71D5">
        <w:t>T</w:t>
      </w:r>
      <w:r w:rsidR="00D41620" w:rsidRPr="00766EB4">
        <w:t xml:space="preserve">otal losses incurred by the syndicates </w:t>
      </w:r>
      <w:r w:rsidR="009B71D5">
        <w:t>between</w:t>
      </w:r>
      <w:r w:rsidR="00D41620" w:rsidRPr="00766EB4">
        <w:t xml:space="preserve"> 1979 </w:t>
      </w:r>
      <w:r w:rsidR="009B71D5">
        <w:t xml:space="preserve">and 1985 </w:t>
      </w:r>
      <w:r w:rsidR="00D41620" w:rsidRPr="00766EB4">
        <w:t>were £130m, most</w:t>
      </w:r>
      <w:r w:rsidR="00D41620">
        <w:t xml:space="preserve"> of which stemmed from reinsuring US asbestos risks</w:t>
      </w:r>
      <w:r w:rsidR="00B80DB9">
        <w:t xml:space="preserve">. </w:t>
      </w:r>
      <w:r w:rsidR="00766EB4">
        <w:t xml:space="preserve">The liability facing 1500 </w:t>
      </w:r>
      <w:r w:rsidR="00770058">
        <w:t>PCW names w</w:t>
      </w:r>
      <w:r w:rsidR="00B80DB9">
        <w:t>as</w:t>
      </w:r>
      <w:r w:rsidR="00770058">
        <w:t xml:space="preserve"> estimated at £77m. An action group was formed to resist calls and to pursue compensation.</w:t>
      </w:r>
      <w:r w:rsidR="00B80DB9">
        <w:rPr>
          <w:rStyle w:val="EndnoteReference"/>
        </w:rPr>
        <w:endnoteReference w:id="34"/>
      </w:r>
      <w:r w:rsidR="00770058">
        <w:t xml:space="preserve"> </w:t>
      </w:r>
      <w:r w:rsidR="004A40F9" w:rsidRPr="00745C6C">
        <w:t>The Conservative government</w:t>
      </w:r>
      <w:r w:rsidR="004A40F9">
        <w:t xml:space="preserve"> rejected </w:t>
      </w:r>
      <w:r w:rsidR="009B71D5">
        <w:rPr>
          <w:rStyle w:val="HTMLCite"/>
          <w:i w:val="0"/>
        </w:rPr>
        <w:t xml:space="preserve">Labour </w:t>
      </w:r>
      <w:r w:rsidR="006219A8">
        <w:rPr>
          <w:rStyle w:val="HTMLCite"/>
          <w:i w:val="0"/>
        </w:rPr>
        <w:t>demands</w:t>
      </w:r>
      <w:r w:rsidR="00A916BD">
        <w:rPr>
          <w:rStyle w:val="HTMLCite"/>
          <w:i w:val="0"/>
        </w:rPr>
        <w:t xml:space="preserve"> </w:t>
      </w:r>
      <w:r w:rsidR="00770058">
        <w:rPr>
          <w:rStyle w:val="HTMLCite"/>
          <w:i w:val="0"/>
        </w:rPr>
        <w:t>for prosecutions and tighter regulation of Lloyd’s</w:t>
      </w:r>
      <w:r w:rsidR="004A40F9">
        <w:rPr>
          <w:rStyle w:val="HTMLCite"/>
          <w:i w:val="0"/>
        </w:rPr>
        <w:t>, r</w:t>
      </w:r>
      <w:r w:rsidR="00745C6C" w:rsidRPr="00745C6C">
        <w:t>espon</w:t>
      </w:r>
      <w:r w:rsidR="006219A8">
        <w:t>d</w:t>
      </w:r>
      <w:r w:rsidR="004A40F9">
        <w:t>ing</w:t>
      </w:r>
      <w:r w:rsidR="00745C6C" w:rsidRPr="00745C6C">
        <w:t xml:space="preserve"> that the ma</w:t>
      </w:r>
      <w:r w:rsidR="00745C6C">
        <w:t>t</w:t>
      </w:r>
      <w:r w:rsidR="00745C6C" w:rsidRPr="00745C6C">
        <w:t>ter was an internal affair</w:t>
      </w:r>
      <w:r w:rsidR="00745C6C">
        <w:t>.</w:t>
      </w:r>
      <w:r w:rsidR="00745C6C">
        <w:rPr>
          <w:rStyle w:val="EndnoteReference"/>
        </w:rPr>
        <w:endnoteReference w:id="35"/>
      </w:r>
      <w:r w:rsidR="00745C6C">
        <w:t xml:space="preserve"> </w:t>
      </w:r>
      <w:r w:rsidR="00E0715C">
        <w:t>In 1985 Lloyd’s investigation reported that</w:t>
      </w:r>
      <w:r w:rsidR="00E0715C" w:rsidRPr="00B81087">
        <w:t xml:space="preserve"> Dixon</w:t>
      </w:r>
      <w:r w:rsidR="004A40F9">
        <w:t xml:space="preserve">, </w:t>
      </w:r>
      <w:r w:rsidR="00E0715C" w:rsidRPr="00B81087">
        <w:t>‘a clever, dishonest, greedy and unscrupulous individual</w:t>
      </w:r>
      <w:r w:rsidR="00E0715C">
        <w:t>’, had used</w:t>
      </w:r>
      <w:r w:rsidR="00E0715C" w:rsidRPr="00B81087">
        <w:t xml:space="preserve"> a web of bogus reinsurance </w:t>
      </w:r>
      <w:r w:rsidR="00E0715C">
        <w:t>deals</w:t>
      </w:r>
      <w:r w:rsidR="00E0715C" w:rsidRPr="00B81087">
        <w:t xml:space="preserve"> to channel </w:t>
      </w:r>
      <w:r w:rsidR="00E0715C">
        <w:t>PCW</w:t>
      </w:r>
      <w:r w:rsidR="00E0715C" w:rsidRPr="00B81087">
        <w:t xml:space="preserve"> </w:t>
      </w:r>
      <w:r w:rsidR="00E0715C">
        <w:t xml:space="preserve">funds </w:t>
      </w:r>
      <w:r w:rsidR="00E0715C" w:rsidRPr="00B81087">
        <w:t>into his own offshore companies</w:t>
      </w:r>
      <w:r w:rsidR="004A40F9">
        <w:t xml:space="preserve"> and other property</w:t>
      </w:r>
      <w:r w:rsidR="00E0715C">
        <w:t>.</w:t>
      </w:r>
      <w:r w:rsidR="00B81087">
        <w:rPr>
          <w:rStyle w:val="EndnoteReference"/>
        </w:rPr>
        <w:endnoteReference w:id="36"/>
      </w:r>
      <w:r w:rsidR="003F78EC" w:rsidRPr="00B81087">
        <w:t xml:space="preserve"> </w:t>
      </w:r>
      <w:r w:rsidR="00770058" w:rsidRPr="00B81087">
        <w:t>Dixon was fined £1m</w:t>
      </w:r>
      <w:r w:rsidR="003F78EC" w:rsidRPr="00B81087">
        <w:t xml:space="preserve"> </w:t>
      </w:r>
      <w:r w:rsidR="00770058" w:rsidRPr="00B81087">
        <w:t xml:space="preserve">and expelled </w:t>
      </w:r>
      <w:r w:rsidR="003F78EC" w:rsidRPr="00B81087">
        <w:t>from Lloyd’s</w:t>
      </w:r>
      <w:r w:rsidR="00A916BD">
        <w:t>, although t</w:t>
      </w:r>
      <w:r w:rsidR="003F78EC" w:rsidRPr="00B81087">
        <w:t xml:space="preserve">he fine </w:t>
      </w:r>
      <w:r w:rsidR="00596B9A">
        <w:t>c</w:t>
      </w:r>
      <w:r w:rsidR="003F78EC" w:rsidRPr="00B81087">
        <w:t>ould</w:t>
      </w:r>
      <w:r w:rsidR="003F78EC">
        <w:t xml:space="preserve"> not be collected</w:t>
      </w:r>
      <w:r w:rsidR="00A916BD">
        <w:t xml:space="preserve"> </w:t>
      </w:r>
      <w:r w:rsidR="003F78EC">
        <w:t xml:space="preserve">as </w:t>
      </w:r>
      <w:r w:rsidR="00A916BD">
        <w:t>he</w:t>
      </w:r>
      <w:r w:rsidR="003F78EC">
        <w:t xml:space="preserve"> fled </w:t>
      </w:r>
      <w:r w:rsidR="00B56DEF">
        <w:t>to</w:t>
      </w:r>
      <w:r w:rsidR="003F78EC">
        <w:t xml:space="preserve"> Costa Rica. Cameron Webb</w:t>
      </w:r>
      <w:r w:rsidR="00A24671">
        <w:t xml:space="preserve"> </w:t>
      </w:r>
      <w:r w:rsidR="00B56DEF">
        <w:t>escaped</w:t>
      </w:r>
      <w:r w:rsidR="003F78EC">
        <w:t xml:space="preserve"> </w:t>
      </w:r>
      <w:r w:rsidR="006B26ED">
        <w:t xml:space="preserve">to </w:t>
      </w:r>
      <w:r w:rsidR="003F78EC">
        <w:t xml:space="preserve">the US. </w:t>
      </w:r>
      <w:r w:rsidR="003F78EC" w:rsidRPr="00B81087">
        <w:t xml:space="preserve">He and Wallrock were </w:t>
      </w:r>
      <w:r w:rsidR="00A916BD">
        <w:t xml:space="preserve">also </w:t>
      </w:r>
      <w:r w:rsidR="003F78EC" w:rsidRPr="00B81087">
        <w:t>expelled</w:t>
      </w:r>
      <w:r w:rsidR="00A916BD">
        <w:t>, and a</w:t>
      </w:r>
      <w:r w:rsidR="003F78EC" w:rsidRPr="00B81087">
        <w:t>ll three were barred from acting as company directors.</w:t>
      </w:r>
      <w:r w:rsidR="000D709E">
        <w:rPr>
          <w:rStyle w:val="EndnoteReference"/>
        </w:rPr>
        <w:endnoteReference w:id="37"/>
      </w:r>
      <w:r w:rsidR="003F78EC" w:rsidRPr="00B81087">
        <w:t xml:space="preserve"> </w:t>
      </w:r>
    </w:p>
    <w:p w:rsidR="000D709E" w:rsidRDefault="000D709E" w:rsidP="008719D0"/>
    <w:p w:rsidR="00581EAA" w:rsidRDefault="00581EAA" w:rsidP="00581EAA">
      <w:pPr>
        <w:rPr>
          <w:b/>
        </w:rPr>
      </w:pPr>
      <w:r>
        <w:rPr>
          <w:b/>
        </w:rPr>
        <w:t>3</w:t>
      </w:r>
      <w:r w:rsidRPr="0019785E">
        <w:rPr>
          <w:b/>
        </w:rPr>
        <w:t>. Liability crisis, LMX spiral and collapse</w:t>
      </w:r>
      <w:r w:rsidR="001D2591">
        <w:rPr>
          <w:b/>
        </w:rPr>
        <w:t>.</w:t>
      </w:r>
      <w:r w:rsidRPr="0019785E">
        <w:rPr>
          <w:b/>
        </w:rPr>
        <w:t xml:space="preserve"> </w:t>
      </w:r>
    </w:p>
    <w:p w:rsidR="00727B7E" w:rsidRDefault="00581EAA" w:rsidP="00327CBB">
      <w:r>
        <w:t xml:space="preserve">The Howden and PCW affairs were the most prominent of several scandals that centred on the fraudulent use of syndicate funds. A larger and more damaging category of scandal </w:t>
      </w:r>
      <w:r w:rsidR="00C35E8F">
        <w:t>concerned</w:t>
      </w:r>
      <w:r>
        <w:t xml:space="preserve"> negligent or incompetent underwriting, especially of </w:t>
      </w:r>
      <w:r w:rsidR="00704E84">
        <w:t>‘</w:t>
      </w:r>
      <w:r>
        <w:t xml:space="preserve">excess </w:t>
      </w:r>
      <w:r w:rsidR="00704E84">
        <w:t xml:space="preserve">of </w:t>
      </w:r>
      <w:r>
        <w:t>loss</w:t>
      </w:r>
      <w:r w:rsidR="00704E84">
        <w:t>’ (XL)</w:t>
      </w:r>
      <w:r>
        <w:t xml:space="preserve"> reinsurance.</w:t>
      </w:r>
      <w:r w:rsidR="000724F9">
        <w:t xml:space="preserve"> By </w:t>
      </w:r>
      <w:r w:rsidR="00F16ACB">
        <w:t>1991</w:t>
      </w:r>
      <w:r w:rsidR="000724F9">
        <w:t xml:space="preserve"> it was estimated that some </w:t>
      </w:r>
      <w:r w:rsidR="00BC57B4">
        <w:t>20</w:t>
      </w:r>
      <w:r w:rsidR="000724F9">
        <w:t xml:space="preserve"> per cent of all names at Lloyd’s </w:t>
      </w:r>
      <w:r w:rsidR="00F16ACB">
        <w:t xml:space="preserve">had organised into action groups to </w:t>
      </w:r>
      <w:r w:rsidR="00327CBB">
        <w:t>sue</w:t>
      </w:r>
      <w:r w:rsidR="00F16ACB">
        <w:t xml:space="preserve"> their </w:t>
      </w:r>
      <w:r w:rsidR="000724F9">
        <w:t>syndicates</w:t>
      </w:r>
      <w:r w:rsidR="00F16ACB">
        <w:t xml:space="preserve"> </w:t>
      </w:r>
      <w:r w:rsidR="000724F9">
        <w:t xml:space="preserve">for losses </w:t>
      </w:r>
      <w:r w:rsidR="00F16ACB">
        <w:t>due to poor underwriting</w:t>
      </w:r>
      <w:r w:rsidR="00327CBB">
        <w:t>,</w:t>
      </w:r>
      <w:r w:rsidR="00F16ACB">
        <w:t xml:space="preserve"> and to pursue Lloyd’s for compensation</w:t>
      </w:r>
      <w:r w:rsidR="00327CBB">
        <w:t xml:space="preserve"> because of supervisory failures</w:t>
      </w:r>
      <w:r w:rsidR="00F16ACB">
        <w:t>.</w:t>
      </w:r>
      <w:r w:rsidR="00327CBB">
        <w:rPr>
          <w:rStyle w:val="EndnoteReference"/>
        </w:rPr>
        <w:endnoteReference w:id="38"/>
      </w:r>
      <w:r w:rsidR="000724F9">
        <w:t xml:space="preserve"> </w:t>
      </w:r>
    </w:p>
    <w:p w:rsidR="003061DB" w:rsidRDefault="003061DB" w:rsidP="00327CBB"/>
    <w:p w:rsidR="00F16ACB" w:rsidRDefault="00F16ACB" w:rsidP="00F16ACB">
      <w:r>
        <w:t xml:space="preserve">The highest profile cases </w:t>
      </w:r>
      <w:r w:rsidR="00C35E8F">
        <w:t>involved</w:t>
      </w:r>
      <w:r>
        <w:t xml:space="preserve"> the Outhwaite, Feltrim and Gooda Walker syndicates. In 1991 </w:t>
      </w:r>
      <w:r w:rsidR="00327CBB">
        <w:t>nearly 1000</w:t>
      </w:r>
      <w:r>
        <w:t xml:space="preserve"> names </w:t>
      </w:r>
      <w:r w:rsidR="00A846DE">
        <w:t xml:space="preserve">sued the managing agents of </w:t>
      </w:r>
      <w:r w:rsidR="00327CBB">
        <w:t xml:space="preserve">Richard Outhwaite’s syndicate </w:t>
      </w:r>
      <w:r>
        <w:t xml:space="preserve">for £150m </w:t>
      </w:r>
      <w:r w:rsidR="002D61B0">
        <w:t>for</w:t>
      </w:r>
      <w:r>
        <w:t xml:space="preserve"> </w:t>
      </w:r>
      <w:r w:rsidR="00342DBF">
        <w:t>his</w:t>
      </w:r>
      <w:r w:rsidR="00BD218B">
        <w:t xml:space="preserve"> </w:t>
      </w:r>
      <w:r w:rsidR="002D61B0" w:rsidRPr="00DB4300">
        <w:t>reckless underwriting</w:t>
      </w:r>
      <w:r w:rsidR="002D61B0">
        <w:t xml:space="preserve"> that had led to </w:t>
      </w:r>
      <w:r>
        <w:t>losses of £260m.</w:t>
      </w:r>
      <w:r w:rsidR="00BD218B">
        <w:rPr>
          <w:rStyle w:val="EndnoteReference"/>
        </w:rPr>
        <w:endnoteReference w:id="39"/>
      </w:r>
      <w:r>
        <w:t xml:space="preserve"> </w:t>
      </w:r>
      <w:r w:rsidR="00BD218B">
        <w:t>The agents</w:t>
      </w:r>
      <w:r w:rsidR="003061DB">
        <w:t xml:space="preserve"> </w:t>
      </w:r>
      <w:r w:rsidR="00BD218B">
        <w:t xml:space="preserve">were </w:t>
      </w:r>
      <w:r w:rsidR="00A846DE">
        <w:t>sued</w:t>
      </w:r>
      <w:r w:rsidR="00BD218B">
        <w:t xml:space="preserve"> because they carried </w:t>
      </w:r>
      <w:r w:rsidR="007C0B07">
        <w:t>‘erro</w:t>
      </w:r>
      <w:r w:rsidR="00A846DE">
        <w:t>r</w:t>
      </w:r>
      <w:r w:rsidR="007C0B07">
        <w:t>s and omissions’ (E&amp;O) in</w:t>
      </w:r>
      <w:r w:rsidR="00BD218B">
        <w:t xml:space="preserve">surance </w:t>
      </w:r>
      <w:r w:rsidR="00F26349">
        <w:t xml:space="preserve">against which </w:t>
      </w:r>
      <w:r w:rsidR="00A846DE">
        <w:t xml:space="preserve">compensation </w:t>
      </w:r>
      <w:r w:rsidR="00C35E8F">
        <w:t>was</w:t>
      </w:r>
      <w:r w:rsidR="00F26349">
        <w:t xml:space="preserve"> </w:t>
      </w:r>
      <w:r w:rsidR="003061DB">
        <w:t>sought</w:t>
      </w:r>
      <w:r w:rsidR="00BD218B">
        <w:t>.</w:t>
      </w:r>
      <w:r w:rsidR="00865AFD" w:rsidRPr="00865AFD">
        <w:rPr>
          <w:rStyle w:val="EndnoteReference"/>
        </w:rPr>
        <w:t xml:space="preserve"> </w:t>
      </w:r>
      <w:r w:rsidR="003061DB">
        <w:t xml:space="preserve"> </w:t>
      </w:r>
      <w:r>
        <w:t xml:space="preserve">In 1982 Outhwaite had written 31 ‘run-off’contracts that reinsured other syndicates against the risk of asbestos claims in the US. Some of the policies reinsured dated back to the 1940s. </w:t>
      </w:r>
      <w:r w:rsidR="002D61B0">
        <w:t>It was</w:t>
      </w:r>
      <w:r>
        <w:t xml:space="preserve"> alleged that Outhwaite</w:t>
      </w:r>
      <w:r w:rsidR="002D61B0">
        <w:t xml:space="preserve">, </w:t>
      </w:r>
      <w:r w:rsidR="003061DB">
        <w:t>a marine underwriter</w:t>
      </w:r>
      <w:r w:rsidR="002D61B0">
        <w:t>,</w:t>
      </w:r>
      <w:r>
        <w:t xml:space="preserve"> knew </w:t>
      </w:r>
      <w:r w:rsidR="00865AFD">
        <w:t>‘</w:t>
      </w:r>
      <w:r>
        <w:t xml:space="preserve">virtually nothing’ about this area of </w:t>
      </w:r>
      <w:r w:rsidR="003061DB">
        <w:t>insurance</w:t>
      </w:r>
      <w:r w:rsidR="00BD218B">
        <w:t xml:space="preserve">, that </w:t>
      </w:r>
      <w:r w:rsidR="003061DB">
        <w:t>the</w:t>
      </w:r>
      <w:r w:rsidR="0045066C">
        <w:t xml:space="preserve"> premiums </w:t>
      </w:r>
      <w:r w:rsidR="003061DB">
        <w:t xml:space="preserve">he had charged were too low, </w:t>
      </w:r>
      <w:r w:rsidR="0045066C">
        <w:t xml:space="preserve">and </w:t>
      </w:r>
      <w:r w:rsidR="00966A71">
        <w:t xml:space="preserve">that </w:t>
      </w:r>
      <w:r w:rsidR="00784994">
        <w:t xml:space="preserve">he </w:t>
      </w:r>
      <w:r w:rsidR="0045066C">
        <w:t xml:space="preserve">had </w:t>
      </w:r>
      <w:r w:rsidR="00784994">
        <w:t xml:space="preserve">failed </w:t>
      </w:r>
      <w:r w:rsidR="00342DBF">
        <w:t xml:space="preserve">to </w:t>
      </w:r>
      <w:r w:rsidR="00784994">
        <w:t xml:space="preserve">take into account the </w:t>
      </w:r>
      <w:r w:rsidR="003061DB">
        <w:t>surge</w:t>
      </w:r>
      <w:r w:rsidR="00784994" w:rsidRPr="00E87295">
        <w:t xml:space="preserve"> in asbestos-related injury claims in the US </w:t>
      </w:r>
      <w:r w:rsidR="00784994">
        <w:t xml:space="preserve">at </w:t>
      </w:r>
      <w:r w:rsidR="00784994">
        <w:lastRenderedPageBreak/>
        <w:t xml:space="preserve">the time </w:t>
      </w:r>
      <w:r w:rsidR="00784994" w:rsidRPr="00E87295">
        <w:t xml:space="preserve">he wrote the policies. </w:t>
      </w:r>
      <w:r w:rsidR="00784994">
        <w:t xml:space="preserve">Lloyd’s </w:t>
      </w:r>
      <w:r w:rsidR="00342DBF">
        <w:t>investigated</w:t>
      </w:r>
      <w:r w:rsidR="00784994">
        <w:t>, but</w:t>
      </w:r>
      <w:r w:rsidR="00CA67AC">
        <w:t>,</w:t>
      </w:r>
      <w:r w:rsidR="00784994">
        <w:t xml:space="preserve"> </w:t>
      </w:r>
      <w:r w:rsidR="00966A71">
        <w:t>finding</w:t>
      </w:r>
      <w:r w:rsidR="00784994">
        <w:t xml:space="preserve"> no evidence of fraud, refused to take further action.</w:t>
      </w:r>
      <w:r w:rsidR="00F26349">
        <w:rPr>
          <w:rStyle w:val="EndnoteReference"/>
        </w:rPr>
        <w:endnoteReference w:id="40"/>
      </w:r>
      <w:r w:rsidR="00784994">
        <w:t xml:space="preserve"> </w:t>
      </w:r>
      <w:r w:rsidR="002D61B0">
        <w:t xml:space="preserve">Yet claims continued to </w:t>
      </w:r>
      <w:r w:rsidR="00966A71">
        <w:t xml:space="preserve">roll </w:t>
      </w:r>
      <w:r w:rsidR="002D61B0">
        <w:t>in on the 1982 account, so that it could not be closed. Outhwaite</w:t>
      </w:r>
      <w:r w:rsidR="003061DB">
        <w:t xml:space="preserve"> </w:t>
      </w:r>
      <w:r>
        <w:t>acted as a test case for suits against other syndicates.</w:t>
      </w:r>
      <w:r w:rsidR="00F26349">
        <w:rPr>
          <w:rStyle w:val="EndnoteReference"/>
        </w:rPr>
        <w:endnoteReference w:id="41"/>
      </w:r>
      <w:r w:rsidR="00F26349">
        <w:t xml:space="preserve"> </w:t>
      </w:r>
      <w:r>
        <w:t xml:space="preserve">After four months </w:t>
      </w:r>
      <w:r w:rsidR="00F26349">
        <w:t>at trial</w:t>
      </w:r>
      <w:r>
        <w:t xml:space="preserve"> the names settled out of court for £1</w:t>
      </w:r>
      <w:r w:rsidR="00966A71">
        <w:t>16</w:t>
      </w:r>
      <w:r>
        <w:t>m</w:t>
      </w:r>
      <w:r w:rsidR="00966A71">
        <w:t xml:space="preserve">, mostly paid for by the </w:t>
      </w:r>
      <w:r w:rsidR="00F02BF9">
        <w:t>E&amp;O policies</w:t>
      </w:r>
      <w:r w:rsidR="00966A71">
        <w:t>.</w:t>
      </w:r>
      <w:r w:rsidR="00F26349">
        <w:rPr>
          <w:rStyle w:val="EndnoteReference"/>
        </w:rPr>
        <w:endnoteReference w:id="42"/>
      </w:r>
      <w:r w:rsidR="00966A71">
        <w:t xml:space="preserve"> </w:t>
      </w:r>
    </w:p>
    <w:p w:rsidR="0055295C" w:rsidRDefault="0055295C" w:rsidP="0052756D">
      <w:pPr>
        <w:rPr>
          <w:b/>
        </w:rPr>
      </w:pPr>
    </w:p>
    <w:p w:rsidR="00217B67" w:rsidRDefault="003B77E6" w:rsidP="00841EB6">
      <w:r w:rsidRPr="003B77E6">
        <w:t>A</w:t>
      </w:r>
      <w:r w:rsidR="007A62DB">
        <w:t>nother</w:t>
      </w:r>
      <w:r w:rsidRPr="003B77E6">
        <w:t xml:space="preserve"> case concerned </w:t>
      </w:r>
      <w:r w:rsidR="000F7AB6">
        <w:t xml:space="preserve">the </w:t>
      </w:r>
      <w:r w:rsidRPr="008750A4">
        <w:t>syndicates</w:t>
      </w:r>
      <w:r w:rsidR="000F7AB6">
        <w:t xml:space="preserve"> </w:t>
      </w:r>
      <w:r w:rsidRPr="008750A4">
        <w:t>managed by Feltrim Underwriting Agencies</w:t>
      </w:r>
      <w:r w:rsidRPr="00B2219E">
        <w:t>, wh</w:t>
      </w:r>
      <w:r w:rsidR="00F72CCF">
        <w:t>ich</w:t>
      </w:r>
      <w:r w:rsidRPr="00B2219E">
        <w:t xml:space="preserve"> </w:t>
      </w:r>
      <w:r>
        <w:t xml:space="preserve">between </w:t>
      </w:r>
      <w:r w:rsidRPr="00B2219E">
        <w:t>1987</w:t>
      </w:r>
      <w:r>
        <w:t xml:space="preserve"> and 19</w:t>
      </w:r>
      <w:r w:rsidR="0052756D">
        <w:t>90</w:t>
      </w:r>
      <w:r>
        <w:t xml:space="preserve"> </w:t>
      </w:r>
      <w:r w:rsidR="00F72CCF">
        <w:t xml:space="preserve">ran up </w:t>
      </w:r>
      <w:r w:rsidR="0052756D">
        <w:t xml:space="preserve">$380m </w:t>
      </w:r>
      <w:r w:rsidRPr="00B2219E">
        <w:t xml:space="preserve">of losses </w:t>
      </w:r>
      <w:r w:rsidR="00F72CCF">
        <w:t xml:space="preserve">on </w:t>
      </w:r>
      <w:r w:rsidR="00704E84">
        <w:t>XL</w:t>
      </w:r>
      <w:r w:rsidRPr="00B2219E">
        <w:t xml:space="preserve"> </w:t>
      </w:r>
      <w:r>
        <w:t>re</w:t>
      </w:r>
      <w:r w:rsidRPr="00B2219E">
        <w:t xml:space="preserve">insurance </w:t>
      </w:r>
      <w:r>
        <w:t xml:space="preserve">of </w:t>
      </w:r>
      <w:r w:rsidR="0052756D">
        <w:t>catastrophe risks, such as hurricane damage</w:t>
      </w:r>
      <w:r w:rsidR="00B234F7">
        <w:t>.</w:t>
      </w:r>
      <w:r w:rsidR="0055295C">
        <w:rPr>
          <w:rStyle w:val="EndnoteReference"/>
        </w:rPr>
        <w:endnoteReference w:id="43"/>
      </w:r>
      <w:r w:rsidR="00B234F7">
        <w:t xml:space="preserve"> </w:t>
      </w:r>
      <w:r>
        <w:t xml:space="preserve">The average Feltrim </w:t>
      </w:r>
      <w:r w:rsidRPr="008750A4">
        <w:t>name</w:t>
      </w:r>
      <w:r w:rsidR="00F31145">
        <w:t>,</w:t>
      </w:r>
      <w:r w:rsidRPr="008750A4">
        <w:t xml:space="preserve"> who </w:t>
      </w:r>
      <w:r w:rsidR="00F31145">
        <w:t xml:space="preserve">had </w:t>
      </w:r>
      <w:r w:rsidRPr="008750A4">
        <w:t>committed £30,000</w:t>
      </w:r>
      <w:r w:rsidR="00F31145">
        <w:t>,</w:t>
      </w:r>
      <w:r w:rsidRPr="008750A4">
        <w:t xml:space="preserve"> face</w:t>
      </w:r>
      <w:r>
        <w:t xml:space="preserve">d a </w:t>
      </w:r>
      <w:r w:rsidRPr="008750A4">
        <w:t>loss of £160,000.</w:t>
      </w:r>
      <w:r w:rsidRPr="003B77E6">
        <w:t xml:space="preserve"> </w:t>
      </w:r>
      <w:r w:rsidR="0052756D">
        <w:t>After h</w:t>
      </w:r>
      <w:r w:rsidR="00F31145">
        <w:t>e resigned</w:t>
      </w:r>
      <w:r w:rsidR="0052756D">
        <w:t>, t</w:t>
      </w:r>
      <w:r>
        <w:t>he chief underwriter, Patrick Feltrim Fagan, admitted that the reinsurance</w:t>
      </w:r>
      <w:r w:rsidR="00C536A6">
        <w:t>s</w:t>
      </w:r>
      <w:r>
        <w:t xml:space="preserve"> </w:t>
      </w:r>
      <w:r w:rsidR="0052756D">
        <w:t xml:space="preserve">had been flawed, </w:t>
      </w:r>
      <w:r w:rsidR="0055295C">
        <w:t>yet</w:t>
      </w:r>
      <w:r w:rsidR="0052756D">
        <w:t xml:space="preserve"> </w:t>
      </w:r>
      <w:r w:rsidR="00431D5E">
        <w:t>his</w:t>
      </w:r>
      <w:r w:rsidR="0052756D">
        <w:t xml:space="preserve"> auditors, Arthur Andersen</w:t>
      </w:r>
      <w:r w:rsidR="00431D5E">
        <w:t>,</w:t>
      </w:r>
      <w:r w:rsidR="0052756D">
        <w:t xml:space="preserve"> had signed off the accounts and new names </w:t>
      </w:r>
      <w:r w:rsidR="00F72CCF">
        <w:t xml:space="preserve">continued to be recruited </w:t>
      </w:r>
      <w:r w:rsidR="0052756D">
        <w:t>through 1989.</w:t>
      </w:r>
      <w:r w:rsidR="00696A27">
        <w:rPr>
          <w:rStyle w:val="EndnoteReference"/>
        </w:rPr>
        <w:endnoteReference w:id="44"/>
      </w:r>
      <w:r w:rsidR="0052756D">
        <w:t xml:space="preserve"> </w:t>
      </w:r>
      <w:r w:rsidR="007E0D65">
        <w:t>Furthermore,</w:t>
      </w:r>
      <w:r w:rsidR="0052756D">
        <w:t xml:space="preserve"> Lloyd’s had withdrawn $24m from the capital of the </w:t>
      </w:r>
      <w:r w:rsidR="00F07E7C">
        <w:t xml:space="preserve">Feltrim </w:t>
      </w:r>
      <w:r w:rsidR="0052756D">
        <w:t xml:space="preserve">syndicates </w:t>
      </w:r>
      <w:r w:rsidR="00D23957">
        <w:t>to cover</w:t>
      </w:r>
      <w:r w:rsidR="0052756D" w:rsidRPr="00142079">
        <w:t xml:space="preserve"> the liabilities of the</w:t>
      </w:r>
      <w:r w:rsidR="00D23957">
        <w:t>ir</w:t>
      </w:r>
      <w:r w:rsidR="0052756D" w:rsidRPr="00142079">
        <w:t xml:space="preserve"> predecessors dating </w:t>
      </w:r>
      <w:r w:rsidR="0052756D">
        <w:t xml:space="preserve">back </w:t>
      </w:r>
      <w:r w:rsidR="0052756D" w:rsidRPr="00142079">
        <w:t>to 1983</w:t>
      </w:r>
      <w:r w:rsidR="00F07E7C">
        <w:t xml:space="preserve">, leaving only </w:t>
      </w:r>
      <w:r w:rsidR="0052756D">
        <w:t xml:space="preserve">$4m </w:t>
      </w:r>
      <w:r w:rsidR="00F07E7C">
        <w:t xml:space="preserve">of reserves </w:t>
      </w:r>
      <w:r w:rsidR="0052756D">
        <w:t>to meet</w:t>
      </w:r>
      <w:r w:rsidR="00C536A6">
        <w:t xml:space="preserve"> the vast</w:t>
      </w:r>
      <w:r w:rsidR="0052756D">
        <w:t xml:space="preserve"> claims and </w:t>
      </w:r>
      <w:r w:rsidR="00C536A6">
        <w:t>to</w:t>
      </w:r>
      <w:r w:rsidR="0052756D">
        <w:t xml:space="preserve"> reinsur</w:t>
      </w:r>
      <w:r w:rsidR="00C536A6">
        <w:t>e against future losses</w:t>
      </w:r>
      <w:r w:rsidR="0052756D">
        <w:t>.</w:t>
      </w:r>
      <w:r w:rsidR="00217B67">
        <w:rPr>
          <w:rStyle w:val="EndnoteReference"/>
        </w:rPr>
        <w:endnoteReference w:id="45"/>
      </w:r>
    </w:p>
    <w:p w:rsidR="00217B67" w:rsidRDefault="00217B67" w:rsidP="00841EB6"/>
    <w:p w:rsidR="00DA107A" w:rsidRDefault="00C43718" w:rsidP="00DA107A">
      <w:r>
        <w:t>A third major scandal involved the</w:t>
      </w:r>
      <w:r w:rsidR="00E60D9A">
        <w:t xml:space="preserve"> syndicates </w:t>
      </w:r>
      <w:r w:rsidR="00704E84">
        <w:t>managed by</w:t>
      </w:r>
      <w:r w:rsidR="00E60D9A">
        <w:t xml:space="preserve"> </w:t>
      </w:r>
      <w:r>
        <w:t xml:space="preserve">Anthony Gooda </w:t>
      </w:r>
      <w:r w:rsidR="00CB678C">
        <w:t>a</w:t>
      </w:r>
      <w:r w:rsidR="007451B7">
        <w:t>nd Derek Walker</w:t>
      </w:r>
      <w:r>
        <w:t xml:space="preserve">, which </w:t>
      </w:r>
      <w:r w:rsidR="00552CA0">
        <w:t>lost</w:t>
      </w:r>
      <w:r>
        <w:t xml:space="preserve"> more than $1.7bn</w:t>
      </w:r>
      <w:r w:rsidR="00CB678C">
        <w:t xml:space="preserve"> </w:t>
      </w:r>
      <w:r>
        <w:t xml:space="preserve">in </w:t>
      </w:r>
      <w:r w:rsidR="00704E84">
        <w:t xml:space="preserve">writing XL </w:t>
      </w:r>
      <w:r>
        <w:t>reinsurance.</w:t>
      </w:r>
      <w:r w:rsidR="00CA67AC" w:rsidRPr="00CA67AC">
        <w:rPr>
          <w:rStyle w:val="EndnoteReference"/>
        </w:rPr>
        <w:t xml:space="preserve"> </w:t>
      </w:r>
      <w:r w:rsidR="00CA67AC">
        <w:rPr>
          <w:rStyle w:val="EndnoteReference"/>
        </w:rPr>
        <w:endnoteReference w:id="46"/>
      </w:r>
      <w:r w:rsidR="00CA67AC">
        <w:t xml:space="preserve"> </w:t>
      </w:r>
      <w:r w:rsidR="00EE73C5">
        <w:t xml:space="preserve">Lloyd’s commissioned </w:t>
      </w:r>
      <w:r w:rsidR="00CA67AC">
        <w:t xml:space="preserve">separate </w:t>
      </w:r>
      <w:r w:rsidR="00EE73C5">
        <w:t xml:space="preserve">reports into this and Feltrim. </w:t>
      </w:r>
      <w:r w:rsidR="00EE73C5" w:rsidRPr="00D30FA3">
        <w:t>Both reach</w:t>
      </w:r>
      <w:r w:rsidR="00EE73C5">
        <w:t>ed the same</w:t>
      </w:r>
      <w:r w:rsidR="00EE73C5" w:rsidRPr="00D30FA3">
        <w:t xml:space="preserve"> conclusions</w:t>
      </w:r>
      <w:r w:rsidR="00EE73C5">
        <w:t xml:space="preserve">: </w:t>
      </w:r>
      <w:r w:rsidR="00847AEE">
        <w:t>first, that</w:t>
      </w:r>
      <w:r w:rsidR="00EE73C5">
        <w:t xml:space="preserve"> </w:t>
      </w:r>
      <w:r w:rsidR="00847AEE">
        <w:t>members’</w:t>
      </w:r>
      <w:r w:rsidR="00EE73C5" w:rsidRPr="00D30FA3">
        <w:t xml:space="preserve"> agents </w:t>
      </w:r>
      <w:r w:rsidR="00847AEE">
        <w:t xml:space="preserve">had </w:t>
      </w:r>
      <w:r w:rsidR="00EE73C5" w:rsidRPr="00D30FA3">
        <w:t>failed to look after their names</w:t>
      </w:r>
      <w:r w:rsidR="00E92D2B">
        <w:t>’</w:t>
      </w:r>
      <w:r w:rsidR="00EE73C5" w:rsidRPr="00D30FA3">
        <w:t xml:space="preserve"> interests</w:t>
      </w:r>
      <w:r w:rsidR="00847AEE">
        <w:t xml:space="preserve">; second, that </w:t>
      </w:r>
      <w:r w:rsidR="00EE73C5" w:rsidRPr="00D30FA3">
        <w:t>managing agents were incompetent and uninformed</w:t>
      </w:r>
      <w:r w:rsidR="00847AEE">
        <w:t>; third, that</w:t>
      </w:r>
      <w:r w:rsidR="00EE73C5">
        <w:t xml:space="preserve"> the </w:t>
      </w:r>
      <w:r w:rsidR="00EE73C5" w:rsidRPr="00D30FA3">
        <w:t>underwriters</w:t>
      </w:r>
      <w:r w:rsidR="00847AEE">
        <w:t xml:space="preserve"> </w:t>
      </w:r>
      <w:r w:rsidR="00EE73C5" w:rsidRPr="00D30FA3">
        <w:t xml:space="preserve">did not understand </w:t>
      </w:r>
      <w:r w:rsidR="006664F6">
        <w:t>XL</w:t>
      </w:r>
      <w:r w:rsidR="00EE73C5" w:rsidRPr="00D30FA3">
        <w:t xml:space="preserve"> catastrophe </w:t>
      </w:r>
      <w:r w:rsidR="00847AEE">
        <w:t>re</w:t>
      </w:r>
      <w:r w:rsidR="00EE73C5" w:rsidRPr="00D30FA3">
        <w:t>insurance</w:t>
      </w:r>
      <w:r w:rsidR="00847AEE">
        <w:t xml:space="preserve"> and</w:t>
      </w:r>
      <w:r w:rsidR="00EE73C5" w:rsidRPr="00D30FA3">
        <w:t xml:space="preserve"> </w:t>
      </w:r>
      <w:r w:rsidR="00CF24B8">
        <w:t xml:space="preserve">had </w:t>
      </w:r>
      <w:r w:rsidR="00EE73C5" w:rsidRPr="00D30FA3">
        <w:t xml:space="preserve">made a mess of </w:t>
      </w:r>
      <w:r w:rsidR="00847AEE">
        <w:t xml:space="preserve">it. </w:t>
      </w:r>
      <w:r w:rsidR="00EE73C5" w:rsidRPr="00D30FA3">
        <w:t xml:space="preserve">The most serious charge </w:t>
      </w:r>
      <w:r w:rsidR="00EE73C5">
        <w:t>was</w:t>
      </w:r>
      <w:r w:rsidR="00EE73C5" w:rsidRPr="00D30FA3">
        <w:t xml:space="preserve"> that </w:t>
      </w:r>
      <w:r w:rsidR="00EE73C5">
        <w:t>insiders</w:t>
      </w:r>
      <w:r w:rsidR="00EE73C5" w:rsidRPr="00D30FA3">
        <w:t xml:space="preserve"> knew things were going wrong and took advantage of </w:t>
      </w:r>
      <w:r w:rsidR="00EE73C5">
        <w:t>this</w:t>
      </w:r>
      <w:r w:rsidR="00847AEE">
        <w:t xml:space="preserve"> by </w:t>
      </w:r>
      <w:r w:rsidR="00EE73C5" w:rsidRPr="00D30FA3">
        <w:t>dump</w:t>
      </w:r>
      <w:r w:rsidR="00847AEE">
        <w:t>ing</w:t>
      </w:r>
      <w:r w:rsidR="00EE73C5" w:rsidRPr="00D30FA3">
        <w:t xml:space="preserve"> their worst risks on to the stricken syndicates at absurdly low rates.</w:t>
      </w:r>
      <w:r w:rsidR="00847AEE">
        <w:rPr>
          <w:rStyle w:val="EndnoteReference"/>
        </w:rPr>
        <w:endnoteReference w:id="47"/>
      </w:r>
      <w:r w:rsidR="00EE73C5">
        <w:t xml:space="preserve"> </w:t>
      </w:r>
      <w:r w:rsidR="00E60D9A">
        <w:t xml:space="preserve">In 1993 </w:t>
      </w:r>
      <w:r w:rsidR="001C5850">
        <w:t>the a</w:t>
      </w:r>
      <w:r w:rsidR="00E60D9A">
        <w:t xml:space="preserve">dministrators of Gooda Walker revealed </w:t>
      </w:r>
      <w:r w:rsidR="00E60D9A" w:rsidRPr="00B2219E">
        <w:t>that staff-bonuses and company cars were being improperly charged to names as late as 1991</w:t>
      </w:r>
      <w:r w:rsidR="001C5850">
        <w:t>,</w:t>
      </w:r>
      <w:r w:rsidR="00E60D9A">
        <w:t xml:space="preserve"> </w:t>
      </w:r>
      <w:r w:rsidR="00E60D9A" w:rsidRPr="00B2219E">
        <w:t xml:space="preserve">shortly before </w:t>
      </w:r>
      <w:r w:rsidR="00E60D9A">
        <w:t>it</w:t>
      </w:r>
      <w:r w:rsidR="00E60D9A" w:rsidRPr="00B2219E">
        <w:t xml:space="preserve"> went bus</w:t>
      </w:r>
      <w:r w:rsidR="003F02AE">
        <w:t xml:space="preserve">t. </w:t>
      </w:r>
      <w:r w:rsidR="001847FF">
        <w:t>T</w:t>
      </w:r>
      <w:r w:rsidR="00E60D9A" w:rsidRPr="00FF1D2E">
        <w:t xml:space="preserve">he House of Lords ruled that </w:t>
      </w:r>
      <w:r w:rsidR="00E60D9A">
        <w:t>a</w:t>
      </w:r>
      <w:r w:rsidR="00E60D9A" w:rsidRPr="00FF1D2E">
        <w:t xml:space="preserve"> 3,100-strong </w:t>
      </w:r>
      <w:r w:rsidR="00CF24B8">
        <w:t>names’</w:t>
      </w:r>
      <w:r w:rsidR="00E60D9A" w:rsidRPr="00FF1D2E">
        <w:t xml:space="preserve"> action group could sue </w:t>
      </w:r>
      <w:r w:rsidR="00CB678C">
        <w:t xml:space="preserve">Gooda, Walker and </w:t>
      </w:r>
      <w:r w:rsidR="00E60D9A" w:rsidRPr="00FF1D2E">
        <w:t>71 members</w:t>
      </w:r>
      <w:r w:rsidR="0079189D">
        <w:t>’</w:t>
      </w:r>
      <w:r w:rsidR="00E60D9A" w:rsidRPr="00FF1D2E">
        <w:t xml:space="preserve"> agents</w:t>
      </w:r>
      <w:r w:rsidR="00EA2B94">
        <w:t>.</w:t>
      </w:r>
      <w:r w:rsidR="003F02AE">
        <w:rPr>
          <w:rStyle w:val="EndnoteReference"/>
        </w:rPr>
        <w:endnoteReference w:id="48"/>
      </w:r>
      <w:r w:rsidR="003F02AE">
        <w:t xml:space="preserve"> </w:t>
      </w:r>
      <w:r w:rsidR="000E656B">
        <w:t>The</w:t>
      </w:r>
      <w:r w:rsidR="003F02AE" w:rsidRPr="003F02AE">
        <w:t xml:space="preserve"> </w:t>
      </w:r>
      <w:r w:rsidR="00E60D9A" w:rsidRPr="003F02AE">
        <w:t>names a</w:t>
      </w:r>
      <w:r w:rsidR="004E5465">
        <w:t>lleged</w:t>
      </w:r>
      <w:r w:rsidR="00E60D9A" w:rsidRPr="003F02AE">
        <w:t xml:space="preserve"> that the syndicates had appalling record-keeping and information systems</w:t>
      </w:r>
      <w:r w:rsidR="003F02AE">
        <w:t xml:space="preserve"> and </w:t>
      </w:r>
      <w:r w:rsidR="00E60D9A" w:rsidRPr="003F02AE">
        <w:t>that they had displayed spectacular incompetence by breaching the cardinal principle that risks should be spread, not concentrated.</w:t>
      </w:r>
      <w:r w:rsidR="003F02AE" w:rsidRPr="00DA107A">
        <w:rPr>
          <w:rStyle w:val="EndnoteReference"/>
        </w:rPr>
        <w:endnoteReference w:id="49"/>
      </w:r>
      <w:r w:rsidR="00E60D9A" w:rsidRPr="00DA107A">
        <w:t xml:space="preserve"> </w:t>
      </w:r>
      <w:r w:rsidR="00E255AA">
        <w:t>F</w:t>
      </w:r>
      <w:r w:rsidR="00CB678C" w:rsidRPr="00DA107A">
        <w:t>ormer Gooda Walker underwriters</w:t>
      </w:r>
      <w:r w:rsidR="00E255AA">
        <w:t xml:space="preserve"> testified</w:t>
      </w:r>
      <w:r w:rsidR="00CB678C" w:rsidRPr="00DA107A">
        <w:t xml:space="preserve"> that the</w:t>
      </w:r>
      <w:r w:rsidR="00E255AA">
        <w:t>ir</w:t>
      </w:r>
      <w:r w:rsidR="00CB678C" w:rsidRPr="00DA107A">
        <w:t xml:space="preserve"> directors had encouraged </w:t>
      </w:r>
      <w:r w:rsidR="00C62999" w:rsidRPr="00DA107A">
        <w:t xml:space="preserve">the losses </w:t>
      </w:r>
      <w:r w:rsidR="00CB678C" w:rsidRPr="00DA107A">
        <w:t>to be covered up.</w:t>
      </w:r>
      <w:r w:rsidR="00C62999" w:rsidRPr="00DA107A">
        <w:rPr>
          <w:rStyle w:val="EndnoteReference"/>
        </w:rPr>
        <w:endnoteReference w:id="50"/>
      </w:r>
      <w:r w:rsidR="00CB678C" w:rsidRPr="00DA107A">
        <w:t xml:space="preserve"> </w:t>
      </w:r>
      <w:r w:rsidR="00DA107A">
        <w:t xml:space="preserve">An expert witness, </w:t>
      </w:r>
      <w:r w:rsidR="00534E77">
        <w:t>Ulrich v</w:t>
      </w:r>
      <w:r w:rsidR="00DA107A">
        <w:t xml:space="preserve">on Eicken, a former </w:t>
      </w:r>
      <w:r w:rsidR="00E255AA">
        <w:t xml:space="preserve">Munich Re </w:t>
      </w:r>
      <w:r w:rsidR="00534E77">
        <w:t>executive</w:t>
      </w:r>
      <w:r w:rsidR="00DA107A">
        <w:t xml:space="preserve">, </w:t>
      </w:r>
      <w:r w:rsidR="000F141D">
        <w:t>claimed</w:t>
      </w:r>
      <w:r w:rsidR="00DA107A">
        <w:t xml:space="preserve"> that Good</w:t>
      </w:r>
      <w:r w:rsidR="006726DF">
        <w:t>a</w:t>
      </w:r>
      <w:r w:rsidR="00DA107A">
        <w:t xml:space="preserve"> Walker had failed to write a balanced book of business, had failed to calculate and reinsure their exposure, and had failed properly to rate the business they wrote. </w:t>
      </w:r>
      <w:r w:rsidR="00E255AA">
        <w:t>I</w:t>
      </w:r>
      <w:r w:rsidR="00DA107A">
        <w:t>t was an ‘aberration of catastrophe excess of loss business and sh</w:t>
      </w:r>
      <w:r w:rsidR="00F37E6F">
        <w:t>ould</w:t>
      </w:r>
      <w:r w:rsidR="00DA107A">
        <w:t xml:space="preserve"> probably not have been touched by anybody’.</w:t>
      </w:r>
      <w:r w:rsidR="00F37E6F">
        <w:rPr>
          <w:rStyle w:val="EndnoteReference"/>
        </w:rPr>
        <w:endnoteReference w:id="51"/>
      </w:r>
      <w:r w:rsidR="00F37E6F">
        <w:t xml:space="preserve"> </w:t>
      </w:r>
      <w:r w:rsidR="00E255AA">
        <w:rPr>
          <w:color w:val="000000"/>
        </w:rPr>
        <w:t>The trial judge,</w:t>
      </w:r>
      <w:r w:rsidR="00674C82">
        <w:rPr>
          <w:color w:val="000000"/>
        </w:rPr>
        <w:t xml:space="preserve"> </w:t>
      </w:r>
      <w:r w:rsidR="00CB678C" w:rsidRPr="00DA107A">
        <w:t>Mr Justice Phillips</w:t>
      </w:r>
      <w:r w:rsidR="00E255AA">
        <w:t>,</w:t>
      </w:r>
      <w:r w:rsidR="00CB678C" w:rsidRPr="00DA107A">
        <w:t xml:space="preserve"> </w:t>
      </w:r>
      <w:r w:rsidR="00DA107A">
        <w:t xml:space="preserve">ruled </w:t>
      </w:r>
      <w:r w:rsidR="00CB678C" w:rsidRPr="00DA107A">
        <w:t xml:space="preserve">that </w:t>
      </w:r>
      <w:r w:rsidR="0099197D" w:rsidRPr="00DA107A">
        <w:t xml:space="preserve">Gooda Walker </w:t>
      </w:r>
      <w:r w:rsidR="00CB678C" w:rsidRPr="00DA107A">
        <w:t xml:space="preserve">had been negligent </w:t>
      </w:r>
      <w:r w:rsidR="002D63A6">
        <w:t xml:space="preserve">and </w:t>
      </w:r>
      <w:r w:rsidR="00CB678C" w:rsidRPr="00DA107A">
        <w:t xml:space="preserve">that </w:t>
      </w:r>
      <w:r w:rsidR="0099197D">
        <w:t xml:space="preserve">it </w:t>
      </w:r>
      <w:r w:rsidR="00E255AA">
        <w:t>owed</w:t>
      </w:r>
      <w:r w:rsidR="00CB678C" w:rsidRPr="00DA107A">
        <w:t xml:space="preserve"> a duty of care t</w:t>
      </w:r>
      <w:r w:rsidR="00E255AA">
        <w:t xml:space="preserve">o all </w:t>
      </w:r>
      <w:r w:rsidR="00CF24B8">
        <w:t xml:space="preserve">its </w:t>
      </w:r>
      <w:r w:rsidR="00E255AA">
        <w:t>names</w:t>
      </w:r>
      <w:r w:rsidR="00DA107A" w:rsidRPr="00DA107A">
        <w:t>.</w:t>
      </w:r>
      <w:r w:rsidR="00F37E6F">
        <w:rPr>
          <w:rStyle w:val="EndnoteReference"/>
        </w:rPr>
        <w:endnoteReference w:id="52"/>
      </w:r>
    </w:p>
    <w:p w:rsidR="00CB678C" w:rsidRPr="00DA107A" w:rsidRDefault="00CB678C" w:rsidP="00CB678C"/>
    <w:p w:rsidR="003A7ABD" w:rsidRDefault="00313CBA" w:rsidP="00273BFE">
      <w:r w:rsidRPr="00313CBA">
        <w:t xml:space="preserve">This new generation of scandals was on a scale vastly greater than </w:t>
      </w:r>
      <w:r w:rsidR="00F87D7D">
        <w:t xml:space="preserve">the </w:t>
      </w:r>
      <w:r w:rsidRPr="00313CBA">
        <w:t xml:space="preserve">earlier frauds. </w:t>
      </w:r>
      <w:r w:rsidR="003214DB" w:rsidRPr="003214DB">
        <w:rPr>
          <w:rStyle w:val="verdana1"/>
          <w:rFonts w:ascii="Times New Roman" w:hAnsi="Times New Roman"/>
          <w:color w:val="000000"/>
        </w:rPr>
        <w:t xml:space="preserve">The scale derived from </w:t>
      </w:r>
      <w:r w:rsidR="00ED13C3">
        <w:rPr>
          <w:rStyle w:val="verdana1"/>
          <w:rFonts w:ascii="Times New Roman" w:hAnsi="Times New Roman"/>
          <w:color w:val="000000"/>
        </w:rPr>
        <w:t xml:space="preserve">the large number of names involved, </w:t>
      </w:r>
      <w:r w:rsidR="003214DB">
        <w:rPr>
          <w:rStyle w:val="verdana1"/>
          <w:rFonts w:ascii="Times New Roman" w:hAnsi="Times New Roman"/>
          <w:color w:val="000000"/>
        </w:rPr>
        <w:t xml:space="preserve">the long-tail nature of the asbestos and </w:t>
      </w:r>
      <w:r w:rsidR="00AA4366">
        <w:rPr>
          <w:rStyle w:val="verdana1"/>
          <w:rFonts w:ascii="Times New Roman" w:hAnsi="Times New Roman"/>
          <w:color w:val="000000"/>
        </w:rPr>
        <w:t xml:space="preserve">industrial </w:t>
      </w:r>
      <w:r w:rsidR="003214DB">
        <w:rPr>
          <w:rStyle w:val="verdana1"/>
          <w:rFonts w:ascii="Times New Roman" w:hAnsi="Times New Roman"/>
          <w:color w:val="000000"/>
        </w:rPr>
        <w:t xml:space="preserve">pollution risks generating </w:t>
      </w:r>
      <w:r w:rsidR="00A72D95">
        <w:rPr>
          <w:rStyle w:val="verdana1"/>
          <w:rFonts w:ascii="Times New Roman" w:hAnsi="Times New Roman"/>
          <w:color w:val="000000"/>
        </w:rPr>
        <w:t>many</w:t>
      </w:r>
      <w:r w:rsidR="003214DB">
        <w:rPr>
          <w:rStyle w:val="verdana1"/>
          <w:rFonts w:ascii="Times New Roman" w:hAnsi="Times New Roman"/>
          <w:color w:val="000000"/>
        </w:rPr>
        <w:t xml:space="preserve"> of the losses, the enormous upsurge in catastrophe</w:t>
      </w:r>
      <w:r w:rsidR="00DB7555">
        <w:rPr>
          <w:rStyle w:val="verdana1"/>
          <w:rFonts w:ascii="Times New Roman" w:hAnsi="Times New Roman"/>
          <w:color w:val="000000"/>
        </w:rPr>
        <w:t xml:space="preserve"> losse</w:t>
      </w:r>
      <w:r w:rsidR="00A72D95">
        <w:rPr>
          <w:rStyle w:val="verdana1"/>
          <w:rFonts w:ascii="Times New Roman" w:hAnsi="Times New Roman"/>
          <w:color w:val="000000"/>
        </w:rPr>
        <w:t>s d</w:t>
      </w:r>
      <w:r w:rsidR="003214DB">
        <w:rPr>
          <w:rStyle w:val="verdana1"/>
          <w:rFonts w:ascii="Times New Roman" w:hAnsi="Times New Roman"/>
          <w:color w:val="000000"/>
        </w:rPr>
        <w:t xml:space="preserve">uring the later 1980s, and the spiral </w:t>
      </w:r>
      <w:r w:rsidR="00911594">
        <w:rPr>
          <w:rStyle w:val="verdana1"/>
          <w:rFonts w:ascii="Times New Roman" w:hAnsi="Times New Roman"/>
          <w:color w:val="000000"/>
        </w:rPr>
        <w:t xml:space="preserve">of liabilities </w:t>
      </w:r>
      <w:r w:rsidR="003214DB">
        <w:rPr>
          <w:rStyle w:val="verdana1"/>
          <w:rFonts w:ascii="Times New Roman" w:hAnsi="Times New Roman"/>
          <w:color w:val="000000"/>
        </w:rPr>
        <w:t xml:space="preserve">that the writing of </w:t>
      </w:r>
      <w:r w:rsidR="00DB7555">
        <w:rPr>
          <w:rStyle w:val="verdana1"/>
          <w:rFonts w:ascii="Times New Roman" w:hAnsi="Times New Roman"/>
          <w:color w:val="000000"/>
        </w:rPr>
        <w:t>XL</w:t>
      </w:r>
      <w:r w:rsidR="003214DB">
        <w:rPr>
          <w:rStyle w:val="verdana1"/>
          <w:rFonts w:ascii="Times New Roman" w:hAnsi="Times New Roman"/>
          <w:color w:val="000000"/>
        </w:rPr>
        <w:t xml:space="preserve"> reinsurance produced across the market. </w:t>
      </w:r>
      <w:r w:rsidR="00A72D95">
        <w:t xml:space="preserve">Asbestosis and pollution </w:t>
      </w:r>
      <w:r w:rsidR="00911594">
        <w:t>claims</w:t>
      </w:r>
      <w:r w:rsidR="00A72D95">
        <w:t xml:space="preserve"> in the US, which had concern</w:t>
      </w:r>
      <w:r w:rsidR="00DB7555">
        <w:t>ed</w:t>
      </w:r>
      <w:r w:rsidR="00A72D95">
        <w:t xml:space="preserve"> some at Lloyd’s in the late 1</w:t>
      </w:r>
      <w:r w:rsidR="00911594">
        <w:t>960s, began to pour in</w:t>
      </w:r>
      <w:r w:rsidR="00A72D95">
        <w:t>,</w:t>
      </w:r>
      <w:r w:rsidR="00A72D95" w:rsidRPr="009B2407">
        <w:t xml:space="preserve"> </w:t>
      </w:r>
      <w:r w:rsidR="00A72D95">
        <w:t>some on policies dating as far back as the 19</w:t>
      </w:r>
      <w:r w:rsidR="00B406DF">
        <w:t>3</w:t>
      </w:r>
      <w:r w:rsidR="00A72D95">
        <w:t>0s.</w:t>
      </w:r>
      <w:r w:rsidR="00B406DF">
        <w:rPr>
          <w:rStyle w:val="EndnoteReference"/>
        </w:rPr>
        <w:endnoteReference w:id="53"/>
      </w:r>
      <w:r w:rsidR="00DB7555">
        <w:t xml:space="preserve"> </w:t>
      </w:r>
      <w:r w:rsidR="00273BFE" w:rsidRPr="003A7ABD">
        <w:t>By 1982 US asbestos</w:t>
      </w:r>
      <w:r w:rsidR="00DB7555">
        <w:t>is</w:t>
      </w:r>
      <w:r w:rsidR="00273BFE" w:rsidRPr="003A7ABD">
        <w:t xml:space="preserve"> claims </w:t>
      </w:r>
      <w:r w:rsidR="00911594">
        <w:t xml:space="preserve">alone </w:t>
      </w:r>
      <w:r w:rsidR="00273BFE">
        <w:t xml:space="preserve">were </w:t>
      </w:r>
      <w:r w:rsidR="00273BFE" w:rsidRPr="005D1470">
        <w:t xml:space="preserve">estimated </w:t>
      </w:r>
      <w:r w:rsidR="00290424">
        <w:t>at</w:t>
      </w:r>
      <w:r w:rsidR="00273BFE">
        <w:t xml:space="preserve"> $100bn.  </w:t>
      </w:r>
      <w:r w:rsidR="00273BFE" w:rsidRPr="005D1470">
        <w:t xml:space="preserve">One US corporation, Manville, filed for bankruptcy because of </w:t>
      </w:r>
      <w:r w:rsidR="00273BFE">
        <w:t xml:space="preserve">thousands </w:t>
      </w:r>
      <w:r w:rsidR="00273BFE" w:rsidRPr="005D1470">
        <w:t>of lawsuits</w:t>
      </w:r>
      <w:r w:rsidR="00273BFE">
        <w:t xml:space="preserve"> and sought $5bn</w:t>
      </w:r>
      <w:r w:rsidR="00273BFE" w:rsidRPr="00273BFE">
        <w:t xml:space="preserve"> </w:t>
      </w:r>
      <w:r w:rsidR="00273BFE" w:rsidRPr="005D1470">
        <w:t>from its insurers</w:t>
      </w:r>
      <w:r w:rsidR="00273BFE">
        <w:t xml:space="preserve">, including </w:t>
      </w:r>
      <w:r w:rsidR="003A7ABD">
        <w:t>some at Lloyd’s,</w:t>
      </w:r>
      <w:r w:rsidR="00273BFE" w:rsidRPr="005D1470">
        <w:t xml:space="preserve"> </w:t>
      </w:r>
      <w:r w:rsidR="00273BFE">
        <w:t>to meet</w:t>
      </w:r>
      <w:r w:rsidR="00273BFE" w:rsidRPr="005D1470">
        <w:t xml:space="preserve"> claims.</w:t>
      </w:r>
      <w:r w:rsidR="00AA4366">
        <w:rPr>
          <w:rStyle w:val="EndnoteReference"/>
        </w:rPr>
        <w:endnoteReference w:id="54"/>
      </w:r>
      <w:r w:rsidR="00273BFE">
        <w:t xml:space="preserve"> </w:t>
      </w:r>
      <w:r w:rsidR="00273BFE" w:rsidRPr="005D1470">
        <w:t xml:space="preserve">Following Manville’s bankruptcy, </w:t>
      </w:r>
      <w:r w:rsidR="00383889">
        <w:t xml:space="preserve">the </w:t>
      </w:r>
      <w:r w:rsidR="00273BFE" w:rsidRPr="005D1470">
        <w:t xml:space="preserve">UK’s biggest asbestos </w:t>
      </w:r>
      <w:r w:rsidR="00AA4366">
        <w:t>producer</w:t>
      </w:r>
      <w:r w:rsidR="00273BFE" w:rsidRPr="005D1470">
        <w:t xml:space="preserve">, Turner &amp; Newell admitted </w:t>
      </w:r>
      <w:r w:rsidR="00383889">
        <w:t xml:space="preserve">that </w:t>
      </w:r>
      <w:r w:rsidR="00273BFE" w:rsidRPr="005D1470">
        <w:t>it was involved in ab</w:t>
      </w:r>
      <w:r w:rsidR="003A7ABD">
        <w:t>out</w:t>
      </w:r>
      <w:r w:rsidR="00273BFE" w:rsidRPr="005D1470">
        <w:t xml:space="preserve"> 1000 asbestosis claims, </w:t>
      </w:r>
      <w:r w:rsidR="003A7ABD">
        <w:t xml:space="preserve">though many were dismissed without payment and average settlements were </w:t>
      </w:r>
      <w:r w:rsidR="00DB7555">
        <w:t>small.</w:t>
      </w:r>
      <w:r w:rsidR="00AA4366">
        <w:rPr>
          <w:rStyle w:val="EndnoteReference"/>
        </w:rPr>
        <w:endnoteReference w:id="55"/>
      </w:r>
      <w:r w:rsidR="003A7ABD">
        <w:t xml:space="preserve"> In contrast to the generosity </w:t>
      </w:r>
      <w:r w:rsidR="00290424">
        <w:t xml:space="preserve">of US courts, </w:t>
      </w:r>
      <w:r w:rsidR="003A7ABD">
        <w:t>l</w:t>
      </w:r>
      <w:r w:rsidR="003A7ABD" w:rsidRPr="005D1470">
        <w:t xml:space="preserve">ow levels of </w:t>
      </w:r>
      <w:r w:rsidR="003A7ABD" w:rsidRPr="005D1470">
        <w:lastRenderedPageBreak/>
        <w:t xml:space="preserve">compensation </w:t>
      </w:r>
      <w:r w:rsidR="003A7ABD">
        <w:t>paid to victims in the UK meant t</w:t>
      </w:r>
      <w:r w:rsidR="003A7ABD" w:rsidRPr="005D1470">
        <w:t>hat as late as 1982 Turner &amp; Newell still did</w:t>
      </w:r>
      <w:r w:rsidR="003A7ABD">
        <w:t xml:space="preserve"> </w:t>
      </w:r>
      <w:r w:rsidR="003A7ABD" w:rsidRPr="005D1470">
        <w:t>n</w:t>
      </w:r>
      <w:r w:rsidR="003A7ABD">
        <w:t>o</w:t>
      </w:r>
      <w:r w:rsidR="003A7ABD" w:rsidRPr="005D1470">
        <w:t xml:space="preserve">t insure </w:t>
      </w:r>
      <w:r w:rsidR="003A7ABD">
        <w:t xml:space="preserve">against </w:t>
      </w:r>
      <w:r w:rsidR="003A7ABD" w:rsidRPr="005D1470">
        <w:t>asbestosis claims</w:t>
      </w:r>
      <w:r w:rsidR="003A7ABD">
        <w:t>.</w:t>
      </w:r>
      <w:r w:rsidR="00640D24">
        <w:rPr>
          <w:rStyle w:val="EndnoteReference"/>
        </w:rPr>
        <w:endnoteReference w:id="56"/>
      </w:r>
    </w:p>
    <w:p w:rsidR="00AA4366" w:rsidRDefault="00AA4366" w:rsidP="00AA4366"/>
    <w:p w:rsidR="00AF18FF" w:rsidRDefault="00684A29" w:rsidP="005B50FD">
      <w:r>
        <w:t xml:space="preserve">These long-tail </w:t>
      </w:r>
      <w:r w:rsidR="00AA4366">
        <w:t xml:space="preserve">liabilities </w:t>
      </w:r>
      <w:r>
        <w:t xml:space="preserve">were </w:t>
      </w:r>
      <w:r w:rsidR="00AA4366">
        <w:t>com</w:t>
      </w:r>
      <w:r>
        <w:t>p</w:t>
      </w:r>
      <w:r w:rsidR="00AA4366">
        <w:t xml:space="preserve">ounded by </w:t>
      </w:r>
      <w:r w:rsidR="00DB7555">
        <w:t>an</w:t>
      </w:r>
      <w:r w:rsidR="00AA4366">
        <w:t xml:space="preserve"> upsurge in </w:t>
      </w:r>
      <w:r>
        <w:t>large catastrophe</w:t>
      </w:r>
      <w:r w:rsidR="00DB7555">
        <w:t xml:space="preserve"> losses</w:t>
      </w:r>
      <w:r>
        <w:t xml:space="preserve">, including </w:t>
      </w:r>
      <w:r w:rsidR="00DB7555">
        <w:t xml:space="preserve">those from </w:t>
      </w:r>
      <w:r w:rsidR="00AA4366">
        <w:t>storm</w:t>
      </w:r>
      <w:r w:rsidR="00DB7555">
        <w:t>s</w:t>
      </w:r>
      <w:r w:rsidR="0063581D">
        <w:t xml:space="preserve">, earthquakes, hurricanes, </w:t>
      </w:r>
      <w:r>
        <w:t xml:space="preserve">the </w:t>
      </w:r>
      <w:r w:rsidR="00AA4366">
        <w:t xml:space="preserve">Piper Alpha </w:t>
      </w:r>
      <w:r>
        <w:t xml:space="preserve">oil platform </w:t>
      </w:r>
      <w:r w:rsidR="0063581D">
        <w:t xml:space="preserve">explosion, </w:t>
      </w:r>
      <w:r>
        <w:t xml:space="preserve">the </w:t>
      </w:r>
      <w:r w:rsidR="00AA4366">
        <w:t xml:space="preserve">Exxon Valdez </w:t>
      </w:r>
      <w:r>
        <w:t xml:space="preserve">tanker </w:t>
      </w:r>
      <w:r w:rsidR="00AA4366">
        <w:t>spill</w:t>
      </w:r>
      <w:r w:rsidR="0063581D">
        <w:t xml:space="preserve">, </w:t>
      </w:r>
      <w:r>
        <w:t xml:space="preserve">and the Gulf war </w:t>
      </w:r>
      <w:r w:rsidR="003F1E5D">
        <w:t>of</w:t>
      </w:r>
      <w:r>
        <w:t xml:space="preserve"> 199</w:t>
      </w:r>
      <w:r w:rsidR="00F80D5E">
        <w:t>0-1</w:t>
      </w:r>
      <w:r>
        <w:t>.</w:t>
      </w:r>
      <w:r w:rsidR="005E6B67">
        <w:rPr>
          <w:rStyle w:val="EndnoteReference"/>
        </w:rPr>
        <w:endnoteReference w:id="57"/>
      </w:r>
      <w:r>
        <w:t xml:space="preserve"> </w:t>
      </w:r>
      <w:r w:rsidR="003445E8">
        <w:t>A</w:t>
      </w:r>
      <w:r w:rsidR="005E6B67">
        <w:t xml:space="preserve">s new names flooded into the market, underwriters increasingly competed for </w:t>
      </w:r>
      <w:r w:rsidR="003445E8">
        <w:t xml:space="preserve">catastrophe </w:t>
      </w:r>
      <w:r w:rsidR="005E6B67">
        <w:t xml:space="preserve">business and more syndicates </w:t>
      </w:r>
      <w:r w:rsidR="003445E8">
        <w:t>like</w:t>
      </w:r>
      <w:r w:rsidR="005E6B67">
        <w:t xml:space="preserve"> </w:t>
      </w:r>
      <w:r w:rsidR="003445E8">
        <w:t xml:space="preserve">those of </w:t>
      </w:r>
      <w:r w:rsidR="005E6B67">
        <w:t>Outh</w:t>
      </w:r>
      <w:r w:rsidR="00DE5A71">
        <w:t>waite, Gooda Walker and Feltrim</w:t>
      </w:r>
      <w:r w:rsidR="005E6B67">
        <w:t xml:space="preserve"> </w:t>
      </w:r>
      <w:r w:rsidR="00D23957">
        <w:t>wrote</w:t>
      </w:r>
      <w:r w:rsidR="005E6B67">
        <w:t xml:space="preserve"> these risks in the form </w:t>
      </w:r>
      <w:r w:rsidR="00D23957">
        <w:t>of</w:t>
      </w:r>
      <w:r w:rsidR="005E6B67">
        <w:t xml:space="preserve"> XL reinsurance. </w:t>
      </w:r>
      <w:r w:rsidR="005B50FD">
        <w:t xml:space="preserve">Under these contracts the reinsurer agreed to indemnify the reinsured in the event of the latter sustaining a loss in excess of a pre-determined figure, </w:t>
      </w:r>
      <w:r w:rsidR="00DE5A71">
        <w:t xml:space="preserve">which was </w:t>
      </w:r>
      <w:r w:rsidR="005B50FD">
        <w:t xml:space="preserve">the </w:t>
      </w:r>
      <w:r w:rsidR="00CC14AB">
        <w:t>liability</w:t>
      </w:r>
      <w:r w:rsidR="005B50FD">
        <w:t xml:space="preserve"> </w:t>
      </w:r>
      <w:r w:rsidR="00DE5A71">
        <w:t xml:space="preserve">to be </w:t>
      </w:r>
      <w:r w:rsidR="005B50FD">
        <w:t xml:space="preserve">retained by the reinsured. The reinsurer in turn usually retroceded some of the amount reinsured to another insurer. Many marine underwriters </w:t>
      </w:r>
      <w:r w:rsidR="003445E8">
        <w:t xml:space="preserve">like Outhwaite </w:t>
      </w:r>
      <w:r w:rsidR="00495F15">
        <w:t>went</w:t>
      </w:r>
      <w:r w:rsidR="005B50FD">
        <w:t xml:space="preserve"> into this market even though they had little experience of reinsuring catastrophe risks. Some syndicates doing </w:t>
      </w:r>
      <w:r w:rsidR="003445E8">
        <w:t>XL</w:t>
      </w:r>
      <w:r w:rsidR="005B50FD">
        <w:t xml:space="preserve"> </w:t>
      </w:r>
      <w:r w:rsidR="003445E8">
        <w:t xml:space="preserve">reinsurance </w:t>
      </w:r>
      <w:r w:rsidR="005B50FD">
        <w:t>re</w:t>
      </w:r>
      <w:r w:rsidR="003445E8">
        <w:t>troceded to</w:t>
      </w:r>
      <w:r w:rsidR="005B50FD">
        <w:t xml:space="preserve"> other </w:t>
      </w:r>
      <w:r w:rsidR="003445E8">
        <w:t>XL</w:t>
      </w:r>
      <w:r w:rsidR="005B50FD">
        <w:t xml:space="preserve"> syndicates, so that instead of </w:t>
      </w:r>
      <w:r w:rsidR="003445E8">
        <w:t xml:space="preserve">the </w:t>
      </w:r>
      <w:r w:rsidR="006664F6">
        <w:t>risks</w:t>
      </w:r>
      <w:r w:rsidR="005B50FD">
        <w:t xml:space="preserve"> being dispersed, the classic function of reinsurance, they circulated again and again around the same market, becoming increasingly opaque</w:t>
      </w:r>
      <w:r w:rsidR="006664F6">
        <w:t xml:space="preserve"> and</w:t>
      </w:r>
      <w:r w:rsidR="006664F6" w:rsidRPr="00D30FA3">
        <w:t xml:space="preserve"> concentrated in a few syndicates</w:t>
      </w:r>
      <w:r w:rsidR="006664F6">
        <w:t>.</w:t>
      </w:r>
      <w:r w:rsidR="005B50FD">
        <w:t xml:space="preserve"> </w:t>
      </w:r>
      <w:r w:rsidR="003445E8">
        <w:t xml:space="preserve">This became known as the </w:t>
      </w:r>
      <w:r w:rsidR="00DA22FD">
        <w:t xml:space="preserve">infamous </w:t>
      </w:r>
      <w:r w:rsidR="003445E8">
        <w:t>London Market Excess of Loss (LMX) spiral.</w:t>
      </w:r>
      <w:r w:rsidR="009F4663">
        <w:rPr>
          <w:rStyle w:val="EndnoteReference"/>
        </w:rPr>
        <w:endnoteReference w:id="58"/>
      </w:r>
      <w:r w:rsidR="003445E8">
        <w:t xml:space="preserve"> </w:t>
      </w:r>
    </w:p>
    <w:p w:rsidR="006664F6" w:rsidRDefault="006664F6" w:rsidP="005B50FD"/>
    <w:p w:rsidR="00116010" w:rsidRDefault="005B50FD" w:rsidP="000F024E">
      <w:r>
        <w:t xml:space="preserve">A simplified graphic of the LMX spiral is shown in figure 1. </w:t>
      </w:r>
      <w:r w:rsidR="000F024E">
        <w:t xml:space="preserve">XL reinsurance was placed in </w:t>
      </w:r>
      <w:r w:rsidR="00116010">
        <w:t xml:space="preserve">vertical </w:t>
      </w:r>
      <w:r w:rsidR="000F024E">
        <w:t>layers</w:t>
      </w:r>
      <w:r w:rsidR="00116010">
        <w:t>, each with a different premium rate attached to it</w:t>
      </w:r>
      <w:r w:rsidR="000F024E">
        <w:t>. One reinsurer would cover a layer of risk in excess of the first insurer’s retention limit. A second reinsurer</w:t>
      </w:r>
      <w:r w:rsidR="00116010">
        <w:t>, the retrocessionary,</w:t>
      </w:r>
      <w:r w:rsidR="000F024E">
        <w:t xml:space="preserve"> would </w:t>
      </w:r>
      <w:r w:rsidR="00116010">
        <w:t>insure</w:t>
      </w:r>
      <w:r w:rsidR="000F024E">
        <w:t xml:space="preserve"> the next layer of risk, where claims exceeded the threshold provided by the first insurer’s</w:t>
      </w:r>
      <w:r w:rsidR="000F024E" w:rsidRPr="00D037C9">
        <w:t xml:space="preserve"> </w:t>
      </w:r>
      <w:r w:rsidR="000F024E">
        <w:t xml:space="preserve">retention limit plus the first layer of reinsurance. </w:t>
      </w:r>
      <w:r w:rsidR="00495F15">
        <w:t>U</w:t>
      </w:r>
      <w:r w:rsidR="00116010">
        <w:t>nderwriters could also write ‘stop-loss’ policies for individual names on their syndicates to protect them against losses over a certain amount. A collection of stop-loss polices could also be reinsured, and in turn retroceded by the reinsurer.</w:t>
      </w:r>
      <w:r w:rsidR="003242D8">
        <w:rPr>
          <w:rStyle w:val="EndnoteReference"/>
        </w:rPr>
        <w:endnoteReference w:id="59"/>
      </w:r>
    </w:p>
    <w:p w:rsidR="00116010" w:rsidRDefault="00116010" w:rsidP="000F024E"/>
    <w:p w:rsidR="000F024E" w:rsidRDefault="000F024E" w:rsidP="000F024E">
      <w:r>
        <w:t xml:space="preserve">In theory, this </w:t>
      </w:r>
      <w:r w:rsidR="00116010">
        <w:t xml:space="preserve">process </w:t>
      </w:r>
      <w:r>
        <w:t>should have hel</w:t>
      </w:r>
      <w:r w:rsidR="00D84B6D">
        <w:t xml:space="preserve">ped disperse risks </w:t>
      </w:r>
      <w:r>
        <w:t xml:space="preserve">by bringing in more insurers to provide cover. Because the probability of losses occurring in the </w:t>
      </w:r>
      <w:r w:rsidR="00116010">
        <w:t>upper</w:t>
      </w:r>
      <w:r>
        <w:t xml:space="preserve"> layers of risk (XL 1.1 and 2.1in figure 1) is lower, the premiums and administrative costs </w:t>
      </w:r>
      <w:r w:rsidR="00D84B6D">
        <w:t xml:space="preserve">charged </w:t>
      </w:r>
      <w:r>
        <w:t xml:space="preserve">for these </w:t>
      </w:r>
      <w:r w:rsidR="00116010">
        <w:t xml:space="preserve">upper </w:t>
      </w:r>
      <w:r>
        <w:t>layers are lower. However, when a loss occur</w:t>
      </w:r>
      <w:r w:rsidR="007B25BF">
        <w:t>red</w:t>
      </w:r>
      <w:r>
        <w:t xml:space="preserve"> that was so big as to trigger the reinsurance on these higher layers of risk, the</w:t>
      </w:r>
      <w:r w:rsidRPr="000F024E">
        <w:t xml:space="preserve"> </w:t>
      </w:r>
      <w:r>
        <w:t xml:space="preserve">claims were often large in proportion to the premiums received. The defect at the core of the spiral developed </w:t>
      </w:r>
      <w:r w:rsidR="00AF18FF">
        <w:t xml:space="preserve">when </w:t>
      </w:r>
      <w:r>
        <w:t xml:space="preserve">some syndicates writing XL reinsurance took out XL cover themselves. Those who reinsured them were therefore writing XL </w:t>
      </w:r>
      <w:r w:rsidR="00AF18FF">
        <w:t xml:space="preserve">risk </w:t>
      </w:r>
      <w:r>
        <w:t>on XL</w:t>
      </w:r>
      <w:r w:rsidR="00AF18FF">
        <w:t xml:space="preserve"> risk</w:t>
      </w:r>
      <w:r>
        <w:t>. The</w:t>
      </w:r>
      <w:r w:rsidR="00AF18FF">
        <w:t xml:space="preserve"> latter</w:t>
      </w:r>
      <w:r>
        <w:t xml:space="preserve">, in turn, frequently </w:t>
      </w:r>
      <w:r w:rsidR="00D84B6D">
        <w:t xml:space="preserve">also </w:t>
      </w:r>
      <w:r>
        <w:t>took out XL cover. Thus there developed a</w:t>
      </w:r>
      <w:r w:rsidR="00AF18FF">
        <w:t xml:space="preserve"> spiral </w:t>
      </w:r>
      <w:r>
        <w:t xml:space="preserve">of mutual reinsurance. When a </w:t>
      </w:r>
      <w:r w:rsidR="00AF18FF">
        <w:t xml:space="preserve">catastrophic loss occurred, </w:t>
      </w:r>
      <w:r>
        <w:t xml:space="preserve">claims were passed on, minus retentions, </w:t>
      </w:r>
      <w:r w:rsidR="00AF18FF">
        <w:t xml:space="preserve">between syndicates </w:t>
      </w:r>
      <w:r>
        <w:t xml:space="preserve">in a complex game of pass the parcel. </w:t>
      </w:r>
      <w:r w:rsidR="00D84B6D">
        <w:t>T</w:t>
      </w:r>
      <w:r w:rsidR="007B25BF">
        <w:t xml:space="preserve">he </w:t>
      </w:r>
      <w:r>
        <w:t xml:space="preserve">first </w:t>
      </w:r>
      <w:r w:rsidR="007B25BF">
        <w:t xml:space="preserve">to </w:t>
      </w:r>
      <w:r>
        <w:t>exhaust their layers of XL reinsurance protection</w:t>
      </w:r>
      <w:r w:rsidR="00D84B6D">
        <w:t xml:space="preserve"> were left holding the liability parcel</w:t>
      </w:r>
      <w:r>
        <w:t>. The effect was to magnify many times the volume of loss, because claims were repeatedly made in</w:t>
      </w:r>
      <w:r w:rsidR="00AF18FF">
        <w:t xml:space="preserve"> </w:t>
      </w:r>
      <w:r>
        <w:t>respect of the same loss.</w:t>
      </w:r>
      <w:r w:rsidR="00BB3AFB">
        <w:rPr>
          <w:rStyle w:val="EndnoteReference"/>
        </w:rPr>
        <w:endnoteReference w:id="60"/>
      </w:r>
    </w:p>
    <w:p w:rsidR="00906970" w:rsidRDefault="00906970" w:rsidP="000F024E"/>
    <w:p w:rsidR="00906970" w:rsidRPr="00A01836" w:rsidRDefault="00D84B6D" w:rsidP="00A01836">
      <w:r>
        <w:t>To illustrate this, c</w:t>
      </w:r>
      <w:r w:rsidR="00906970">
        <w:t xml:space="preserve">onsider an oil rig insured for £100m, but whose insurer only want to retain half of the risk, ie. does not want to pay out more than £50m should a claim come in. So the insurer decides to reinsure the first £25m in excess of a loss of £50m (XL 1) with reinsurer 1. The </w:t>
      </w:r>
      <w:r w:rsidR="003038BC">
        <w:t>second</w:t>
      </w:r>
      <w:r w:rsidR="00906970">
        <w:t xml:space="preserve"> layer of risk above this, ie. any loss between £75m and £100m (XL 2), is reinsured with reinsurer 2. The two reinsurers, for their part, only want to retain half of the layers of excess loss that they have accepted, so they retrocede £12.5m each to retrocessionaries 1 and 2 respectively (XL 1.1 and XL 2.1).  If the oil rig catches fire and is only half destroyed, the total claim of £50m falls on the insurer, without </w:t>
      </w:r>
      <w:r>
        <w:t>a</w:t>
      </w:r>
      <w:r w:rsidR="00906970">
        <w:t xml:space="preserve"> claim </w:t>
      </w:r>
      <w:r>
        <w:t xml:space="preserve">being made </w:t>
      </w:r>
      <w:r w:rsidR="00906970">
        <w:t xml:space="preserve">on either reinsurer. However, if the rig is entirely destroyed, the policyholder </w:t>
      </w:r>
      <w:r w:rsidR="00816DE8">
        <w:t>claims</w:t>
      </w:r>
      <w:r w:rsidR="00906970">
        <w:t xml:space="preserve"> £100m </w:t>
      </w:r>
      <w:r w:rsidR="00906970">
        <w:lastRenderedPageBreak/>
        <w:t>from the insurer; the insurer claims the two £25m excess of loss risks (XL1 and XL2) reinsured with reinsurers 1 and 2</w:t>
      </w:r>
      <w:r w:rsidR="003038BC">
        <w:t>; and t</w:t>
      </w:r>
      <w:r w:rsidR="00906970">
        <w:t>he two reinsurers claim the £12.5m that they each retroceded from their retrocessionaries</w:t>
      </w:r>
      <w:r w:rsidR="00A01836">
        <w:t xml:space="preserve"> (XL 1.1 and XL 2.1)</w:t>
      </w:r>
      <w:r w:rsidR="00906970">
        <w:t>.</w:t>
      </w:r>
      <w:r w:rsidR="00A01836">
        <w:t xml:space="preserve"> </w:t>
      </w:r>
      <w:r w:rsidR="00906970">
        <w:t xml:space="preserve">Thus the gross claim </w:t>
      </w:r>
      <w:r w:rsidR="00A01836">
        <w:t>amount</w:t>
      </w:r>
      <w:r w:rsidR="00816DE8">
        <w:t>s</w:t>
      </w:r>
      <w:r w:rsidR="00A01836">
        <w:t xml:space="preserve"> to </w:t>
      </w:r>
      <w:r w:rsidR="00906970">
        <w:t>175</w:t>
      </w:r>
      <w:r w:rsidR="00A01836">
        <w:t xml:space="preserve"> per cent (</w:t>
      </w:r>
      <w:r w:rsidR="00906970">
        <w:t>100+25+25+12.5+12.5) of the insured loss.</w:t>
      </w:r>
      <w:r w:rsidR="00A01836">
        <w:t xml:space="preserve"> </w:t>
      </w:r>
      <w:r w:rsidR="00A01836" w:rsidRPr="00A01836">
        <w:t>N</w:t>
      </w:r>
      <w:r w:rsidR="00906970" w:rsidRPr="00A01836">
        <w:t xml:space="preserve">et </w:t>
      </w:r>
      <w:r w:rsidR="00906970">
        <w:t xml:space="preserve">claims, once </w:t>
      </w:r>
      <w:r w:rsidR="00BF708D">
        <w:t>finally settled</w:t>
      </w:r>
      <w:r w:rsidR="00906970">
        <w:t xml:space="preserve">, </w:t>
      </w:r>
      <w:r>
        <w:t xml:space="preserve">will </w:t>
      </w:r>
      <w:r w:rsidR="00816DE8">
        <w:t>come</w:t>
      </w:r>
      <w:r w:rsidR="00906970">
        <w:t xml:space="preserve"> to </w:t>
      </w:r>
      <w:r w:rsidR="00A01836">
        <w:t xml:space="preserve">100 per cent </w:t>
      </w:r>
      <w:r w:rsidR="00906970">
        <w:t>of the loss</w:t>
      </w:r>
      <w:r w:rsidR="00A01836">
        <w:t xml:space="preserve">, but </w:t>
      </w:r>
      <w:r w:rsidR="003038BC">
        <w:t xml:space="preserve">this </w:t>
      </w:r>
      <w:r>
        <w:t>shows</w:t>
      </w:r>
      <w:r w:rsidR="00A01836">
        <w:t xml:space="preserve"> how XL</w:t>
      </w:r>
      <w:r w:rsidR="00906970" w:rsidRPr="00A01836">
        <w:t xml:space="preserve"> reinsurance </w:t>
      </w:r>
      <w:r w:rsidR="00A01836">
        <w:t xml:space="preserve">could </w:t>
      </w:r>
      <w:r w:rsidR="00906970" w:rsidRPr="00A01836">
        <w:t xml:space="preserve">greatly </w:t>
      </w:r>
      <w:r w:rsidR="00BF708D">
        <w:t>inflate</w:t>
      </w:r>
      <w:r w:rsidR="00906970" w:rsidRPr="00A01836">
        <w:t xml:space="preserve"> the volume of claims circulating during a settlement period.</w:t>
      </w:r>
      <w:r w:rsidR="00E71EC6">
        <w:rPr>
          <w:rStyle w:val="EndnoteReference"/>
        </w:rPr>
        <w:endnoteReference w:id="61"/>
      </w:r>
      <w:r w:rsidR="00906970" w:rsidRPr="00A01836">
        <w:t xml:space="preserve"> </w:t>
      </w:r>
    </w:p>
    <w:p w:rsidR="00906970" w:rsidRDefault="00906970" w:rsidP="000F024E"/>
    <w:p w:rsidR="00113FFC" w:rsidRDefault="007B25BF" w:rsidP="005B50FD">
      <w:r>
        <w:t xml:space="preserve">The </w:t>
      </w:r>
      <w:r w:rsidR="00A01836">
        <w:t xml:space="preserve">LMX </w:t>
      </w:r>
      <w:r>
        <w:t xml:space="preserve">spiral was kept </w:t>
      </w:r>
      <w:r w:rsidR="00C26B23">
        <w:t>turning</w:t>
      </w:r>
      <w:r>
        <w:t xml:space="preserve"> by </w:t>
      </w:r>
      <w:r w:rsidR="005E53A7">
        <w:t>several</w:t>
      </w:r>
      <w:r>
        <w:t xml:space="preserve"> factors. </w:t>
      </w:r>
      <w:r w:rsidR="004D6BB5">
        <w:t xml:space="preserve">In the years before the huge syndicate losses, high returns </w:t>
      </w:r>
      <w:r w:rsidR="003A0120">
        <w:t>enticed</w:t>
      </w:r>
      <w:r w:rsidR="004D6BB5">
        <w:t xml:space="preserve"> ma</w:t>
      </w:r>
      <w:r w:rsidR="003A0120">
        <w:t>n</w:t>
      </w:r>
      <w:r w:rsidR="004D6BB5">
        <w:t xml:space="preserve">y into this business. </w:t>
      </w:r>
      <w:r w:rsidR="00113FFC">
        <w:t>XL</w:t>
      </w:r>
      <w:r w:rsidR="005B50FD">
        <w:t xml:space="preserve"> premiums rose by 201</w:t>
      </w:r>
      <w:r w:rsidR="004D6BB5">
        <w:t xml:space="preserve"> per cent</w:t>
      </w:r>
      <w:r w:rsidR="005B50FD">
        <w:t xml:space="preserve"> between 1983 and 1988 compared to </w:t>
      </w:r>
      <w:r w:rsidR="004D6BB5">
        <w:t xml:space="preserve">a </w:t>
      </w:r>
      <w:r w:rsidR="005B50FD">
        <w:t>61</w:t>
      </w:r>
      <w:r w:rsidR="004D6BB5">
        <w:t xml:space="preserve"> per cent</w:t>
      </w:r>
      <w:r w:rsidR="005B50FD">
        <w:t xml:space="preserve"> increase for </w:t>
      </w:r>
      <w:r w:rsidR="004D6BB5">
        <w:t xml:space="preserve">Lloyd’s market </w:t>
      </w:r>
      <w:r w:rsidR="005B50FD">
        <w:t>as a whole.</w:t>
      </w:r>
      <w:r w:rsidR="00EC4951">
        <w:rPr>
          <w:rStyle w:val="EndnoteReference"/>
        </w:rPr>
        <w:endnoteReference w:id="62"/>
      </w:r>
      <w:r w:rsidR="005B50FD">
        <w:t xml:space="preserve"> </w:t>
      </w:r>
      <w:r w:rsidR="003A0120">
        <w:t xml:space="preserve">By 1990 over </w:t>
      </w:r>
      <w:r w:rsidR="0075274B">
        <w:t>one quarter</w:t>
      </w:r>
      <w:r w:rsidR="003A0120">
        <w:t xml:space="preserve"> of the business at Lloyd’s was XL reinsurance.</w:t>
      </w:r>
      <w:r w:rsidR="00F21194">
        <w:rPr>
          <w:rStyle w:val="EndnoteReference"/>
        </w:rPr>
        <w:endnoteReference w:id="63"/>
      </w:r>
      <w:r w:rsidR="0075274B">
        <w:t xml:space="preserve"> </w:t>
      </w:r>
      <w:r w:rsidR="00113FFC">
        <w:t xml:space="preserve">Lloyd’s own accounting rules </w:t>
      </w:r>
      <w:r w:rsidR="00D406C5">
        <w:t xml:space="preserve">encouraged </w:t>
      </w:r>
      <w:r w:rsidR="00113FFC">
        <w:t xml:space="preserve">XL business </w:t>
      </w:r>
      <w:r w:rsidR="00D406C5">
        <w:t>to be kept within the market</w:t>
      </w:r>
      <w:r w:rsidR="009E4F2C">
        <w:t xml:space="preserve"> by crediting 100</w:t>
      </w:r>
      <w:r w:rsidR="00113FFC">
        <w:t xml:space="preserve"> per cent</w:t>
      </w:r>
      <w:r w:rsidR="009E4F2C">
        <w:t xml:space="preserve"> of </w:t>
      </w:r>
      <w:r w:rsidR="00113FFC">
        <w:t xml:space="preserve">any </w:t>
      </w:r>
      <w:r w:rsidR="009E4F2C">
        <w:t xml:space="preserve">reinsurance bought </w:t>
      </w:r>
      <w:r w:rsidR="003A5DA4">
        <w:t>there</w:t>
      </w:r>
      <w:r w:rsidR="00113FFC">
        <w:t xml:space="preserve"> </w:t>
      </w:r>
      <w:r w:rsidR="009E4F2C">
        <w:t>as reserves, but only 80</w:t>
      </w:r>
      <w:r w:rsidR="00113FFC">
        <w:t xml:space="preserve"> per cent </w:t>
      </w:r>
      <w:r w:rsidR="009E4F2C">
        <w:t>of reinsurance bought outside the m</w:t>
      </w:r>
      <w:r w:rsidR="00113FFC">
        <w:t>arket</w:t>
      </w:r>
      <w:r w:rsidR="009E4F2C">
        <w:t>.</w:t>
      </w:r>
      <w:r w:rsidR="00113FFC">
        <w:rPr>
          <w:rStyle w:val="EndnoteReference"/>
        </w:rPr>
        <w:endnoteReference w:id="64"/>
      </w:r>
      <w:r w:rsidR="009E4F2C">
        <w:t xml:space="preserve"> </w:t>
      </w:r>
      <w:r w:rsidR="00183EA9">
        <w:t xml:space="preserve">As more capacity entered XL business, underwriters were encouraged to reinsure more and to keep their retention rates low. </w:t>
      </w:r>
      <w:r w:rsidR="007716AE">
        <w:t xml:space="preserve">Lloyd’s was later accused of failing properly to monitor syndicate underwriting capacity, the rates being charged or the provenance of the risks being insured. </w:t>
      </w:r>
      <w:r w:rsidR="003A5DA4">
        <w:t>The spiral</w:t>
      </w:r>
      <w:r w:rsidR="007D0370">
        <w:t xml:space="preserve"> </w:t>
      </w:r>
      <w:r w:rsidR="0075274B">
        <w:t>offered brokers, underwriters and managing agents commission and fees on every reinsurance and retrocession written</w:t>
      </w:r>
      <w:r w:rsidR="00ED6559">
        <w:t xml:space="preserve">, </w:t>
      </w:r>
      <w:r w:rsidR="007716AE">
        <w:t>and in the wake of the losses many names accused their agents of gouging them. XL business als</w:t>
      </w:r>
      <w:r w:rsidR="00113FFC">
        <w:t xml:space="preserve">o </w:t>
      </w:r>
      <w:r w:rsidR="00160B5B">
        <w:t xml:space="preserve">enabled underwriters to </w:t>
      </w:r>
      <w:r w:rsidR="00113FFC">
        <w:t xml:space="preserve">arbitrage by profiting from </w:t>
      </w:r>
      <w:r w:rsidR="007D0370">
        <w:t>the differen</w:t>
      </w:r>
      <w:r w:rsidR="00160B5B">
        <w:t>tial</w:t>
      </w:r>
      <w:r w:rsidR="007D0370">
        <w:t xml:space="preserve"> between the premiums </w:t>
      </w:r>
      <w:r w:rsidR="00160B5B">
        <w:t xml:space="preserve">received </w:t>
      </w:r>
      <w:r w:rsidR="007D0370">
        <w:t xml:space="preserve">for the insurance, and the lower premiums paid </w:t>
      </w:r>
      <w:r w:rsidR="00160B5B">
        <w:t xml:space="preserve">out </w:t>
      </w:r>
      <w:r w:rsidR="007D0370">
        <w:t>for reinsurance and retrocessions</w:t>
      </w:r>
      <w:r w:rsidR="0075274B">
        <w:t>. Th</w:t>
      </w:r>
      <w:r w:rsidR="003A5DA4">
        <w:t>ese</w:t>
      </w:r>
      <w:r w:rsidR="0075274B">
        <w:t xml:space="preserve"> opportunities multiplied where </w:t>
      </w:r>
      <w:r w:rsidR="00183EA9">
        <w:t xml:space="preserve">those writing at the top of the spiral </w:t>
      </w:r>
      <w:r w:rsidR="0075274B">
        <w:t>accepted</w:t>
      </w:r>
      <w:r w:rsidR="003A5DA4">
        <w:t>, out of ignorance or carelessness,</w:t>
      </w:r>
      <w:r w:rsidR="0075274B">
        <w:t xml:space="preserve"> premium rates that were far too low for the higher layers, believing that these layers were virtually risk free.</w:t>
      </w:r>
      <w:r w:rsidR="007D0370">
        <w:t xml:space="preserve"> Such arbitrage </w:t>
      </w:r>
      <w:r w:rsidR="00183EA9">
        <w:t xml:space="preserve">thus </w:t>
      </w:r>
      <w:r w:rsidR="007D0370">
        <w:t xml:space="preserve">increased the moral hazard </w:t>
      </w:r>
      <w:r w:rsidR="003739E2">
        <w:t xml:space="preserve">of </w:t>
      </w:r>
      <w:r w:rsidR="007D0370">
        <w:t>underwriters insur</w:t>
      </w:r>
      <w:r w:rsidR="003739E2">
        <w:t>ing</w:t>
      </w:r>
      <w:r w:rsidR="007D0370">
        <w:t xml:space="preserve"> without much concern about </w:t>
      </w:r>
      <w:r w:rsidR="007716AE">
        <w:t>their fiduciary obligations to their names.</w:t>
      </w:r>
      <w:r w:rsidR="003A5DA4">
        <w:rPr>
          <w:rStyle w:val="EndnoteReference"/>
        </w:rPr>
        <w:endnoteReference w:id="65"/>
      </w:r>
      <w:r w:rsidR="007D0370">
        <w:t xml:space="preserve"> </w:t>
      </w:r>
    </w:p>
    <w:p w:rsidR="003A5DA4" w:rsidRDefault="003A5DA4" w:rsidP="005B50FD"/>
    <w:p w:rsidR="00841EB6" w:rsidRDefault="009E57AA" w:rsidP="00841EB6">
      <w:r>
        <w:t>XL r</w:t>
      </w:r>
      <w:r w:rsidR="00C34FFC">
        <w:t>einsu</w:t>
      </w:r>
      <w:r>
        <w:t>r</w:t>
      </w:r>
      <w:r w:rsidR="00C34FFC">
        <w:t xml:space="preserve">ance also </w:t>
      </w:r>
      <w:r>
        <w:t xml:space="preserve">offered </w:t>
      </w:r>
      <w:r w:rsidR="00C34FFC">
        <w:t xml:space="preserve">a means </w:t>
      </w:r>
      <w:r>
        <w:t xml:space="preserve">by which unscrupulous underwriters could offload the worst risks onto </w:t>
      </w:r>
      <w:r w:rsidR="003B0BEE">
        <w:t xml:space="preserve">‘dustbin’ </w:t>
      </w:r>
      <w:r>
        <w:t>syndicates of outsider names</w:t>
      </w:r>
      <w:r w:rsidR="00870F46">
        <w:t>,</w:t>
      </w:r>
      <w:r>
        <w:t xml:space="preserve"> while </w:t>
      </w:r>
      <w:r w:rsidR="00800D20">
        <w:t xml:space="preserve">picking </w:t>
      </w:r>
      <w:r>
        <w:t xml:space="preserve">the best risks </w:t>
      </w:r>
      <w:r w:rsidR="00800D20">
        <w:t>to be reinsured or retroceded with so-called ‘baby’ syndicates of insiders, including brokers, underwriters, agents, Lloyd’s executives and few favoured names</w:t>
      </w:r>
      <w:r>
        <w:t>.</w:t>
      </w:r>
      <w:r w:rsidR="0046127D">
        <w:rPr>
          <w:rStyle w:val="EndnoteReference"/>
        </w:rPr>
        <w:endnoteReference w:id="66"/>
      </w:r>
      <w:r w:rsidR="002853C4">
        <w:t xml:space="preserve"> </w:t>
      </w:r>
      <w:r w:rsidR="00870F46">
        <w:t>The Walker report of 1992 into the LMX spiral discovered that the syndicates with the lowest percentage</w:t>
      </w:r>
      <w:r w:rsidR="00505B85">
        <w:t xml:space="preserve"> of working names </w:t>
      </w:r>
      <w:r w:rsidR="00870F46">
        <w:t>had the highest percentage of losses, indicating that a disproportionate share of losses had fallen on unsuspecting non-working names.</w:t>
      </w:r>
      <w:r w:rsidR="00870F46">
        <w:rPr>
          <w:rStyle w:val="EndnoteReference"/>
        </w:rPr>
        <w:endnoteReference w:id="67"/>
      </w:r>
      <w:r w:rsidR="00870F46">
        <w:t xml:space="preserve"> </w:t>
      </w:r>
      <w:r w:rsidR="00655AEB">
        <w:t>Poor information recording exacerbated the</w:t>
      </w:r>
      <w:r w:rsidR="00B37A70">
        <w:t xml:space="preserve">se </w:t>
      </w:r>
      <w:r w:rsidR="00641446">
        <w:t>principal</w:t>
      </w:r>
      <w:r w:rsidR="00870F46">
        <w:t>-</w:t>
      </w:r>
      <w:r w:rsidR="00641446">
        <w:t xml:space="preserve">agent </w:t>
      </w:r>
      <w:r w:rsidR="00655AEB">
        <w:t>problem</w:t>
      </w:r>
      <w:r w:rsidR="00B37A70">
        <w:t>s</w:t>
      </w:r>
      <w:r w:rsidR="00870F46">
        <w:t xml:space="preserve">. </w:t>
      </w:r>
      <w:r w:rsidR="00505B85">
        <w:t>B</w:t>
      </w:r>
      <w:r w:rsidR="00655AEB">
        <w:t>ecause of the lack of filin</w:t>
      </w:r>
      <w:r w:rsidR="00505B85">
        <w:t>g space on the floor of Lloyd’s</w:t>
      </w:r>
      <w:r w:rsidR="00655AEB">
        <w:t xml:space="preserve"> and customary practice, underwriters relied on brokers to maintain essential records, keeping only </w:t>
      </w:r>
      <w:r w:rsidR="008E5808">
        <w:t xml:space="preserve">‘skeleton cards’ </w:t>
      </w:r>
      <w:r w:rsidR="00655AEB">
        <w:t xml:space="preserve">with the barest details of what </w:t>
      </w:r>
      <w:r w:rsidR="00870F46">
        <w:t>had been</w:t>
      </w:r>
      <w:r w:rsidR="00655AEB">
        <w:t xml:space="preserve"> insur</w:t>
      </w:r>
      <w:r w:rsidR="00870F46">
        <w:t>ed. Th</w:t>
      </w:r>
      <w:r w:rsidR="00E5527F">
        <w:t>e</w:t>
      </w:r>
      <w:r w:rsidR="00870F46">
        <w:t xml:space="preserve"> lack of a paper trail </w:t>
      </w:r>
      <w:r w:rsidR="00E5527F">
        <w:t>made</w:t>
      </w:r>
      <w:r w:rsidR="00655AEB">
        <w:t xml:space="preserve"> it difficult to close the books on older syndicates or to track risks in</w:t>
      </w:r>
      <w:r w:rsidR="00870F46">
        <w:t>sured in</w:t>
      </w:r>
      <w:r w:rsidR="00655AEB">
        <w:t xml:space="preserve"> the LMX spiral.</w:t>
      </w:r>
      <w:r w:rsidR="00B37A70">
        <w:rPr>
          <w:rStyle w:val="EndnoteReference"/>
        </w:rPr>
        <w:endnoteReference w:id="68"/>
      </w:r>
      <w:r w:rsidR="00655AEB">
        <w:t xml:space="preserve">  </w:t>
      </w:r>
    </w:p>
    <w:p w:rsidR="00507C32" w:rsidRDefault="00507C32" w:rsidP="00841EB6"/>
    <w:p w:rsidR="00507C32" w:rsidRPr="00CA67AC" w:rsidRDefault="00507C32" w:rsidP="00507C32">
      <w:r>
        <w:t>It is i</w:t>
      </w:r>
      <w:r w:rsidRPr="00CA67AC">
        <w:t>mportant to note</w:t>
      </w:r>
      <w:r>
        <w:t>, as the Walker Report does,</w:t>
      </w:r>
      <w:r w:rsidRPr="00CA67AC">
        <w:t xml:space="preserve"> that </w:t>
      </w:r>
      <w:r>
        <w:t xml:space="preserve">only a minority (87) of </w:t>
      </w:r>
      <w:r w:rsidRPr="00CA67AC">
        <w:t xml:space="preserve">syndicates wrote </w:t>
      </w:r>
      <w:r>
        <w:t xml:space="preserve">significant amounts of </w:t>
      </w:r>
      <w:r w:rsidRPr="00CA67AC">
        <w:t>XL</w:t>
      </w:r>
      <w:r>
        <w:t xml:space="preserve"> reinsurance</w:t>
      </w:r>
      <w:r w:rsidRPr="00CA67AC">
        <w:t xml:space="preserve">. Many syndicates </w:t>
      </w:r>
      <w:r>
        <w:t xml:space="preserve">that focused on </w:t>
      </w:r>
      <w:r w:rsidRPr="00CA67AC">
        <w:t xml:space="preserve">other </w:t>
      </w:r>
      <w:r>
        <w:t xml:space="preserve">staple </w:t>
      </w:r>
      <w:r w:rsidRPr="00CA67AC">
        <w:t xml:space="preserve">lines </w:t>
      </w:r>
      <w:r>
        <w:t>employed</w:t>
      </w:r>
      <w:r w:rsidRPr="00CA67AC">
        <w:t xml:space="preserve"> </w:t>
      </w:r>
      <w:r>
        <w:t xml:space="preserve">experienced and </w:t>
      </w:r>
      <w:r w:rsidRPr="00CA67AC">
        <w:t xml:space="preserve">technically </w:t>
      </w:r>
      <w:r>
        <w:t xml:space="preserve">proficient </w:t>
      </w:r>
      <w:r w:rsidRPr="00CA67AC">
        <w:t>u</w:t>
      </w:r>
      <w:r>
        <w:t xml:space="preserve">nderwriters who insured cautiously and </w:t>
      </w:r>
      <w:r w:rsidRPr="00CA67AC">
        <w:t>profitabl</w:t>
      </w:r>
      <w:r>
        <w:t>y</w:t>
      </w:r>
      <w:r w:rsidRPr="00CA67AC">
        <w:t xml:space="preserve">. </w:t>
      </w:r>
      <w:r>
        <w:t xml:space="preserve">Moreover, </w:t>
      </w:r>
      <w:r w:rsidRPr="00CA67AC">
        <w:t xml:space="preserve">the heaviest </w:t>
      </w:r>
      <w:r>
        <w:t xml:space="preserve">XL </w:t>
      </w:r>
      <w:r w:rsidRPr="00CA67AC">
        <w:t xml:space="preserve">losses were concentrated in </w:t>
      </w:r>
      <w:r>
        <w:t xml:space="preserve">just a dozen or so </w:t>
      </w:r>
      <w:r w:rsidRPr="00CA67AC">
        <w:t>syndicates</w:t>
      </w:r>
      <w:r>
        <w:t>.</w:t>
      </w:r>
      <w:r>
        <w:rPr>
          <w:rStyle w:val="EndnoteReference"/>
        </w:rPr>
        <w:endnoteReference w:id="69"/>
      </w:r>
      <w:r w:rsidRPr="00CA67AC">
        <w:t xml:space="preserve">  Nevertheless, these losses </w:t>
      </w:r>
      <w:r>
        <w:t xml:space="preserve">were so huge that they damaged </w:t>
      </w:r>
      <w:r w:rsidRPr="00CA67AC">
        <w:t xml:space="preserve">the whole market, especially when Lloyd’s, in its desperation to meet claims, decided to mutualise the losses through market-wide levies to replenish </w:t>
      </w:r>
      <w:r w:rsidR="00170184">
        <w:t>its</w:t>
      </w:r>
      <w:r w:rsidRPr="00CA67AC">
        <w:t xml:space="preserve"> central </w:t>
      </w:r>
      <w:r>
        <w:t>fund.</w:t>
      </w:r>
      <w:r>
        <w:rPr>
          <w:rStyle w:val="EndnoteReference"/>
        </w:rPr>
        <w:endnoteReference w:id="70"/>
      </w:r>
      <w:r>
        <w:t xml:space="preserve"> </w:t>
      </w:r>
    </w:p>
    <w:p w:rsidR="00507C32" w:rsidRDefault="00507C32" w:rsidP="00841EB6"/>
    <w:p w:rsidR="003214DB" w:rsidRDefault="003214DB" w:rsidP="00327CBB"/>
    <w:p w:rsidR="00A22DC3" w:rsidRDefault="008719D0" w:rsidP="00A22DC3">
      <w:pPr>
        <w:rPr>
          <w:b/>
        </w:rPr>
      </w:pPr>
      <w:r>
        <w:rPr>
          <w:b/>
        </w:rPr>
        <w:t>4</w:t>
      </w:r>
      <w:r w:rsidRPr="002A1BFD">
        <w:rPr>
          <w:b/>
        </w:rPr>
        <w:t xml:space="preserve">. </w:t>
      </w:r>
      <w:r w:rsidR="00924220">
        <w:rPr>
          <w:b/>
        </w:rPr>
        <w:t>R</w:t>
      </w:r>
      <w:r w:rsidR="004F6BE8">
        <w:rPr>
          <w:b/>
        </w:rPr>
        <w:t>eform</w:t>
      </w:r>
      <w:r w:rsidR="00B951B8">
        <w:rPr>
          <w:b/>
        </w:rPr>
        <w:t>,</w:t>
      </w:r>
      <w:r w:rsidR="004F6BE8">
        <w:rPr>
          <w:b/>
        </w:rPr>
        <w:t xml:space="preserve"> </w:t>
      </w:r>
      <w:r w:rsidR="00B951B8">
        <w:rPr>
          <w:b/>
        </w:rPr>
        <w:t>survival</w:t>
      </w:r>
      <w:r w:rsidR="00FD018E">
        <w:rPr>
          <w:b/>
        </w:rPr>
        <w:t xml:space="preserve"> and</w:t>
      </w:r>
      <w:r w:rsidR="00B951B8">
        <w:rPr>
          <w:b/>
        </w:rPr>
        <w:t xml:space="preserve"> </w:t>
      </w:r>
      <w:r w:rsidR="004F6BE8">
        <w:rPr>
          <w:b/>
        </w:rPr>
        <w:t>recovery</w:t>
      </w:r>
    </w:p>
    <w:p w:rsidR="00D943A7" w:rsidRDefault="00AE7C76" w:rsidP="00D943A7">
      <w:r>
        <w:lastRenderedPageBreak/>
        <w:t>While</w:t>
      </w:r>
      <w:r w:rsidR="00A22DC3">
        <w:t xml:space="preserve"> the LMX spiral was gaining momentum, </w:t>
      </w:r>
      <w:r w:rsidR="00DA15E1">
        <w:t xml:space="preserve">new </w:t>
      </w:r>
      <w:r w:rsidR="00A22DC3">
        <w:t>names</w:t>
      </w:r>
      <w:r w:rsidR="00DA15E1">
        <w:t xml:space="preserve"> cont</w:t>
      </w:r>
      <w:r w:rsidR="00A22DC3">
        <w:t>inued</w:t>
      </w:r>
      <w:r w:rsidR="00DA15E1">
        <w:t xml:space="preserve"> to </w:t>
      </w:r>
      <w:r w:rsidR="00A22DC3">
        <w:t xml:space="preserve">flood into </w:t>
      </w:r>
      <w:r w:rsidR="00DA15E1">
        <w:t>Lloyd</w:t>
      </w:r>
      <w:r w:rsidR="00A22DC3">
        <w:t>’</w:t>
      </w:r>
      <w:r w:rsidR="00DA15E1">
        <w:t>s</w:t>
      </w:r>
      <w:r w:rsidR="00F424D8">
        <w:t>. M</w:t>
      </w:r>
      <w:r w:rsidR="00A22DC3">
        <w:t>embership reached a peak of over 32,000 in 1988 (see table 1).</w:t>
      </w:r>
      <w:r w:rsidR="00DA15E1">
        <w:t xml:space="preserve"> </w:t>
      </w:r>
      <w:r w:rsidR="00F424D8">
        <w:t>Yet t</w:t>
      </w:r>
      <w:r w:rsidR="00DA15E1">
        <w:t>here were already signs</w:t>
      </w:r>
      <w:r w:rsidR="00A22DC3">
        <w:t xml:space="preserve"> </w:t>
      </w:r>
      <w:r w:rsidR="00DA15E1">
        <w:t xml:space="preserve">of </w:t>
      </w:r>
      <w:r>
        <w:t xml:space="preserve">growing public concern about </w:t>
      </w:r>
      <w:r w:rsidR="00F26349">
        <w:t>Lloyd</w:t>
      </w:r>
      <w:r w:rsidR="004E4EE1">
        <w:t>’</w:t>
      </w:r>
      <w:r w:rsidR="005F169E">
        <w:t>s</w:t>
      </w:r>
      <w:r>
        <w:t xml:space="preserve">. </w:t>
      </w:r>
      <w:r w:rsidR="00D971C1">
        <w:t xml:space="preserve">In 1985 Ian Hay Davison resigned after </w:t>
      </w:r>
      <w:r>
        <w:t xml:space="preserve">a disagreement with </w:t>
      </w:r>
      <w:r w:rsidR="00F424D8">
        <w:t xml:space="preserve">Peter Miller, chair of council, </w:t>
      </w:r>
      <w:r>
        <w:t xml:space="preserve">over </w:t>
      </w:r>
      <w:r w:rsidR="00267960">
        <w:t>his</w:t>
      </w:r>
      <w:r>
        <w:t xml:space="preserve"> role </w:t>
      </w:r>
      <w:r w:rsidR="00267960">
        <w:t>as</w:t>
      </w:r>
      <w:r>
        <w:t xml:space="preserve"> CEO</w:t>
      </w:r>
      <w:r w:rsidR="00CB7762">
        <w:t>.</w:t>
      </w:r>
      <w:r w:rsidR="00FD11A6">
        <w:rPr>
          <w:rStyle w:val="EndnoteReference"/>
        </w:rPr>
        <w:endnoteReference w:id="71"/>
      </w:r>
      <w:r w:rsidR="00FD11A6">
        <w:t xml:space="preserve"> </w:t>
      </w:r>
      <w:r w:rsidR="00D35CA8">
        <w:t xml:space="preserve">This </w:t>
      </w:r>
      <w:r w:rsidR="00D77B24">
        <w:t xml:space="preserve">resignation, together with the </w:t>
      </w:r>
      <w:r>
        <w:t xml:space="preserve">ongoing </w:t>
      </w:r>
      <w:r w:rsidR="00D77B24">
        <w:t xml:space="preserve">scandals, </w:t>
      </w:r>
      <w:r>
        <w:t>led to</w:t>
      </w:r>
      <w:r w:rsidR="00D77B24">
        <w:t xml:space="preserve"> </w:t>
      </w:r>
      <w:r>
        <w:t xml:space="preserve">questions in Parliament. </w:t>
      </w:r>
      <w:r w:rsidR="00D77B24">
        <w:t>In 1986, d</w:t>
      </w:r>
      <w:r w:rsidR="00C84DB5">
        <w:t>uring the debate</w:t>
      </w:r>
      <w:r w:rsidR="00DB514F">
        <w:t>s</w:t>
      </w:r>
      <w:r w:rsidR="00C84DB5">
        <w:t xml:space="preserve"> on the Financial Services bill</w:t>
      </w:r>
      <w:r w:rsidR="00D77B24">
        <w:t xml:space="preserve"> to establish a new Financial Services Authority (FSA),</w:t>
      </w:r>
      <w:r w:rsidR="00C84DB5">
        <w:t xml:space="preserve"> </w:t>
      </w:r>
      <w:r w:rsidR="00D77B24">
        <w:t>Labour MP</w:t>
      </w:r>
      <w:r w:rsidR="0083017E">
        <w:t>s</w:t>
      </w:r>
      <w:r w:rsidR="00D77B24">
        <w:t xml:space="preserve"> </w:t>
      </w:r>
      <w:r>
        <w:t>de</w:t>
      </w:r>
      <w:r w:rsidR="00D35CA8">
        <w:t>nounced</w:t>
      </w:r>
      <w:r w:rsidR="00C84DB5">
        <w:t xml:space="preserve"> Lloyd</w:t>
      </w:r>
      <w:r w:rsidR="008C4778">
        <w:t>’</w:t>
      </w:r>
      <w:r w:rsidR="00C84DB5">
        <w:t xml:space="preserve">s </w:t>
      </w:r>
      <w:r>
        <w:t xml:space="preserve">as </w:t>
      </w:r>
      <w:r w:rsidR="00C84DB5">
        <w:t>‘a school for scandals</w:t>
      </w:r>
      <w:r w:rsidR="00D77B24">
        <w:t>’</w:t>
      </w:r>
      <w:r w:rsidR="00BB2C4E">
        <w:t xml:space="preserve">, </w:t>
      </w:r>
      <w:r w:rsidR="00C84DB5">
        <w:t xml:space="preserve">and </w:t>
      </w:r>
      <w:r w:rsidR="008C4778">
        <w:t>demanded</w:t>
      </w:r>
      <w:r w:rsidR="00C84DB5">
        <w:t xml:space="preserve"> </w:t>
      </w:r>
      <w:r w:rsidR="00267960">
        <w:t>that it be included in the bill</w:t>
      </w:r>
      <w:r w:rsidR="00C84DB5">
        <w:t>.</w:t>
      </w:r>
      <w:r w:rsidR="00D77B24">
        <w:rPr>
          <w:rStyle w:val="EndnoteReference"/>
        </w:rPr>
        <w:endnoteReference w:id="72"/>
      </w:r>
      <w:r w:rsidR="00BB2C4E">
        <w:t xml:space="preserve"> </w:t>
      </w:r>
      <w:r w:rsidR="00D35CA8">
        <w:t>The Thatcher government</w:t>
      </w:r>
      <w:r w:rsidR="00BB2C4E" w:rsidRPr="00BB2C4E">
        <w:t xml:space="preserve"> re</w:t>
      </w:r>
      <w:r w:rsidR="00D35CA8">
        <w:t>jected th</w:t>
      </w:r>
      <w:r w:rsidR="00267960">
        <w:t xml:space="preserve">is, arguing that </w:t>
      </w:r>
      <w:r w:rsidR="00D35CA8">
        <w:t>the</w:t>
      </w:r>
      <w:r w:rsidR="0089438E">
        <w:t xml:space="preserve"> purpose </w:t>
      </w:r>
      <w:r w:rsidR="00D35CA8">
        <w:t xml:space="preserve">of the FSA </w:t>
      </w:r>
      <w:r w:rsidR="00BB2C4E">
        <w:t xml:space="preserve">was </w:t>
      </w:r>
      <w:r w:rsidR="0089438E">
        <w:t xml:space="preserve">to regulate </w:t>
      </w:r>
      <w:r w:rsidR="00BB2C4E">
        <w:t>investment</w:t>
      </w:r>
      <w:r w:rsidR="0089438E">
        <w:t xml:space="preserve"> not insurance</w:t>
      </w:r>
      <w:r w:rsidR="0083017E">
        <w:t>, though</w:t>
      </w:r>
      <w:r w:rsidR="00BB2C4E">
        <w:t xml:space="preserve"> </w:t>
      </w:r>
      <w:r w:rsidR="00D35CA8">
        <w:t>it</w:t>
      </w:r>
      <w:r w:rsidR="0089438E">
        <w:t xml:space="preserve"> </w:t>
      </w:r>
      <w:r w:rsidR="00267960">
        <w:t>did appoint</w:t>
      </w:r>
      <w:r w:rsidR="00D35CA8">
        <w:t xml:space="preserve"> </w:t>
      </w:r>
      <w:r w:rsidR="0089438E">
        <w:t xml:space="preserve">an inquiry, chaired </w:t>
      </w:r>
      <w:r w:rsidR="0089438E" w:rsidRPr="0089438E">
        <w:t xml:space="preserve">by Sir Patrick Neill, </w:t>
      </w:r>
      <w:r w:rsidR="004F6BE8">
        <w:t>into</w:t>
      </w:r>
      <w:r w:rsidR="008C4778">
        <w:t xml:space="preserve"> Lloyd’s </w:t>
      </w:r>
      <w:r w:rsidR="0089438E">
        <w:t>governance.</w:t>
      </w:r>
      <w:r w:rsidR="0089438E">
        <w:rPr>
          <w:rStyle w:val="EndnoteReference"/>
        </w:rPr>
        <w:endnoteReference w:id="73"/>
      </w:r>
      <w:r w:rsidR="0089438E">
        <w:t xml:space="preserve"> </w:t>
      </w:r>
      <w:r w:rsidR="00D943A7">
        <w:t>T</w:t>
      </w:r>
      <w:r w:rsidR="00D943A7" w:rsidRPr="00D943A7">
        <w:t>he debate</w:t>
      </w:r>
      <w:r w:rsidR="00DB514F">
        <w:t xml:space="preserve">s </w:t>
      </w:r>
      <w:r w:rsidR="00D943A7">
        <w:t>reveal</w:t>
      </w:r>
      <w:r w:rsidR="00EF3CE4">
        <w:t>ed</w:t>
      </w:r>
      <w:r w:rsidR="00D943A7">
        <w:t xml:space="preserve"> that </w:t>
      </w:r>
      <w:r w:rsidR="00D943A7" w:rsidRPr="00D943A7">
        <w:t xml:space="preserve">political alignments </w:t>
      </w:r>
      <w:r w:rsidR="00D943A7">
        <w:t xml:space="preserve">had begun to </w:t>
      </w:r>
      <w:r w:rsidR="00D943A7" w:rsidRPr="00D943A7">
        <w:t>shift</w:t>
      </w:r>
      <w:r w:rsidR="00D943A7">
        <w:t>. Labour</w:t>
      </w:r>
      <w:r w:rsidR="000B746F">
        <w:t>’s</w:t>
      </w:r>
      <w:r w:rsidR="00D943A7">
        <w:t xml:space="preserve"> front bench had moved decisively towards support for an independent regulatory body for Lloyd’s, although Liberal Democrats were not prepared to go this </w:t>
      </w:r>
      <w:r w:rsidR="00D943A7" w:rsidRPr="002B3480">
        <w:t>far.</w:t>
      </w:r>
      <w:r w:rsidR="002B3480">
        <w:rPr>
          <w:rStyle w:val="EndnoteReference"/>
        </w:rPr>
        <w:endnoteReference w:id="74"/>
      </w:r>
      <w:r w:rsidR="002B3480" w:rsidRPr="002B3480">
        <w:t xml:space="preserve"> </w:t>
      </w:r>
      <w:r w:rsidR="000F2759">
        <w:t xml:space="preserve">Labour back-benchers attacked Lloyd’s as a nest of corruption and called for state supervision. </w:t>
      </w:r>
      <w:r w:rsidR="00D943A7">
        <w:t xml:space="preserve">Many </w:t>
      </w:r>
      <w:r w:rsidR="00DF23D8">
        <w:t>Conservative</w:t>
      </w:r>
      <w:r w:rsidR="00D943A7">
        <w:t xml:space="preserve"> backbenchers</w:t>
      </w:r>
      <w:r w:rsidR="000B746F">
        <w:t xml:space="preserve"> </w:t>
      </w:r>
      <w:r w:rsidR="00D943A7">
        <w:t>remained in favour of self-regul</w:t>
      </w:r>
      <w:r w:rsidR="00DF23D8">
        <w:t>ation,</w:t>
      </w:r>
      <w:r w:rsidR="00D943A7">
        <w:t xml:space="preserve"> but were increasingly worried about investor protection</w:t>
      </w:r>
      <w:r w:rsidR="00E25EBA">
        <w:t>. S</w:t>
      </w:r>
      <w:r w:rsidR="00DF23D8">
        <w:t xml:space="preserve">ome </w:t>
      </w:r>
      <w:r w:rsidR="00D943A7">
        <w:t>were moving closer to Labour</w:t>
      </w:r>
      <w:r w:rsidR="000B746F">
        <w:t>’s</w:t>
      </w:r>
      <w:r w:rsidR="00D943A7">
        <w:t xml:space="preserve"> position. </w:t>
      </w:r>
      <w:r w:rsidR="00DF23D8">
        <w:t xml:space="preserve">The Bow </w:t>
      </w:r>
      <w:r w:rsidR="000B746F">
        <w:t xml:space="preserve">Group of so-called ‘Tory wets’ </w:t>
      </w:r>
      <w:r w:rsidR="00DF23D8">
        <w:t>called for Lloyd’s to be brought under the auspices of the FSA.</w:t>
      </w:r>
      <w:r w:rsidR="00DF23D8">
        <w:rPr>
          <w:rStyle w:val="EndnoteReference"/>
        </w:rPr>
        <w:endnoteReference w:id="75"/>
      </w:r>
      <w:r w:rsidR="00DF23D8">
        <w:t xml:space="preserve"> </w:t>
      </w:r>
      <w:r w:rsidR="00D943A7">
        <w:t xml:space="preserve">The Conservative government </w:t>
      </w:r>
      <w:r w:rsidR="00EF3CE4">
        <w:t xml:space="preserve">continued to </w:t>
      </w:r>
      <w:r w:rsidR="00D943A7">
        <w:t xml:space="preserve">support </w:t>
      </w:r>
      <w:r w:rsidR="00D943A7" w:rsidRPr="001A15A5">
        <w:t>self regul</w:t>
      </w:r>
      <w:r w:rsidR="00EF3CE4">
        <w:t>ation, while o</w:t>
      </w:r>
      <w:r w:rsidR="00267960">
        <w:t>utside parliament,</w:t>
      </w:r>
      <w:r w:rsidR="00D943A7">
        <w:t xml:space="preserve"> </w:t>
      </w:r>
      <w:r w:rsidR="00E25EBA">
        <w:t>resistance to</w:t>
      </w:r>
      <w:r w:rsidR="00D943A7">
        <w:t xml:space="preserve"> change</w:t>
      </w:r>
      <w:r w:rsidR="00E25EBA">
        <w:t xml:space="preserve"> came from</w:t>
      </w:r>
      <w:r w:rsidR="00D943A7">
        <w:t xml:space="preserve"> Lloyd’s council</w:t>
      </w:r>
      <w:r w:rsidR="00EF3CE4">
        <w:t>,</w:t>
      </w:r>
      <w:r w:rsidR="00D943A7">
        <w:t xml:space="preserve"> the </w:t>
      </w:r>
      <w:r w:rsidR="00EF3CE4">
        <w:t>large</w:t>
      </w:r>
      <w:r w:rsidR="00D943A7">
        <w:t xml:space="preserve"> brok</w:t>
      </w:r>
      <w:r w:rsidR="00EF3CE4">
        <w:t xml:space="preserve">ing firms, </w:t>
      </w:r>
      <w:r w:rsidR="00D943A7">
        <w:t xml:space="preserve">‘traditionalists’ and </w:t>
      </w:r>
      <w:r w:rsidR="00EF3CE4">
        <w:t xml:space="preserve">those </w:t>
      </w:r>
      <w:r w:rsidR="00D943A7">
        <w:t xml:space="preserve">wealthier names </w:t>
      </w:r>
      <w:r w:rsidR="00EF3CE4">
        <w:t xml:space="preserve">who were best able </w:t>
      </w:r>
      <w:r w:rsidR="00D943A7">
        <w:t>to spread their investments around a range of syndicates</w:t>
      </w:r>
      <w:r w:rsidR="00EF3CE4">
        <w:t>.</w:t>
      </w:r>
      <w:r w:rsidR="000E2EDD">
        <w:rPr>
          <w:rStyle w:val="EndnoteReference"/>
        </w:rPr>
        <w:endnoteReference w:id="76"/>
      </w:r>
      <w:r w:rsidR="00EF3CE4">
        <w:t xml:space="preserve"> </w:t>
      </w:r>
      <w:r w:rsidR="000F2759">
        <w:t xml:space="preserve">The Neill committee reported in 1987 and </w:t>
      </w:r>
      <w:r w:rsidR="000B746F">
        <w:t>recommended</w:t>
      </w:r>
      <w:r w:rsidR="000F2759">
        <w:t xml:space="preserve"> increas</w:t>
      </w:r>
      <w:r w:rsidR="000B746F">
        <w:t>ing</w:t>
      </w:r>
      <w:r w:rsidR="000F2759">
        <w:t xml:space="preserve"> the representation of non-working names on Lloyd’s council, but </w:t>
      </w:r>
      <w:r w:rsidR="00327536">
        <w:t xml:space="preserve">this </w:t>
      </w:r>
      <w:r w:rsidR="000B746F">
        <w:t xml:space="preserve">was </w:t>
      </w:r>
      <w:r w:rsidR="003B0BEE">
        <w:t>no</w:t>
      </w:r>
      <w:r w:rsidR="00327536">
        <w:t xml:space="preserve"> solution to the tidal wave of </w:t>
      </w:r>
      <w:r w:rsidR="008C4778">
        <w:t>insurance claims</w:t>
      </w:r>
      <w:r w:rsidR="000F2759">
        <w:t xml:space="preserve"> </w:t>
      </w:r>
      <w:r w:rsidR="00327536">
        <w:t>about to crash over the market.</w:t>
      </w:r>
      <w:r w:rsidR="00327536">
        <w:rPr>
          <w:rStyle w:val="EndnoteReference"/>
        </w:rPr>
        <w:endnoteReference w:id="77"/>
      </w:r>
      <w:r w:rsidR="00327536">
        <w:t xml:space="preserve">  </w:t>
      </w:r>
    </w:p>
    <w:p w:rsidR="00D64779" w:rsidRPr="002C553A" w:rsidRDefault="00D64779" w:rsidP="00650DCA">
      <w:pPr>
        <w:rPr>
          <w:b/>
        </w:rPr>
      </w:pPr>
    </w:p>
    <w:p w:rsidR="00DA15E1" w:rsidRDefault="00887806" w:rsidP="00DA15E1">
      <w:r>
        <w:t>In</w:t>
      </w:r>
      <w:r w:rsidR="004732F0">
        <w:t xml:space="preserve"> the early 1990s</w:t>
      </w:r>
      <w:r w:rsidR="00BD5260">
        <w:t xml:space="preserve">, </w:t>
      </w:r>
      <w:r w:rsidR="009003DB">
        <w:t xml:space="preserve">after </w:t>
      </w:r>
      <w:r w:rsidR="004E36FB">
        <w:t>y</w:t>
      </w:r>
      <w:r w:rsidR="00BD5260">
        <w:t xml:space="preserve">ears of </w:t>
      </w:r>
      <w:r w:rsidR="004E36FB">
        <w:t xml:space="preserve">record </w:t>
      </w:r>
      <w:r w:rsidR="00BD5260">
        <w:t>losses</w:t>
      </w:r>
      <w:r w:rsidR="009003DB">
        <w:t xml:space="preserve"> (see table 1),</w:t>
      </w:r>
      <w:r w:rsidR="004732F0">
        <w:t xml:space="preserve"> </w:t>
      </w:r>
      <w:r w:rsidR="009003DB">
        <w:t>the resistance to calls</w:t>
      </w:r>
      <w:r>
        <w:t xml:space="preserve">, </w:t>
      </w:r>
      <w:r w:rsidR="009003DB">
        <w:t xml:space="preserve">the lobbying and law suits </w:t>
      </w:r>
      <w:r>
        <w:t>reached</w:t>
      </w:r>
      <w:r w:rsidR="009003DB">
        <w:t xml:space="preserve"> a crescendo. T</w:t>
      </w:r>
      <w:r w:rsidR="004732F0">
        <w:t xml:space="preserve">he most common grounds for legal action was that </w:t>
      </w:r>
      <w:r w:rsidR="009003DB">
        <w:t>names</w:t>
      </w:r>
      <w:r w:rsidR="004732F0">
        <w:t xml:space="preserve"> had been misled when they became members, that Lloyd’s had failed to disclose material financial information, had </w:t>
      </w:r>
      <w:r w:rsidR="00CA67AC">
        <w:t>failed</w:t>
      </w:r>
      <w:r w:rsidR="004732F0">
        <w:t xml:space="preserve"> to supervise </w:t>
      </w:r>
      <w:r w:rsidR="009003DB">
        <w:t>properly</w:t>
      </w:r>
      <w:r w:rsidR="004732F0">
        <w:t xml:space="preserve">, and had operated a market where insider cliques reaped huge </w:t>
      </w:r>
      <w:r w:rsidR="004E36FB">
        <w:t>rewards</w:t>
      </w:r>
      <w:r w:rsidR="004732F0">
        <w:t xml:space="preserve"> at the expense of outside</w:t>
      </w:r>
      <w:r w:rsidR="009003DB">
        <w:t>r</w:t>
      </w:r>
      <w:r w:rsidR="004732F0">
        <w:t xml:space="preserve"> investors. </w:t>
      </w:r>
      <w:r w:rsidR="004E36FB">
        <w:t>In</w:t>
      </w:r>
      <w:r w:rsidR="00DA15E1" w:rsidRPr="00313CBA">
        <w:t xml:space="preserve"> 1993 Lloyd’s offered a settlement of £900m to nearly 20,000 names </w:t>
      </w:r>
      <w:r w:rsidR="004E36FB">
        <w:t>on</w:t>
      </w:r>
      <w:r w:rsidR="00DA15E1" w:rsidRPr="00313CBA">
        <w:t xml:space="preserve"> </w:t>
      </w:r>
      <w:r w:rsidR="004E36FB">
        <w:t xml:space="preserve">all </w:t>
      </w:r>
      <w:r w:rsidR="00DA15E1" w:rsidRPr="00313CBA">
        <w:t>th</w:t>
      </w:r>
      <w:r w:rsidR="004E36FB">
        <w:t>e</w:t>
      </w:r>
      <w:r w:rsidR="00DA15E1" w:rsidRPr="00313CBA">
        <w:t xml:space="preserve"> syndicates </w:t>
      </w:r>
      <w:r w:rsidR="00CA67AC">
        <w:t>that were</w:t>
      </w:r>
      <w:r w:rsidR="00DA15E1" w:rsidRPr="00313CBA">
        <w:t xml:space="preserve"> </w:t>
      </w:r>
      <w:r w:rsidR="00CA67AC">
        <w:t>the object of suits</w:t>
      </w:r>
      <w:r w:rsidR="00DA15E1" w:rsidRPr="00313CBA">
        <w:t>.</w:t>
      </w:r>
      <w:r w:rsidR="009003DB">
        <w:t xml:space="preserve"> </w:t>
      </w:r>
      <w:r w:rsidR="004E36FB">
        <w:t>The</w:t>
      </w:r>
      <w:r w:rsidR="00DA15E1" w:rsidRPr="00313CBA">
        <w:t xml:space="preserve"> settlement was to </w:t>
      </w:r>
      <w:r w:rsidR="004E36FB">
        <w:t xml:space="preserve">be paid for by </w:t>
      </w:r>
      <w:r w:rsidR="00DA15E1" w:rsidRPr="00313CBA">
        <w:t xml:space="preserve">Lloyd’s central fund, </w:t>
      </w:r>
      <w:r w:rsidR="004E36FB">
        <w:t xml:space="preserve">by </w:t>
      </w:r>
      <w:r w:rsidR="00E45C22">
        <w:t>E&amp;O</w:t>
      </w:r>
      <w:r w:rsidR="00DA15E1" w:rsidRPr="00313CBA">
        <w:t xml:space="preserve"> insurance, and </w:t>
      </w:r>
      <w:r w:rsidR="004E36FB">
        <w:t xml:space="preserve">by </w:t>
      </w:r>
      <w:r w:rsidR="00DA15E1" w:rsidRPr="00313CBA">
        <w:t xml:space="preserve">contributions </w:t>
      </w:r>
      <w:r w:rsidR="004E36FB">
        <w:t>from</w:t>
      </w:r>
      <w:r w:rsidR="00DA15E1" w:rsidRPr="00313CBA">
        <w:t xml:space="preserve"> agents and brokers. Set against </w:t>
      </w:r>
      <w:r w:rsidR="00DA15E1">
        <w:t xml:space="preserve">total </w:t>
      </w:r>
      <w:r w:rsidR="00DA15E1" w:rsidRPr="00313CBA">
        <w:t xml:space="preserve">losses of £3.2 billion, it </w:t>
      </w:r>
      <w:r w:rsidR="00DA15E1">
        <w:t>was not a generous offer</w:t>
      </w:r>
      <w:r w:rsidR="00E45C22">
        <w:t xml:space="preserve">: </w:t>
      </w:r>
      <w:r w:rsidR="00DA15E1" w:rsidRPr="00313CBA">
        <w:t>less than 30p in the pound</w:t>
      </w:r>
      <w:r w:rsidR="00DA15E1">
        <w:t xml:space="preserve">, </w:t>
      </w:r>
      <w:r w:rsidR="004E36FB">
        <w:t>and</w:t>
      </w:r>
      <w:r w:rsidR="00DA15E1">
        <w:t xml:space="preserve"> names </w:t>
      </w:r>
      <w:r w:rsidR="009F6906">
        <w:t xml:space="preserve">would </w:t>
      </w:r>
      <w:r w:rsidR="00DA15E1">
        <w:t xml:space="preserve">continue to be liable for future </w:t>
      </w:r>
      <w:r w:rsidR="00DA15E1" w:rsidRPr="00313CBA">
        <w:t xml:space="preserve">losses </w:t>
      </w:r>
      <w:r w:rsidR="00DA15E1">
        <w:t xml:space="preserve">on past </w:t>
      </w:r>
      <w:r w:rsidR="004E36FB">
        <w:t xml:space="preserve">years of </w:t>
      </w:r>
      <w:r w:rsidR="00DA15E1">
        <w:t>account.</w:t>
      </w:r>
      <w:r w:rsidR="00DA15E1">
        <w:rPr>
          <w:rStyle w:val="EndnoteReference"/>
        </w:rPr>
        <w:endnoteReference w:id="78"/>
      </w:r>
      <w:r w:rsidR="004E36FB">
        <w:t xml:space="preserve"> Several action groups </w:t>
      </w:r>
      <w:r w:rsidR="00DA15E1">
        <w:t>rejected the offer</w:t>
      </w:r>
      <w:r w:rsidR="00CA67AC">
        <w:t>,</w:t>
      </w:r>
      <w:r w:rsidR="00DA15E1" w:rsidRPr="003214DB">
        <w:t xml:space="preserve"> </w:t>
      </w:r>
      <w:r w:rsidR="00DA15E1">
        <w:t xml:space="preserve">partly because its conditions removed their right to sue </w:t>
      </w:r>
      <w:r w:rsidR="00DA15E1" w:rsidRPr="00E23960">
        <w:t>auditors or to refuse future cash calls</w:t>
      </w:r>
      <w:r w:rsidR="00DA15E1">
        <w:t xml:space="preserve">. </w:t>
      </w:r>
      <w:r w:rsidR="00DA15E1" w:rsidRPr="00E23960">
        <w:t xml:space="preserve">Above all, names desire some cap on any future </w:t>
      </w:r>
      <w:r w:rsidR="004E36FB">
        <w:t>liability for</w:t>
      </w:r>
      <w:r w:rsidR="00DA15E1" w:rsidRPr="00E23960">
        <w:t xml:space="preserve"> losses.</w:t>
      </w:r>
      <w:r w:rsidR="00DA15E1">
        <w:rPr>
          <w:rStyle w:val="EndnoteReference"/>
        </w:rPr>
        <w:endnoteReference w:id="79"/>
      </w:r>
      <w:r w:rsidR="00DA15E1" w:rsidRPr="003214DB">
        <w:t xml:space="preserve"> </w:t>
      </w:r>
    </w:p>
    <w:p w:rsidR="00DA15E1" w:rsidRDefault="00DA15E1" w:rsidP="0005411C"/>
    <w:p w:rsidR="00FE6C4E" w:rsidRDefault="00207ECE" w:rsidP="009F1006">
      <w:r>
        <w:t>T</w:t>
      </w:r>
      <w:r w:rsidR="009F6906">
        <w:t xml:space="preserve">he new Lloyd’s chairman, </w:t>
      </w:r>
      <w:r w:rsidR="00FD018E">
        <w:t>David Coleridge</w:t>
      </w:r>
      <w:r w:rsidR="009F6906">
        <w:t>, pushed through a series of measures, while remaining publicly optimistic</w:t>
      </w:r>
      <w:r w:rsidR="00FD018E">
        <w:t xml:space="preserve"> </w:t>
      </w:r>
      <w:r w:rsidR="009F6906">
        <w:t>about future profit</w:t>
      </w:r>
      <w:r w:rsidR="006B3DB0">
        <w:t>s</w:t>
      </w:r>
      <w:r w:rsidR="009F6906">
        <w:t xml:space="preserve">, even though three of the worst years of account (1990-2) remained open. </w:t>
      </w:r>
      <w:r w:rsidR="009F1006">
        <w:t>A task force to examine structural reforms was established</w:t>
      </w:r>
      <w:r>
        <w:t xml:space="preserve"> under</w:t>
      </w:r>
      <w:r w:rsidR="009F1006">
        <w:t xml:space="preserve"> David Rowland, Coleridge’s successor as chair of council.</w:t>
      </w:r>
      <w:r w:rsidR="00D6295D">
        <w:rPr>
          <w:rStyle w:val="EndnoteReference"/>
        </w:rPr>
        <w:endnoteReference w:id="80"/>
      </w:r>
      <w:r w:rsidR="00D6295D">
        <w:t xml:space="preserve"> </w:t>
      </w:r>
      <w:r w:rsidR="009F6906">
        <w:t>Two internal inquiries were commissioned, one to examine the LMX spiral, chaired by Sir David Walker, and the other to examine governance, chaired by Sir Jeremy Morse. Both reported in July 1992</w:t>
      </w:r>
      <w:r w:rsidR="00560239">
        <w:t xml:space="preserve">. </w:t>
      </w:r>
      <w:r w:rsidR="009F6906">
        <w:t xml:space="preserve">Walker found no evidence of fraud </w:t>
      </w:r>
      <w:r w:rsidR="00560239">
        <w:t xml:space="preserve">but </w:t>
      </w:r>
      <w:r w:rsidR="009F6906">
        <w:t>recommend</w:t>
      </w:r>
      <w:r w:rsidR="00560239">
        <w:t xml:space="preserve">ed a </w:t>
      </w:r>
      <w:r w:rsidR="009F6906">
        <w:t>g</w:t>
      </w:r>
      <w:r w:rsidR="00560239">
        <w:t>reater</w:t>
      </w:r>
      <w:r w:rsidR="009F6906">
        <w:t xml:space="preserve"> transpar</w:t>
      </w:r>
      <w:r w:rsidR="00560239">
        <w:t xml:space="preserve">ency of information </w:t>
      </w:r>
      <w:r w:rsidR="009F6906">
        <w:t xml:space="preserve">and </w:t>
      </w:r>
      <w:r w:rsidR="00560239">
        <w:t>a tighter</w:t>
      </w:r>
      <w:r w:rsidR="009F6906">
        <w:t xml:space="preserve"> supervision of reinsurance.</w:t>
      </w:r>
      <w:r w:rsidR="00560239">
        <w:t xml:space="preserve"> </w:t>
      </w:r>
      <w:r w:rsidR="009F6906">
        <w:t xml:space="preserve">Morse recommended </w:t>
      </w:r>
      <w:r w:rsidR="00560239">
        <w:t xml:space="preserve">a </w:t>
      </w:r>
      <w:r w:rsidR="009F6906">
        <w:t xml:space="preserve">separation of regulatory and business functions in </w:t>
      </w:r>
      <w:r w:rsidR="00560239">
        <w:t xml:space="preserve">a smaller </w:t>
      </w:r>
      <w:r w:rsidR="009F6906">
        <w:t>Lloyd</w:t>
      </w:r>
      <w:r w:rsidR="00560239">
        <w:t>’</w:t>
      </w:r>
      <w:r w:rsidR="009F6906">
        <w:t xml:space="preserve">s </w:t>
      </w:r>
      <w:r w:rsidR="00560239">
        <w:t xml:space="preserve">council, to be chaired by a salaried executive </w:t>
      </w:r>
      <w:r w:rsidR="009F6906">
        <w:t xml:space="preserve">who </w:t>
      </w:r>
      <w:r w:rsidR="00560239">
        <w:t>was</w:t>
      </w:r>
      <w:r w:rsidR="009F6906">
        <w:t xml:space="preserve"> not active in the m</w:t>
      </w:r>
      <w:r w:rsidR="00560239">
        <w:t>arket.</w:t>
      </w:r>
      <w:r w:rsidR="00560239">
        <w:rPr>
          <w:rStyle w:val="EndnoteReference"/>
        </w:rPr>
        <w:endnoteReference w:id="81"/>
      </w:r>
      <w:r w:rsidR="00854067">
        <w:t xml:space="preserve"> A special levy across the market was also introduced to rescue Lloyd’s </w:t>
      </w:r>
      <w:r w:rsidR="004F79BF">
        <w:t xml:space="preserve">‘lifeboat’, its </w:t>
      </w:r>
      <w:r w:rsidR="00854067">
        <w:t xml:space="preserve">central fund, which had been drained by </w:t>
      </w:r>
      <w:r w:rsidR="009F1006">
        <w:t>trying to cover</w:t>
      </w:r>
      <w:r w:rsidR="00854067">
        <w:t xml:space="preserve"> </w:t>
      </w:r>
      <w:r w:rsidR="001055DB">
        <w:t xml:space="preserve">the growing </w:t>
      </w:r>
      <w:r w:rsidR="00854067">
        <w:t>claims on syndicates whose names resisted calls</w:t>
      </w:r>
      <w:r w:rsidR="009F1006">
        <w:t>. I</w:t>
      </w:r>
      <w:r w:rsidR="001055DB">
        <w:t>n 1993</w:t>
      </w:r>
      <w:r w:rsidR="009F1006">
        <w:t xml:space="preserve">, in a breach of its own accounting procedures, </w:t>
      </w:r>
      <w:r w:rsidR="001055DB" w:rsidRPr="00EF6EEE">
        <w:t xml:space="preserve">some of the profits made </w:t>
      </w:r>
      <w:r w:rsidR="001055DB">
        <w:t>that year were brought forward to replenish the fund further.</w:t>
      </w:r>
      <w:r w:rsidR="001055DB">
        <w:rPr>
          <w:rStyle w:val="EndnoteReference"/>
        </w:rPr>
        <w:endnoteReference w:id="82"/>
      </w:r>
      <w:r w:rsidR="001055DB">
        <w:t xml:space="preserve"> </w:t>
      </w:r>
    </w:p>
    <w:p w:rsidR="00866FC5" w:rsidRDefault="00866FC5" w:rsidP="005B0B99"/>
    <w:p w:rsidR="00FA29D0" w:rsidRDefault="00866FC5" w:rsidP="00FA29D0">
      <w:r>
        <w:t>The mid-1990s were a period of critical transition for Lloyd’s.</w:t>
      </w:r>
      <w:r w:rsidR="006966EF">
        <w:t xml:space="preserve"> </w:t>
      </w:r>
      <w:r w:rsidR="002F2B7F">
        <w:t xml:space="preserve">As table 1 shows, names </w:t>
      </w:r>
      <w:r w:rsidR="008E7BE9">
        <w:t xml:space="preserve">rushed to the exit door </w:t>
      </w:r>
      <w:r w:rsidR="002F2B7F">
        <w:t xml:space="preserve">as losses continued to </w:t>
      </w:r>
      <w:r w:rsidR="00431A76">
        <w:t>roll in</w:t>
      </w:r>
      <w:r w:rsidR="002F2B7F">
        <w:t xml:space="preserve">. Lloyd’s council became engaged in a desperate struggle on several fronts, facing </w:t>
      </w:r>
      <w:r w:rsidR="008E7BE9">
        <w:t>a widespread resistance to calls</w:t>
      </w:r>
      <w:r w:rsidR="00372CF0">
        <w:t xml:space="preserve">, </w:t>
      </w:r>
      <w:r w:rsidR="002F2B7F">
        <w:t xml:space="preserve">law suits brought by </w:t>
      </w:r>
      <w:r w:rsidR="008E7BE9">
        <w:t xml:space="preserve">large </w:t>
      </w:r>
      <w:r w:rsidR="002F2B7F">
        <w:t>groups of names</w:t>
      </w:r>
      <w:r w:rsidR="00372CF0">
        <w:t xml:space="preserve">, </w:t>
      </w:r>
      <w:r w:rsidR="002F2B7F">
        <w:t>and</w:t>
      </w:r>
      <w:r w:rsidR="00372CF0">
        <w:t xml:space="preserve"> claims </w:t>
      </w:r>
      <w:r w:rsidR="002F2B7F">
        <w:t xml:space="preserve">that </w:t>
      </w:r>
      <w:r w:rsidR="00372CF0">
        <w:t>its</w:t>
      </w:r>
      <w:r w:rsidR="002F2B7F">
        <w:t xml:space="preserve"> preferential treatment of reinsurance bough</w:t>
      </w:r>
      <w:r w:rsidR="00372CF0">
        <w:t xml:space="preserve">t inside the market </w:t>
      </w:r>
      <w:r w:rsidR="002F2B7F">
        <w:t>breach</w:t>
      </w:r>
      <w:r w:rsidR="00372CF0">
        <w:t>ed</w:t>
      </w:r>
      <w:r w:rsidR="002F2B7F">
        <w:t xml:space="preserve"> EC competition rules. In dealing with distressed, rebellious and litigious names, the council adopted a carrot and stick approach</w:t>
      </w:r>
      <w:r w:rsidR="00372CF0">
        <w:t>, which in turn comprised</w:t>
      </w:r>
      <w:r w:rsidR="008E7BE9">
        <w:t xml:space="preserve"> </w:t>
      </w:r>
      <w:r w:rsidR="00372CF0">
        <w:t xml:space="preserve">promises of </w:t>
      </w:r>
      <w:r w:rsidR="002F2B7F">
        <w:t>support to settle losses</w:t>
      </w:r>
      <w:r w:rsidR="00372CF0">
        <w:t xml:space="preserve"> and pursuing vigorously </w:t>
      </w:r>
      <w:r w:rsidR="002F2B7F">
        <w:t>the assets of names who resisted calls.</w:t>
      </w:r>
      <w:r w:rsidR="00EA7BD8">
        <w:rPr>
          <w:rStyle w:val="EndnoteReference"/>
        </w:rPr>
        <w:endnoteReference w:id="83"/>
      </w:r>
      <w:r w:rsidR="002F2B7F">
        <w:t xml:space="preserve"> </w:t>
      </w:r>
      <w:r w:rsidR="00FA29D0">
        <w:t>The rejection of the settlement was quickly followed by the appointment of professional debt collectors and the establishment of a Financial Recoveries Department. In particular, Lloyd’s tried to go after the awards made by courts to names who had successfully sued</w:t>
      </w:r>
      <w:r w:rsidR="00372CF0">
        <w:t>. W</w:t>
      </w:r>
      <w:r w:rsidR="00FA29D0">
        <w:t xml:space="preserve">hen the courts denied </w:t>
      </w:r>
      <w:r w:rsidR="008E7BE9">
        <w:t>it</w:t>
      </w:r>
      <w:r w:rsidR="00FA29D0">
        <w:t xml:space="preserve"> the right to seize such awards, Rowland instructed names’ agents to issues writs against their own names on pain of being disqualified from </w:t>
      </w:r>
      <w:r w:rsidR="008E7BE9">
        <w:t>the market</w:t>
      </w:r>
      <w:r w:rsidR="00FA29D0">
        <w:t>.</w:t>
      </w:r>
      <w:r w:rsidR="008E7BE9">
        <w:rPr>
          <w:rStyle w:val="EndnoteReference"/>
        </w:rPr>
        <w:endnoteReference w:id="84"/>
      </w:r>
    </w:p>
    <w:p w:rsidR="002F2B7F" w:rsidRDefault="002F2B7F" w:rsidP="005B0B99"/>
    <w:p w:rsidR="008C0F1F" w:rsidRDefault="006966EF" w:rsidP="001C5793">
      <w:r>
        <w:t xml:space="preserve">While </w:t>
      </w:r>
      <w:r w:rsidR="00DE7040">
        <w:t xml:space="preserve">continuing to </w:t>
      </w:r>
      <w:r w:rsidR="0093173A">
        <w:t>defend</w:t>
      </w:r>
      <w:r w:rsidR="00DE7040">
        <w:t xml:space="preserve"> self-regulation, Lloyd’s accepted several fundamental changes recommended by Rowland’s task force when it reported in 1993.</w:t>
      </w:r>
      <w:r w:rsidR="00487975" w:rsidRPr="00487975">
        <w:t xml:space="preserve"> </w:t>
      </w:r>
      <w:r w:rsidR="000724F9">
        <w:t>For the first time in its history, Lloyd</w:t>
      </w:r>
      <w:r w:rsidR="00791A40">
        <w:t>’</w:t>
      </w:r>
      <w:r w:rsidR="000724F9">
        <w:t xml:space="preserve">s permitted </w:t>
      </w:r>
      <w:r w:rsidR="00FA56B4">
        <w:t xml:space="preserve">the entry of </w:t>
      </w:r>
      <w:r w:rsidR="000724F9">
        <w:t>corporate investors</w:t>
      </w:r>
      <w:r w:rsidR="00FA56B4" w:rsidRPr="00FA56B4">
        <w:t xml:space="preserve"> </w:t>
      </w:r>
      <w:r w:rsidR="00FA56B4">
        <w:t>with limited liability</w:t>
      </w:r>
      <w:r w:rsidR="000724F9">
        <w:t xml:space="preserve">. </w:t>
      </w:r>
      <w:r w:rsidR="00370BAC">
        <w:t>The old boys’ club disappeared remarkably quickly.</w:t>
      </w:r>
      <w:r w:rsidR="00370BAC">
        <w:rPr>
          <w:rStyle w:val="EndnoteReference"/>
        </w:rPr>
        <w:endnoteReference w:id="85"/>
      </w:r>
      <w:r w:rsidR="00370BAC">
        <w:t xml:space="preserve"> </w:t>
      </w:r>
      <w:r w:rsidR="000724F9">
        <w:t>The first corporate members joined in 1994</w:t>
      </w:r>
      <w:r w:rsidR="00CD163C">
        <w:t xml:space="preserve">, </w:t>
      </w:r>
      <w:r w:rsidR="0011005E">
        <w:t>and they</w:t>
      </w:r>
      <w:r w:rsidR="00DE3F9F">
        <w:t xml:space="preserve"> were </w:t>
      </w:r>
      <w:r w:rsidR="00521EB0">
        <w:t xml:space="preserve">soon </w:t>
      </w:r>
      <w:r w:rsidR="00DE3F9F">
        <w:t xml:space="preserve">permitted both to control managing agencies via holding companies, and to put up the majority of the underwriting capacity of a syndicate. Some </w:t>
      </w:r>
      <w:r w:rsidR="00521EB0">
        <w:t xml:space="preserve">syndicates became wholly owned by </w:t>
      </w:r>
      <w:r w:rsidR="00DE3F9F">
        <w:t>a single insurance company. C</w:t>
      </w:r>
      <w:r w:rsidR="00F505AB">
        <w:t xml:space="preserve">orporate capital </w:t>
      </w:r>
      <w:r w:rsidR="0011005E">
        <w:t>soon accounted for</w:t>
      </w:r>
      <w:r w:rsidR="00F505AB">
        <w:t xml:space="preserve"> 80 per cent of market capacity.</w:t>
      </w:r>
      <w:r w:rsidR="00F505AB">
        <w:rPr>
          <w:rStyle w:val="EndnoteReference"/>
        </w:rPr>
        <w:endnoteReference w:id="86"/>
      </w:r>
      <w:r w:rsidR="00F505AB">
        <w:t xml:space="preserve"> </w:t>
      </w:r>
      <w:r w:rsidR="008C41BC">
        <w:t xml:space="preserve">The number of individual names collapsed </w:t>
      </w:r>
      <w:r w:rsidR="006E3399">
        <w:t xml:space="preserve">(see table 1) </w:t>
      </w:r>
      <w:r w:rsidR="008C41BC">
        <w:t>and names’ agencies al</w:t>
      </w:r>
      <w:r w:rsidR="0010037E">
        <w:t>l but</w:t>
      </w:r>
      <w:r w:rsidR="008C41BC">
        <w:t xml:space="preserve"> disappeared. Where there had been 270 in</w:t>
      </w:r>
      <w:r w:rsidR="00A26DE4">
        <w:t xml:space="preserve"> </w:t>
      </w:r>
      <w:r w:rsidR="008C41BC">
        <w:t>1982, there were just three by 2013.</w:t>
      </w:r>
      <w:r w:rsidR="008C41BC" w:rsidRPr="008C41BC">
        <w:rPr>
          <w:rStyle w:val="EndnoteReference"/>
        </w:rPr>
        <w:t xml:space="preserve"> </w:t>
      </w:r>
      <w:r w:rsidR="008C41BC">
        <w:rPr>
          <w:rStyle w:val="EndnoteReference"/>
        </w:rPr>
        <w:endnoteReference w:id="87"/>
      </w:r>
    </w:p>
    <w:p w:rsidR="008C0F1F" w:rsidRDefault="008C0F1F" w:rsidP="001C5793"/>
    <w:p w:rsidR="00694382" w:rsidRDefault="00791A40" w:rsidP="008C0F1F">
      <w:r>
        <w:t>A new vehicle was created</w:t>
      </w:r>
      <w:r w:rsidR="000724F9">
        <w:t>, dubbed Equitas</w:t>
      </w:r>
      <w:r w:rsidR="00431A76">
        <w:t xml:space="preserve"> and structured as a trust</w:t>
      </w:r>
      <w:r>
        <w:t xml:space="preserve">, </w:t>
      </w:r>
      <w:r w:rsidR="000724F9">
        <w:t xml:space="preserve">to </w:t>
      </w:r>
      <w:r w:rsidR="00534BF9">
        <w:t xml:space="preserve">reinsure </w:t>
      </w:r>
      <w:r w:rsidR="000724F9">
        <w:t xml:space="preserve">all liabilities incurred by </w:t>
      </w:r>
      <w:r>
        <w:t>syndicates</w:t>
      </w:r>
      <w:r w:rsidR="000724F9">
        <w:t xml:space="preserve"> prior to 1993</w:t>
      </w:r>
      <w:r>
        <w:t xml:space="preserve">, to be </w:t>
      </w:r>
      <w:r w:rsidR="000724F9">
        <w:t xml:space="preserve">funded by </w:t>
      </w:r>
      <w:r>
        <w:t>a</w:t>
      </w:r>
      <w:r w:rsidR="0049503C">
        <w:t xml:space="preserve"> </w:t>
      </w:r>
      <w:r w:rsidR="000724F9">
        <w:t>lev</w:t>
      </w:r>
      <w:r>
        <w:t>y</w:t>
      </w:r>
      <w:r w:rsidR="000724F9">
        <w:t xml:space="preserve"> on Lloyd</w:t>
      </w:r>
      <w:r>
        <w:t>’</w:t>
      </w:r>
      <w:r w:rsidR="000724F9">
        <w:t>s remaining members.</w:t>
      </w:r>
      <w:r w:rsidR="00370BAC">
        <w:rPr>
          <w:rStyle w:val="EndnoteReference"/>
        </w:rPr>
        <w:endnoteReference w:id="88"/>
      </w:r>
      <w:r w:rsidRPr="00791A40">
        <w:t xml:space="preserve"> </w:t>
      </w:r>
      <w:r w:rsidR="000724F9">
        <w:t>In 1996 Lloyd</w:t>
      </w:r>
      <w:r w:rsidR="009C0712">
        <w:t>’</w:t>
      </w:r>
      <w:r w:rsidR="000724F9">
        <w:t xml:space="preserve">s </w:t>
      </w:r>
      <w:r w:rsidR="001C5793">
        <w:t>finally</w:t>
      </w:r>
      <w:r w:rsidR="000724F9">
        <w:t xml:space="preserve"> achieved a £3.1 billion settlement with litigants.</w:t>
      </w:r>
      <w:r w:rsidR="00370BAC">
        <w:rPr>
          <w:rStyle w:val="EndnoteReference"/>
        </w:rPr>
        <w:endnoteReference w:id="89"/>
      </w:r>
      <w:r w:rsidR="00775213" w:rsidRPr="00775213">
        <w:t xml:space="preserve"> </w:t>
      </w:r>
      <w:r w:rsidR="00775213">
        <w:t>In 1998 the new Labour government announced that Lloyd’s would be independently regulated by the FSA, a reversal of the decision of 1986.</w:t>
      </w:r>
      <w:r w:rsidR="00D637ED">
        <w:rPr>
          <w:rStyle w:val="EndnoteReference"/>
        </w:rPr>
        <w:endnoteReference w:id="90"/>
      </w:r>
      <w:r w:rsidR="00775213">
        <w:t xml:space="preserve"> </w:t>
      </w:r>
      <w:r w:rsidR="00DE7040">
        <w:t>In 2002, in the midst of further heavy losses</w:t>
      </w:r>
      <w:r w:rsidR="00245FA2">
        <w:t xml:space="preserve">, </w:t>
      </w:r>
      <w:r w:rsidR="001C5793">
        <w:t>an</w:t>
      </w:r>
      <w:r w:rsidR="00DE7040">
        <w:t xml:space="preserve"> annual accounting </w:t>
      </w:r>
      <w:r w:rsidR="001C5793">
        <w:t>system was adopted</w:t>
      </w:r>
      <w:r w:rsidR="00DE7040">
        <w:t>.</w:t>
      </w:r>
      <w:r w:rsidR="00245FA2">
        <w:rPr>
          <w:rStyle w:val="EndnoteReference"/>
        </w:rPr>
        <w:endnoteReference w:id="91"/>
      </w:r>
      <w:r w:rsidR="001C5793" w:rsidRPr="001C5793">
        <w:t xml:space="preserve"> </w:t>
      </w:r>
      <w:r w:rsidR="003E7072">
        <w:t xml:space="preserve">While these </w:t>
      </w:r>
      <w:r w:rsidR="00775213">
        <w:t xml:space="preserve">and other </w:t>
      </w:r>
      <w:r w:rsidR="003E7072">
        <w:t xml:space="preserve">reforms were </w:t>
      </w:r>
      <w:r w:rsidR="00DF6B6B">
        <w:t>taking place</w:t>
      </w:r>
      <w:r w:rsidR="003E7072">
        <w:t>, Lloyd’s also became a more concentrated market, as merger</w:t>
      </w:r>
      <w:r w:rsidR="008D6E9E">
        <w:t>s</w:t>
      </w:r>
      <w:r w:rsidR="003E7072">
        <w:t xml:space="preserve"> and acquisition</w:t>
      </w:r>
      <w:r w:rsidR="008D6E9E">
        <w:t>s</w:t>
      </w:r>
      <w:r w:rsidR="00D637ED">
        <w:t xml:space="preserve"> </w:t>
      </w:r>
      <w:r w:rsidR="003E7072">
        <w:t>swept across UK insurance. Between 1991 and 2002 the number of brokers operating at Lloyd’s fell from 244 to 126, managing agents from 151 to 49, and syndicates from 400 to 86. By the end of this period the three largest broking firms accounted for 61 per cent of Lloyd’s business.</w:t>
      </w:r>
      <w:r w:rsidR="00AD2A90">
        <w:rPr>
          <w:rStyle w:val="EndnoteReference"/>
        </w:rPr>
        <w:endnoteReference w:id="92"/>
      </w:r>
      <w:r w:rsidR="003E7072">
        <w:t xml:space="preserve"> </w:t>
      </w:r>
    </w:p>
    <w:p w:rsidR="00694382" w:rsidRDefault="00694382" w:rsidP="008C0F1F"/>
    <w:p w:rsidR="00D64779" w:rsidRDefault="005B0B99" w:rsidP="00650DCA">
      <w:pPr>
        <w:rPr>
          <w:b/>
        </w:rPr>
      </w:pPr>
      <w:r>
        <w:t xml:space="preserve">Lloyd’s emerged as a </w:t>
      </w:r>
      <w:r w:rsidR="00DF6B6B">
        <w:t>radically</w:t>
      </w:r>
      <w:r>
        <w:t xml:space="preserve"> different organisation from its historical predecessor. Much market share </w:t>
      </w:r>
      <w:r w:rsidR="00DF6B6B">
        <w:t xml:space="preserve">had been </w:t>
      </w:r>
      <w:r>
        <w:t>lost, especially to corporate insurers and brokers based in Bermuda.</w:t>
      </w:r>
      <w:r w:rsidR="0019528A">
        <w:rPr>
          <w:rStyle w:val="EndnoteReference"/>
        </w:rPr>
        <w:endnoteReference w:id="93"/>
      </w:r>
      <w:r>
        <w:t xml:space="preserve"> Nevertheless</w:t>
      </w:r>
      <w:r w:rsidR="00DF6B6B">
        <w:t>,</w:t>
      </w:r>
      <w:r>
        <w:t xml:space="preserve"> Lloyd’s remained important in the markets it had long specialised in</w:t>
      </w:r>
      <w:r w:rsidR="00FC68C4">
        <w:t xml:space="preserve">: </w:t>
      </w:r>
      <w:r>
        <w:t>reinsurance, aviation, offshore oil and gas rigs, and marine insurance. In 20</w:t>
      </w:r>
      <w:r w:rsidR="00DF6B6B">
        <w:t>12 a pre-tax profit of £2.8bn was posted on a gross premium income of £25.5bn. In the five years ending in 2012 the average return to investors was 12.1 per cent.</w:t>
      </w:r>
      <w:r w:rsidR="00FC68C4">
        <w:rPr>
          <w:rStyle w:val="EndnoteReference"/>
        </w:rPr>
        <w:endnoteReference w:id="94"/>
      </w:r>
    </w:p>
    <w:p w:rsidR="005B0B99" w:rsidRPr="002C553A" w:rsidRDefault="005B0B99" w:rsidP="00650DCA">
      <w:pPr>
        <w:rPr>
          <w:b/>
        </w:rPr>
      </w:pPr>
    </w:p>
    <w:p w:rsidR="00D64779" w:rsidRPr="002C553A" w:rsidRDefault="00D538CC" w:rsidP="00081346">
      <w:pPr>
        <w:rPr>
          <w:b/>
        </w:rPr>
      </w:pPr>
      <w:r>
        <w:rPr>
          <w:b/>
        </w:rPr>
        <w:t>5</w:t>
      </w:r>
      <w:r w:rsidR="00D64779" w:rsidRPr="002C553A">
        <w:rPr>
          <w:b/>
        </w:rPr>
        <w:t>. Conclusion</w:t>
      </w:r>
      <w:r w:rsidR="00EF7437" w:rsidRPr="002C553A">
        <w:rPr>
          <w:b/>
        </w:rPr>
        <w:t xml:space="preserve"> – </w:t>
      </w:r>
      <w:r w:rsidR="002C553A">
        <w:rPr>
          <w:b/>
        </w:rPr>
        <w:t xml:space="preserve">delusions of </w:t>
      </w:r>
      <w:r w:rsidR="00EF7437" w:rsidRPr="002C553A">
        <w:rPr>
          <w:b/>
        </w:rPr>
        <w:t>competence</w:t>
      </w:r>
    </w:p>
    <w:p w:rsidR="00081346" w:rsidRDefault="00081346" w:rsidP="00081346">
      <w:pPr>
        <w:pStyle w:val="NormalWeb"/>
        <w:spacing w:before="0" w:beforeAutospacing="0" w:after="0" w:afterAutospacing="0"/>
      </w:pPr>
      <w:r>
        <w:t xml:space="preserve">Several factors brought Lloyd’s to </w:t>
      </w:r>
      <w:r w:rsidR="00CE2354">
        <w:t>a</w:t>
      </w:r>
      <w:r>
        <w:t xml:space="preserve"> tipping point at the end of the 1980s. Certainly the </w:t>
      </w:r>
      <w:r w:rsidR="004C1B30">
        <w:t xml:space="preserve">inexperienced </w:t>
      </w:r>
      <w:r>
        <w:t xml:space="preserve">names </w:t>
      </w:r>
      <w:r w:rsidR="005F084E">
        <w:t>entering</w:t>
      </w:r>
      <w:r>
        <w:t xml:space="preserve"> the market exhibited signs of </w:t>
      </w:r>
      <w:r w:rsidR="00581DDA">
        <w:t>contagious behaviour</w:t>
      </w:r>
      <w:r w:rsidR="004C1B30">
        <w:t>.</w:t>
      </w:r>
      <w:r w:rsidR="00DF48CF">
        <w:rPr>
          <w:rStyle w:val="EndnoteReference"/>
        </w:rPr>
        <w:endnoteReference w:id="95"/>
      </w:r>
      <w:r w:rsidR="004C1B30">
        <w:t xml:space="preserve"> One </w:t>
      </w:r>
      <w:r w:rsidR="0019026C">
        <w:t xml:space="preserve">PCW </w:t>
      </w:r>
      <w:r w:rsidR="004C1B30">
        <w:t>victim told</w:t>
      </w:r>
      <w:r w:rsidR="0019026C">
        <w:t xml:space="preserve"> a reporter</w:t>
      </w:r>
      <w:r w:rsidR="004C1B30">
        <w:t xml:space="preserve"> in 1985 that she </w:t>
      </w:r>
      <w:r w:rsidR="00DF48CF">
        <w:t xml:space="preserve">had </w:t>
      </w:r>
      <w:r w:rsidR="004C1B30">
        <w:t xml:space="preserve">‘somehow got sucked into it’. She had been left £100,000 from her father </w:t>
      </w:r>
      <w:r w:rsidR="0019026C">
        <w:t xml:space="preserve">and had been persuaded to join a syndicate by a Lloyd’s agent to whom she had happened to sell a flat. </w:t>
      </w:r>
      <w:r w:rsidR="004C1B30">
        <w:t>‘They want £260,000</w:t>
      </w:r>
      <w:r w:rsidR="00A9526C" w:rsidRPr="00A9526C">
        <w:t xml:space="preserve"> </w:t>
      </w:r>
      <w:r w:rsidR="00A9526C">
        <w:t>from me</w:t>
      </w:r>
      <w:r w:rsidR="004C1B30">
        <w:t xml:space="preserve"> </w:t>
      </w:r>
      <w:r w:rsidR="00A9526C">
        <w:t xml:space="preserve">[in calls to meet </w:t>
      </w:r>
      <w:r w:rsidR="00A9526C">
        <w:lastRenderedPageBreak/>
        <w:t>losses]</w:t>
      </w:r>
      <w:r w:rsidR="004C1B30">
        <w:t>. I’m a secretary, I only earn £100 a week’.</w:t>
      </w:r>
      <w:r w:rsidR="009F2BEA">
        <w:rPr>
          <w:rStyle w:val="EndnoteReference"/>
        </w:rPr>
        <w:endnoteReference w:id="96"/>
      </w:r>
      <w:r>
        <w:t xml:space="preserve"> </w:t>
      </w:r>
      <w:r w:rsidR="009F2BEA">
        <w:t>More cynically</w:t>
      </w:r>
      <w:r w:rsidR="004E1F80">
        <w:t>,</w:t>
      </w:r>
      <w:r w:rsidR="009F2BEA">
        <w:t xml:space="preserve"> one might view th</w:t>
      </w:r>
      <w:r w:rsidR="00A9526C">
        <w:t xml:space="preserve">e flood of new entrants </w:t>
      </w:r>
      <w:r w:rsidR="009F2BEA">
        <w:t xml:space="preserve">as </w:t>
      </w:r>
      <w:r w:rsidR="00A9526C">
        <w:t>a</w:t>
      </w:r>
      <w:r w:rsidR="009F2BEA">
        <w:t xml:space="preserve"> manifestation of a culture of greed, in which the unwary were </w:t>
      </w:r>
      <w:r w:rsidR="00FF6B03">
        <w:t>lured</w:t>
      </w:r>
      <w:r w:rsidR="009F2BEA">
        <w:t xml:space="preserve"> by </w:t>
      </w:r>
      <w:r w:rsidR="009834E3">
        <w:t>ease of entry</w:t>
      </w:r>
      <w:r w:rsidR="005F084E">
        <w:t xml:space="preserve"> </w:t>
      </w:r>
      <w:r w:rsidR="00592BD8">
        <w:t xml:space="preserve">and </w:t>
      </w:r>
      <w:r w:rsidR="005F084E">
        <w:t>by</w:t>
      </w:r>
      <w:r w:rsidR="009834E3">
        <w:t xml:space="preserve"> </w:t>
      </w:r>
      <w:r w:rsidR="009F2BEA">
        <w:t>promise</w:t>
      </w:r>
      <w:r w:rsidR="00583A6B">
        <w:t>s</w:t>
      </w:r>
      <w:r w:rsidR="009F2BEA">
        <w:t xml:space="preserve"> of tax advantages and high returns for little effort</w:t>
      </w:r>
      <w:r w:rsidR="004E1F80">
        <w:t xml:space="preserve"> or risk</w:t>
      </w:r>
      <w:r w:rsidR="009F2BEA">
        <w:t>.</w:t>
      </w:r>
      <w:r w:rsidR="00A9526C">
        <w:rPr>
          <w:rStyle w:val="EndnoteReference"/>
        </w:rPr>
        <w:endnoteReference w:id="97"/>
      </w:r>
      <w:r w:rsidR="0072726C">
        <w:t xml:space="preserve"> </w:t>
      </w:r>
    </w:p>
    <w:p w:rsidR="00A531D6" w:rsidRDefault="00A531D6" w:rsidP="00081346">
      <w:pPr>
        <w:pStyle w:val="NormalWeb"/>
        <w:spacing w:before="0" w:beforeAutospacing="0" w:after="0" w:afterAutospacing="0"/>
      </w:pPr>
    </w:p>
    <w:p w:rsidR="00A531D6" w:rsidRDefault="004E1F80" w:rsidP="00A531D6">
      <w:r>
        <w:t>Yet the crisis involved more than a bubble</w:t>
      </w:r>
      <w:r w:rsidR="00581DDA">
        <w:t xml:space="preserve"> of contagious speculation</w:t>
      </w:r>
      <w:r>
        <w:t xml:space="preserve">. </w:t>
      </w:r>
      <w:r w:rsidR="00AC0D77">
        <w:t xml:space="preserve">A wave of </w:t>
      </w:r>
      <w:r w:rsidR="0072726C">
        <w:t>catastrophe and liability losses</w:t>
      </w:r>
      <w:r w:rsidR="00AC0D77">
        <w:t xml:space="preserve"> far in excess of the normal underwriting cycle</w:t>
      </w:r>
      <w:r w:rsidR="0072726C">
        <w:t xml:space="preserve">, </w:t>
      </w:r>
      <w:r w:rsidR="00AC0D77">
        <w:t xml:space="preserve">tax changes, </w:t>
      </w:r>
      <w:r w:rsidR="0072726C">
        <w:t>falling returns, scandals and frauds</w:t>
      </w:r>
      <w:r w:rsidR="00AC0D77">
        <w:t>, together combined to make Lloyd’s less attractive to unlimited liability investors</w:t>
      </w:r>
      <w:r w:rsidR="00F27253" w:rsidRPr="00F27253">
        <w:t xml:space="preserve"> </w:t>
      </w:r>
      <w:r w:rsidR="00F27253">
        <w:t>by the early 1990s</w:t>
      </w:r>
      <w:r w:rsidR="00AC0D77">
        <w:t>.</w:t>
      </w:r>
      <w:r w:rsidR="00682AC4">
        <w:rPr>
          <w:rStyle w:val="EndnoteReference"/>
        </w:rPr>
        <w:endnoteReference w:id="98"/>
      </w:r>
      <w:r w:rsidR="00AC0D77">
        <w:t xml:space="preserve"> The failure of the governance reforms of 1981-7 to be accompanied by </w:t>
      </w:r>
      <w:r w:rsidR="001E676A">
        <w:t>changes to</w:t>
      </w:r>
      <w:r w:rsidR="00AC0D77">
        <w:t xml:space="preserve"> operating procedures and underwriting practices </w:t>
      </w:r>
      <w:r w:rsidR="00F27253">
        <w:t xml:space="preserve">indicated </w:t>
      </w:r>
      <w:r w:rsidR="00AC0D77">
        <w:t xml:space="preserve">inertia, although it is </w:t>
      </w:r>
      <w:r w:rsidR="001E676A">
        <w:t>un</w:t>
      </w:r>
      <w:r w:rsidR="00AC0D77">
        <w:t xml:space="preserve">likely </w:t>
      </w:r>
      <w:r w:rsidR="001E676A">
        <w:t xml:space="preserve">that </w:t>
      </w:r>
      <w:r w:rsidR="006D799A">
        <w:t>such changes</w:t>
      </w:r>
      <w:r w:rsidR="00AC0D77">
        <w:t xml:space="preserve"> would have </w:t>
      </w:r>
      <w:r w:rsidR="006D799A">
        <w:t xml:space="preserve">mitigated </w:t>
      </w:r>
      <w:r w:rsidR="00AC0D77">
        <w:t xml:space="preserve">the </w:t>
      </w:r>
      <w:r w:rsidR="006D799A">
        <w:t xml:space="preserve">effects </w:t>
      </w:r>
      <w:r w:rsidR="001E676A">
        <w:t>of</w:t>
      </w:r>
      <w:r w:rsidR="00AC0D77">
        <w:t xml:space="preserve"> long-tail </w:t>
      </w:r>
      <w:r w:rsidR="00013C9F">
        <w:t>losses</w:t>
      </w:r>
      <w:r w:rsidR="001E676A">
        <w:t xml:space="preserve"> </w:t>
      </w:r>
      <w:r w:rsidR="00AC0D77">
        <w:t xml:space="preserve">deriving from policies written much earlier. Legal actions and political lobbying by names heaped pressure on Lloyd’s to accept structural reforms and </w:t>
      </w:r>
      <w:r w:rsidR="00FD6CD0">
        <w:t xml:space="preserve">to </w:t>
      </w:r>
      <w:r w:rsidR="00AC0D77">
        <w:t>mutualis</w:t>
      </w:r>
      <w:r w:rsidR="00FD6CD0">
        <w:t>e</w:t>
      </w:r>
      <w:r w:rsidR="00AC0D77">
        <w:t xml:space="preserve"> ou</w:t>
      </w:r>
      <w:r w:rsidR="00013C9F">
        <w:t>tstanding liabilities, while growing</w:t>
      </w:r>
      <w:r w:rsidR="00AC0D77">
        <w:t xml:space="preserve"> scepticism about self-regulation pulled support from under the feet of </w:t>
      </w:r>
      <w:r w:rsidR="00A531D6">
        <w:t xml:space="preserve">the </w:t>
      </w:r>
      <w:r w:rsidR="00AC0D77">
        <w:t xml:space="preserve">traditionalists. </w:t>
      </w:r>
      <w:r w:rsidR="00A531D6">
        <w:t>The political debat</w:t>
      </w:r>
      <w:r w:rsidR="00FD6CD0">
        <w:t xml:space="preserve">es between 1981 and 1992 </w:t>
      </w:r>
      <w:r w:rsidR="00AC0D77">
        <w:t>clear</w:t>
      </w:r>
      <w:r w:rsidR="00FD6CD0">
        <w:t xml:space="preserve">ly reveal </w:t>
      </w:r>
      <w:r w:rsidR="00013C9F">
        <w:t xml:space="preserve">a </w:t>
      </w:r>
      <w:r w:rsidR="00AC0D77" w:rsidRPr="00074464">
        <w:t>shift in Parliament</w:t>
      </w:r>
      <w:r w:rsidR="00AC0D77">
        <w:t xml:space="preserve"> and</w:t>
      </w:r>
      <w:r w:rsidR="00AC0D77" w:rsidRPr="00074464">
        <w:t xml:space="preserve"> the press towards </w:t>
      </w:r>
      <w:r w:rsidR="00A531D6">
        <w:t xml:space="preserve">an </w:t>
      </w:r>
      <w:r w:rsidR="00AC0D77" w:rsidRPr="00074464">
        <w:t xml:space="preserve">acceptance of </w:t>
      </w:r>
      <w:r w:rsidR="00F27253">
        <w:t xml:space="preserve">the need for </w:t>
      </w:r>
      <w:r w:rsidR="00FD6CD0">
        <w:t xml:space="preserve">independent </w:t>
      </w:r>
      <w:r w:rsidR="00A531D6">
        <w:t xml:space="preserve">statutory supervision. It took the confluence of these factors to transform Lloyd’s. </w:t>
      </w:r>
    </w:p>
    <w:p w:rsidR="00A531D6" w:rsidRDefault="00A531D6" w:rsidP="00A531D6"/>
    <w:p w:rsidR="00FD6CD0" w:rsidRDefault="00FD6CD0" w:rsidP="00FD6CD0">
      <w:r>
        <w:t xml:space="preserve">Experts, led by Hay Davison, attempted to implement constitutional change and </w:t>
      </w:r>
      <w:r w:rsidR="00F27253">
        <w:t>improve</w:t>
      </w:r>
      <w:r>
        <w:t xml:space="preserve"> professionalism, but the symptoms presented did not </w:t>
      </w:r>
      <w:r w:rsidR="000A7487">
        <w:t xml:space="preserve">lead </w:t>
      </w:r>
      <w:r>
        <w:t>them to a full diagnosis of the disease. Th</w:t>
      </w:r>
      <w:r w:rsidR="00F27253">
        <w:t>is</w:t>
      </w:r>
      <w:r>
        <w:t xml:space="preserve"> had two separate but related layers</w:t>
      </w:r>
      <w:r w:rsidR="00F27253">
        <w:t xml:space="preserve"> of infection</w:t>
      </w:r>
      <w:r>
        <w:t xml:space="preserve">, one almost invisibly buried under the other. The most visible, which produced malfeasance and misgovernment, was the easiest to treat. The governance </w:t>
      </w:r>
      <w:r w:rsidR="000610BB">
        <w:t xml:space="preserve">and accounting </w:t>
      </w:r>
      <w:r>
        <w:t xml:space="preserve">reforms of the 1980s, </w:t>
      </w:r>
      <w:r w:rsidR="00F27253">
        <w:t xml:space="preserve">although </w:t>
      </w:r>
      <w:r>
        <w:t>only partially complete</w:t>
      </w:r>
      <w:r w:rsidR="004A0AB1">
        <w:t>,</w:t>
      </w:r>
      <w:r>
        <w:t xml:space="preserve"> may have temporarily alleviated some of the symptom</w:t>
      </w:r>
      <w:r w:rsidR="000A7487">
        <w:t>s</w:t>
      </w:r>
      <w:r>
        <w:t xml:space="preserve">. </w:t>
      </w:r>
      <w:r w:rsidR="004A0AB1">
        <w:t xml:space="preserve">While </w:t>
      </w:r>
      <w:r>
        <w:t>the</w:t>
      </w:r>
      <w:r w:rsidR="00F27253">
        <w:t xml:space="preserve"> market continued to rapidly, </w:t>
      </w:r>
      <w:r>
        <w:t xml:space="preserve">many </w:t>
      </w:r>
      <w:r w:rsidR="004A0AB1">
        <w:t xml:space="preserve">thought </w:t>
      </w:r>
      <w:r>
        <w:t xml:space="preserve">that the patient would make a good recovery. By </w:t>
      </w:r>
      <w:r w:rsidR="004A0AB1">
        <w:t>1988</w:t>
      </w:r>
      <w:r>
        <w:t xml:space="preserve">, however, constitutional reforms alone could not </w:t>
      </w:r>
      <w:r w:rsidR="000A7487">
        <w:t>remedy</w:t>
      </w:r>
      <w:r>
        <w:t xml:space="preserve"> the underlying and most fatal layer of the Lloyd’s disease, the </w:t>
      </w:r>
      <w:r w:rsidR="004A0AB1">
        <w:t xml:space="preserve">toxic </w:t>
      </w:r>
      <w:r>
        <w:t>process by which risks were insured and reinsured</w:t>
      </w:r>
      <w:r w:rsidR="000A7487">
        <w:t xml:space="preserve"> and the </w:t>
      </w:r>
      <w:r w:rsidR="00F27253">
        <w:t xml:space="preserve">unwarranted </w:t>
      </w:r>
      <w:r w:rsidR="000A7487">
        <w:t>faith in the competence of those managing that process.</w:t>
      </w:r>
      <w:r>
        <w:t xml:space="preserve"> </w:t>
      </w:r>
    </w:p>
    <w:p w:rsidR="00FD6CD0" w:rsidRDefault="00FD6CD0" w:rsidP="00A531D6"/>
    <w:p w:rsidR="00154C64" w:rsidRDefault="000610BB" w:rsidP="00154C64">
      <w:r>
        <w:t>A</w:t>
      </w:r>
      <w:r w:rsidR="00154C64">
        <w:t xml:space="preserve"> belief in </w:t>
      </w:r>
      <w:r>
        <w:t xml:space="preserve">the </w:t>
      </w:r>
      <w:r w:rsidR="00154C64">
        <w:t xml:space="preserve">traditional </w:t>
      </w:r>
      <w:r w:rsidR="000A7487">
        <w:t>way</w:t>
      </w:r>
      <w:r w:rsidR="00154C64">
        <w:t>s</w:t>
      </w:r>
      <w:r w:rsidR="000A7487">
        <w:t xml:space="preserve"> of doing things </w:t>
      </w:r>
      <w:r w:rsidR="00154C64">
        <w:t xml:space="preserve">compounded the ailment. There were two aspects of this. First, </w:t>
      </w:r>
      <w:r w:rsidR="00A8211D">
        <w:t xml:space="preserve">tribalism and hierarchical </w:t>
      </w:r>
      <w:r w:rsidR="00154C64">
        <w:t>attitudes</w:t>
      </w:r>
      <w:r w:rsidR="000704FB">
        <w:t xml:space="preserve"> abounded</w:t>
      </w:r>
      <w:r w:rsidR="00154C64">
        <w:t>. Brokers regarded underwriters</w:t>
      </w:r>
      <w:r w:rsidR="003A3B51">
        <w:t>, some at least,</w:t>
      </w:r>
      <w:r w:rsidR="00154C64">
        <w:t xml:space="preserve"> as vain and lazy. Underwriters viewed members’ agents as a ‘lesser breed’. The staff of Lloyd’s were </w:t>
      </w:r>
      <w:r w:rsidR="003A3B51">
        <w:t>seen</w:t>
      </w:r>
      <w:r w:rsidR="00154C64">
        <w:t xml:space="preserve"> by both underwriters and brokers as </w:t>
      </w:r>
      <w:r w:rsidR="009B5BEF">
        <w:t>inferior</w:t>
      </w:r>
      <w:r w:rsidR="000704FB">
        <w:t xml:space="preserve"> and</w:t>
      </w:r>
      <w:r w:rsidR="009B5BEF">
        <w:t xml:space="preserve"> </w:t>
      </w:r>
      <w:r w:rsidR="000704FB">
        <w:t>‘</w:t>
      </w:r>
      <w:r w:rsidR="009B5BEF">
        <w:t>uncommercial</w:t>
      </w:r>
      <w:r w:rsidR="000704FB">
        <w:t>’.</w:t>
      </w:r>
      <w:r w:rsidR="00154C64">
        <w:t xml:space="preserve"> All working members regarded the place as special and themselves as superior to </w:t>
      </w:r>
      <w:r w:rsidR="003A3B51">
        <w:t xml:space="preserve">those </w:t>
      </w:r>
      <w:r w:rsidR="000704FB">
        <w:t>employed by</w:t>
      </w:r>
      <w:r w:rsidR="003A3B51">
        <w:t xml:space="preserve"> </w:t>
      </w:r>
      <w:r w:rsidR="00154C64">
        <w:t>outside insur</w:t>
      </w:r>
      <w:r w:rsidR="003A3B51">
        <w:t>ance com</w:t>
      </w:r>
      <w:r w:rsidR="009B5BEF">
        <w:t>p</w:t>
      </w:r>
      <w:r w:rsidR="003A3B51">
        <w:t>anies</w:t>
      </w:r>
      <w:r w:rsidR="00154C64">
        <w:t>.</w:t>
      </w:r>
      <w:r w:rsidR="003A3B51">
        <w:rPr>
          <w:rStyle w:val="EndnoteReference"/>
        </w:rPr>
        <w:endnoteReference w:id="99"/>
      </w:r>
      <w:r w:rsidR="00154C64">
        <w:t xml:space="preserve"> </w:t>
      </w:r>
      <w:r w:rsidR="0072644B">
        <w:t xml:space="preserve">Second, these feelings of superiority did not derive from an extensive </w:t>
      </w:r>
      <w:r w:rsidR="000704FB">
        <w:t>formal</w:t>
      </w:r>
      <w:r w:rsidR="0072644B">
        <w:t xml:space="preserve"> education. Lloyd’s underwriters rarely had any </w:t>
      </w:r>
      <w:r w:rsidR="00AC7588">
        <w:t>professional qualifications</w:t>
      </w:r>
      <w:r w:rsidR="000704FB">
        <w:t xml:space="preserve"> or a</w:t>
      </w:r>
      <w:r w:rsidR="00AC7588">
        <w:t xml:space="preserve"> university degree. Many began at Lloyd’s as teenage ‘entry boys’, sitting at the box near the junior and senior underwriters, learning how deals were made with brokers, noting the decisions made on filing cards. If they were reasonably </w:t>
      </w:r>
      <w:r w:rsidR="003A3B51">
        <w:t>bright</w:t>
      </w:r>
      <w:r w:rsidR="00AC7588">
        <w:t xml:space="preserve">, and fitted in well with the lunchtime drinking culture, they would gradually work their way up the seniority system until they became </w:t>
      </w:r>
      <w:r w:rsidR="003A3B51">
        <w:t>chief underwriter for a syndicate.</w:t>
      </w:r>
      <w:r w:rsidR="009B5BEF">
        <w:rPr>
          <w:rStyle w:val="EndnoteReference"/>
        </w:rPr>
        <w:endnoteReference w:id="100"/>
      </w:r>
      <w:r w:rsidR="003A3B51">
        <w:t xml:space="preserve"> </w:t>
      </w:r>
      <w:r w:rsidR="00C015AA">
        <w:t>The</w:t>
      </w:r>
      <w:r w:rsidR="00037334">
        <w:t xml:space="preserve"> sense of superiority came from surviving in this system, being a member of </w:t>
      </w:r>
      <w:r w:rsidR="00C015AA">
        <w:t>an</w:t>
      </w:r>
      <w:r w:rsidR="00037334">
        <w:t xml:space="preserve"> </w:t>
      </w:r>
      <w:r w:rsidR="00FC7AF4">
        <w:t xml:space="preserve">exclusive </w:t>
      </w:r>
      <w:r w:rsidR="00037334">
        <w:t xml:space="preserve">club, and making lots of money. </w:t>
      </w:r>
    </w:p>
    <w:p w:rsidR="00154C64" w:rsidRDefault="00154C64" w:rsidP="000A7487"/>
    <w:p w:rsidR="0065783F" w:rsidRDefault="00EF47D1" w:rsidP="000A7487">
      <w:r>
        <w:t>A</w:t>
      </w:r>
      <w:r w:rsidR="00037334">
        <w:t xml:space="preserve">n inflated confidence in their own abilities </w:t>
      </w:r>
      <w:r w:rsidR="00DB56EB">
        <w:t xml:space="preserve">led </w:t>
      </w:r>
      <w:r w:rsidR="00037334">
        <w:t xml:space="preserve">underwriters into the LMX </w:t>
      </w:r>
      <w:r w:rsidR="00DB56EB">
        <w:t xml:space="preserve">spiral, a market </w:t>
      </w:r>
      <w:r w:rsidR="009A642E">
        <w:t>many</w:t>
      </w:r>
      <w:r w:rsidR="00DB56EB">
        <w:t xml:space="preserve"> did not understand </w:t>
      </w:r>
      <w:r>
        <w:t>and</w:t>
      </w:r>
      <w:r w:rsidR="00DB56EB">
        <w:t xml:space="preserve"> whose risks they </w:t>
      </w:r>
      <w:r>
        <w:t xml:space="preserve">did not know </w:t>
      </w:r>
      <w:r w:rsidR="00DB56EB">
        <w:t>how to price</w:t>
      </w:r>
      <w:r w:rsidR="00037334">
        <w:t xml:space="preserve">. </w:t>
      </w:r>
      <w:r w:rsidR="00DB56EB">
        <w:t xml:space="preserve">This was not due to a lack of experience. Those who made the massive losses for the Gooda Walker syndicates, for instance, were no Johnny-come-latelies or young Turks seeking to gamble with their names’ funds. </w:t>
      </w:r>
      <w:r w:rsidR="00DB56EB" w:rsidRPr="00DB56EB">
        <w:t>Stan Andrews</w:t>
      </w:r>
      <w:r w:rsidR="00DB56EB">
        <w:t>,</w:t>
      </w:r>
      <w:r w:rsidR="00DB56EB" w:rsidRPr="00DB56EB">
        <w:t xml:space="preserve"> the u</w:t>
      </w:r>
      <w:r w:rsidR="00DB56EB">
        <w:t xml:space="preserve">nderwriter for syndicate </w:t>
      </w:r>
      <w:r w:rsidR="00DB56EB" w:rsidRPr="00DB56EB">
        <w:t>#298</w:t>
      </w:r>
      <w:r w:rsidR="00DB56EB">
        <w:t>,</w:t>
      </w:r>
      <w:r w:rsidR="00DB56EB" w:rsidRPr="00DB56EB">
        <w:t xml:space="preserve"> was born in 1930</w:t>
      </w:r>
      <w:r w:rsidR="00DB56EB">
        <w:t xml:space="preserve">, </w:t>
      </w:r>
      <w:r w:rsidR="00DB56EB" w:rsidRPr="00DB56EB">
        <w:t xml:space="preserve">joined </w:t>
      </w:r>
      <w:r w:rsidR="00DB56EB">
        <w:t xml:space="preserve">the </w:t>
      </w:r>
      <w:r w:rsidR="00DB56EB" w:rsidRPr="00DB56EB">
        <w:t xml:space="preserve">Gooda </w:t>
      </w:r>
      <w:r w:rsidR="00DB56EB">
        <w:t xml:space="preserve">agency </w:t>
      </w:r>
      <w:r w:rsidR="00DB56EB" w:rsidRPr="00DB56EB">
        <w:t>in 1954</w:t>
      </w:r>
      <w:r w:rsidR="00DB56EB">
        <w:t xml:space="preserve"> , and was aged </w:t>
      </w:r>
      <w:r w:rsidR="00DB56EB" w:rsidRPr="00DB56EB">
        <w:t xml:space="preserve">64 </w:t>
      </w:r>
      <w:r w:rsidR="00DB56EB">
        <w:t xml:space="preserve">at the time of the </w:t>
      </w:r>
      <w:r w:rsidR="00DA7E0E">
        <w:t xml:space="preserve">Gooda Walker </w:t>
      </w:r>
      <w:r w:rsidR="00DB56EB">
        <w:t xml:space="preserve">trial. </w:t>
      </w:r>
      <w:r w:rsidR="00DB56EB" w:rsidRPr="00DB56EB">
        <w:t>Anthony Willard</w:t>
      </w:r>
      <w:r w:rsidR="00DB56EB">
        <w:t xml:space="preserve">, who wrote for syndicate </w:t>
      </w:r>
      <w:r w:rsidR="00DB56EB" w:rsidRPr="00DB56EB">
        <w:t>#299</w:t>
      </w:r>
      <w:r w:rsidR="00DB56EB">
        <w:t>,</w:t>
      </w:r>
      <w:r w:rsidR="00DB56EB" w:rsidRPr="00DB56EB">
        <w:t xml:space="preserve"> </w:t>
      </w:r>
      <w:r w:rsidR="00D06E11">
        <w:t xml:space="preserve">joined </w:t>
      </w:r>
      <w:r w:rsidR="00DB56EB" w:rsidRPr="00DB56EB">
        <w:t>Lloyd</w:t>
      </w:r>
      <w:r w:rsidR="00D06E11">
        <w:t>’</w:t>
      </w:r>
      <w:r w:rsidR="00DB56EB" w:rsidRPr="00DB56EB">
        <w:t xml:space="preserve">s </w:t>
      </w:r>
      <w:r w:rsidR="00AC1EFF">
        <w:t xml:space="preserve">aged 16 </w:t>
      </w:r>
      <w:r w:rsidR="00DB56EB" w:rsidRPr="00DB56EB">
        <w:t xml:space="preserve">in 1951 and </w:t>
      </w:r>
      <w:r w:rsidR="003663C3">
        <w:t>became</w:t>
      </w:r>
      <w:r w:rsidR="003663C3" w:rsidRPr="003663C3">
        <w:t xml:space="preserve"> </w:t>
      </w:r>
      <w:r w:rsidR="003663C3" w:rsidRPr="00DB56EB">
        <w:lastRenderedPageBreak/>
        <w:t>marine u</w:t>
      </w:r>
      <w:r w:rsidR="003663C3">
        <w:t xml:space="preserve">nderwriter for </w:t>
      </w:r>
      <w:r w:rsidR="00DB56EB" w:rsidRPr="00DB56EB">
        <w:t xml:space="preserve">Gooda Walker in 1968. </w:t>
      </w:r>
      <w:r w:rsidR="00D06E11">
        <w:t xml:space="preserve">He was 59 at the time of his trial. </w:t>
      </w:r>
      <w:r w:rsidR="00DB56EB" w:rsidRPr="00D06E11">
        <w:t>Derek Walker</w:t>
      </w:r>
      <w:r w:rsidR="00D06E11">
        <w:t xml:space="preserve"> was born in 1928, </w:t>
      </w:r>
      <w:r w:rsidR="00D06E11" w:rsidRPr="00DB56EB">
        <w:t>began work</w:t>
      </w:r>
      <w:r w:rsidR="00D06E11">
        <w:t>ing</w:t>
      </w:r>
      <w:r w:rsidR="00D06E11" w:rsidRPr="00DB56EB">
        <w:t xml:space="preserve"> in Lloyd</w:t>
      </w:r>
      <w:r w:rsidR="00D06E11">
        <w:t>’</w:t>
      </w:r>
      <w:r w:rsidR="00D06E11" w:rsidRPr="00DB56EB">
        <w:t>s in 1943</w:t>
      </w:r>
      <w:r w:rsidR="00D06E11">
        <w:t>, started</w:t>
      </w:r>
      <w:r w:rsidR="00DB56EB" w:rsidRPr="00DB56EB">
        <w:t xml:space="preserve"> </w:t>
      </w:r>
      <w:r w:rsidR="00D06E11">
        <w:t xml:space="preserve">syndicate </w:t>
      </w:r>
      <w:r w:rsidR="00DB56EB" w:rsidRPr="00DB56EB">
        <w:t>#290</w:t>
      </w:r>
      <w:r w:rsidR="00D06E11">
        <w:t xml:space="preserve"> </w:t>
      </w:r>
      <w:r w:rsidR="00DB56EB" w:rsidRPr="00DB56EB">
        <w:t>in 1974 with 100 names</w:t>
      </w:r>
      <w:r w:rsidR="003663C3">
        <w:t>. B</w:t>
      </w:r>
      <w:r w:rsidR="00D06E11">
        <w:t xml:space="preserve">y 1989 </w:t>
      </w:r>
      <w:r w:rsidR="003663C3">
        <w:t xml:space="preserve">the latter </w:t>
      </w:r>
      <w:r w:rsidR="00DA7E0E">
        <w:t xml:space="preserve">had </w:t>
      </w:r>
      <w:r w:rsidR="00DB56EB" w:rsidRPr="00DB56EB">
        <w:t>3,163 names</w:t>
      </w:r>
      <w:r w:rsidR="00D06E11">
        <w:t>. He was aged 66 at his trial. In other words, they were all long-established insiders who had worked their way up</w:t>
      </w:r>
      <w:r w:rsidR="00AC1EFF">
        <w:t xml:space="preserve"> through the market</w:t>
      </w:r>
      <w:r w:rsidR="00D06E11">
        <w:t xml:space="preserve">. </w:t>
      </w:r>
      <w:r w:rsidR="00DA7E0E">
        <w:t xml:space="preserve">Yet it proved hugely damaging </w:t>
      </w:r>
      <w:r w:rsidR="00D06E11">
        <w:t xml:space="preserve">for these men to rely on their past experience when writing XL </w:t>
      </w:r>
      <w:r w:rsidR="00DA7E0E">
        <w:t xml:space="preserve">risks that required specialist knowledge and </w:t>
      </w:r>
      <w:r>
        <w:t xml:space="preserve">an </w:t>
      </w:r>
      <w:r w:rsidR="00DA7E0E">
        <w:t xml:space="preserve">expert consideration of rating and exposure. Setting premiums by </w:t>
      </w:r>
      <w:r w:rsidR="00EA7515">
        <w:t xml:space="preserve">intuition and </w:t>
      </w:r>
      <w:r w:rsidR="00DA7E0E">
        <w:t xml:space="preserve">‘gut feeling’ would not do in a world of rapid </w:t>
      </w:r>
      <w:r w:rsidR="00F04B63">
        <w:t xml:space="preserve">technological and environmental </w:t>
      </w:r>
      <w:r w:rsidR="00DA7E0E">
        <w:t xml:space="preserve">change, </w:t>
      </w:r>
      <w:r w:rsidR="00AC1EFF">
        <w:t>and</w:t>
      </w:r>
      <w:r w:rsidR="00F04B63">
        <w:t xml:space="preserve"> unprecedented </w:t>
      </w:r>
      <w:r w:rsidR="00AC1EFF">
        <w:t xml:space="preserve">losses from </w:t>
      </w:r>
      <w:r w:rsidR="00DA7E0E">
        <w:t xml:space="preserve">natural </w:t>
      </w:r>
      <w:r w:rsidR="00F04B63">
        <w:t>catastrophes</w:t>
      </w:r>
      <w:r w:rsidR="00DA7E0E">
        <w:t xml:space="preserve"> </w:t>
      </w:r>
      <w:r w:rsidR="00F04B63">
        <w:t>and long term liabilities.</w:t>
      </w:r>
      <w:r w:rsidR="00F04B63">
        <w:rPr>
          <w:rStyle w:val="EndnoteReference"/>
        </w:rPr>
        <w:endnoteReference w:id="101"/>
      </w:r>
    </w:p>
    <w:p w:rsidR="00EA7515" w:rsidRDefault="00EA7515" w:rsidP="000A7487"/>
    <w:p w:rsidR="00405137" w:rsidRDefault="00405137" w:rsidP="00405137">
      <w:r>
        <w:t>Lloyd’s</w:t>
      </w:r>
      <w:r w:rsidR="00EF47D1">
        <w:t xml:space="preserve"> </w:t>
      </w:r>
      <w:r>
        <w:t>not only provides a lesson about the weakness of self regulation and the inefficiency of the competitive market to weed out poor business practices. It also reveals th</w:t>
      </w:r>
      <w:r w:rsidR="00B0774D">
        <w:t>e</w:t>
      </w:r>
      <w:r>
        <w:t xml:space="preserve"> damage that can be caused </w:t>
      </w:r>
      <w:r w:rsidR="00B0774D">
        <w:t xml:space="preserve">to a financial system </w:t>
      </w:r>
      <w:r>
        <w:t xml:space="preserve">by dogmatic belief in the competence of experts. The </w:t>
      </w:r>
      <w:r w:rsidR="00895223">
        <w:t>assertion by</w:t>
      </w:r>
      <w:r>
        <w:t xml:space="preserve"> Lloyd’s insiders </w:t>
      </w:r>
      <w:r w:rsidR="00895223">
        <w:t xml:space="preserve">of </w:t>
      </w:r>
      <w:r>
        <w:t xml:space="preserve">their right to self-regulate rested </w:t>
      </w:r>
      <w:r w:rsidR="0085629F">
        <w:t>o</w:t>
      </w:r>
      <w:r>
        <w:t xml:space="preserve">n their expertise and the mysteries of </w:t>
      </w:r>
      <w:r w:rsidR="0085629F">
        <w:t>a</w:t>
      </w:r>
      <w:r>
        <w:t xml:space="preserve"> trade rooted in customary practices. Before the 1980s th</w:t>
      </w:r>
      <w:r w:rsidR="00BD7250">
        <w:t>is assertion</w:t>
      </w:r>
      <w:r>
        <w:t xml:space="preserve">, and widespread ignorance of how Lloyd’s operated, had convinced generations of politicians to leave the market alone. But the claims proved to be a chimera in the </w:t>
      </w:r>
      <w:r w:rsidR="00665C45">
        <w:t>face</w:t>
      </w:r>
      <w:r>
        <w:t xml:space="preserve"> of market forces, climate </w:t>
      </w:r>
      <w:r w:rsidR="00713F37">
        <w:t>shocks</w:t>
      </w:r>
      <w:r>
        <w:t xml:space="preserve"> and changes in the nature of risk</w:t>
      </w:r>
      <w:r w:rsidR="0085629F">
        <w:t xml:space="preserve">. </w:t>
      </w:r>
    </w:p>
    <w:p w:rsidR="00405137" w:rsidRDefault="00405137" w:rsidP="000A7487"/>
    <w:p w:rsidR="002252B6" w:rsidRDefault="00BD7250" w:rsidP="006F462E">
      <w:r>
        <w:t>Lloyd’s underwriters’</w:t>
      </w:r>
      <w:r w:rsidR="00EA7515">
        <w:t xml:space="preserve"> </w:t>
      </w:r>
      <w:r w:rsidR="00EF47D1">
        <w:t xml:space="preserve">claim to </w:t>
      </w:r>
      <w:r w:rsidR="00EA7515">
        <w:t xml:space="preserve">expertise rested on </w:t>
      </w:r>
      <w:r w:rsidR="00EF47D1">
        <w:t xml:space="preserve">their </w:t>
      </w:r>
      <w:r w:rsidR="00EA7515">
        <w:t>tacit knowledge</w:t>
      </w:r>
      <w:r>
        <w:t xml:space="preserve">, </w:t>
      </w:r>
      <w:r w:rsidR="00EA7515">
        <w:t>the</w:t>
      </w:r>
      <w:r>
        <w:t>ir</w:t>
      </w:r>
      <w:r w:rsidR="00EA7515">
        <w:t xml:space="preserve"> accumulation of know-how.</w:t>
      </w:r>
      <w:r w:rsidR="00EF47D1">
        <w:rPr>
          <w:rStyle w:val="EndnoteReference"/>
        </w:rPr>
        <w:endnoteReference w:id="102"/>
      </w:r>
      <w:r w:rsidR="00EF47D1">
        <w:t xml:space="preserve"> </w:t>
      </w:r>
      <w:r w:rsidR="006F462E">
        <w:t xml:space="preserve">This </w:t>
      </w:r>
      <w:r w:rsidR="00EF47D1">
        <w:t xml:space="preserve">type of knowledge </w:t>
      </w:r>
      <w:r w:rsidR="006F462E">
        <w:t>is</w:t>
      </w:r>
      <w:r w:rsidR="00EF47D1">
        <w:t xml:space="preserve"> associated with </w:t>
      </w:r>
      <w:r w:rsidR="006F462E">
        <w:t>intuition</w:t>
      </w:r>
      <w:r w:rsidR="002252B6">
        <w:t xml:space="preserve"> and</w:t>
      </w:r>
      <w:r w:rsidR="006F462E">
        <w:t xml:space="preserve"> a reliance on the heuristic or rule of thumb.</w:t>
      </w:r>
      <w:r w:rsidR="002252B6">
        <w:rPr>
          <w:rStyle w:val="EndnoteReference"/>
        </w:rPr>
        <w:endnoteReference w:id="103"/>
      </w:r>
      <w:r w:rsidR="002252B6">
        <w:t xml:space="preserve"> </w:t>
      </w:r>
      <w:r w:rsidR="006F462E">
        <w:t>This facilitates the decision making required in a</w:t>
      </w:r>
      <w:r w:rsidR="0063121E">
        <w:t xml:space="preserve"> fast moving </w:t>
      </w:r>
      <w:r w:rsidR="006F462E">
        <w:t xml:space="preserve">insurance market like Lloyd’s. </w:t>
      </w:r>
      <w:r>
        <w:t xml:space="preserve">As experimental psychologists have shown, however, </w:t>
      </w:r>
      <w:r w:rsidR="006F462E">
        <w:t xml:space="preserve">it </w:t>
      </w:r>
      <w:r w:rsidR="00FC7AF4">
        <w:t xml:space="preserve">also </w:t>
      </w:r>
      <w:r w:rsidR="006F462E">
        <w:t>generates</w:t>
      </w:r>
      <w:r w:rsidR="006F462E" w:rsidRPr="006F462E">
        <w:t xml:space="preserve"> </w:t>
      </w:r>
      <w:r w:rsidR="006F462E">
        <w:t xml:space="preserve">systematic biases and errors in predictions. In particular, </w:t>
      </w:r>
      <w:r w:rsidR="002252B6">
        <w:t>people</w:t>
      </w:r>
      <w:r w:rsidR="006F462E">
        <w:t xml:space="preserve"> tend to judge </w:t>
      </w:r>
      <w:r>
        <w:t xml:space="preserve">a </w:t>
      </w:r>
      <w:r w:rsidR="00FC7AF4">
        <w:t>risk</w:t>
      </w:r>
      <w:r w:rsidR="006F462E">
        <w:t xml:space="preserve"> based on the</w:t>
      </w:r>
      <w:r w:rsidR="006F462E" w:rsidRPr="006F462E">
        <w:t xml:space="preserve"> </w:t>
      </w:r>
      <w:r w:rsidR="006F462E">
        <w:t xml:space="preserve">ease with which instances </w:t>
      </w:r>
      <w:r w:rsidR="00FC7AF4">
        <w:t xml:space="preserve">of </w:t>
      </w:r>
      <w:r>
        <w:t xml:space="preserve">it </w:t>
      </w:r>
      <w:r w:rsidR="006F462E">
        <w:t xml:space="preserve">come to mind. </w:t>
      </w:r>
      <w:r w:rsidR="002252B6">
        <w:t>They</w:t>
      </w:r>
      <w:r w:rsidR="006F462E">
        <w:t xml:space="preserve"> </w:t>
      </w:r>
      <w:r w:rsidR="00713F37">
        <w:t xml:space="preserve">also </w:t>
      </w:r>
      <w:r w:rsidR="006F462E">
        <w:t xml:space="preserve">often ignore the effects of random variation in small samples, and </w:t>
      </w:r>
      <w:r>
        <w:t xml:space="preserve">wrongly </w:t>
      </w:r>
      <w:r w:rsidR="006F462E">
        <w:t xml:space="preserve">apply the law of large numbers to </w:t>
      </w:r>
      <w:r>
        <w:t>them</w:t>
      </w:r>
      <w:r w:rsidR="002252B6">
        <w:t>.</w:t>
      </w:r>
      <w:r w:rsidR="002252B6">
        <w:rPr>
          <w:rStyle w:val="EndnoteReference"/>
        </w:rPr>
        <w:endnoteReference w:id="104"/>
      </w:r>
      <w:r w:rsidR="006F462E">
        <w:t xml:space="preserve"> </w:t>
      </w:r>
      <w:r w:rsidR="00B0774D">
        <w:t>The p</w:t>
      </w:r>
      <w:r w:rsidR="00EA7515">
        <w:t xml:space="preserve">roblem </w:t>
      </w:r>
      <w:r w:rsidR="002252B6">
        <w:t>of</w:t>
      </w:r>
      <w:r w:rsidR="00EA7515">
        <w:t xml:space="preserve"> the LMX spiral was that the inst</w:t>
      </w:r>
      <w:r w:rsidR="00B0774D">
        <w:t>itutional</w:t>
      </w:r>
      <w:r w:rsidR="00EA7515">
        <w:t xml:space="preserve"> environment</w:t>
      </w:r>
      <w:r>
        <w:t xml:space="preserve"> at Lloyd’s</w:t>
      </w:r>
      <w:r w:rsidR="0063121E">
        <w:t>, and the lack of professional education among underwriters,</w:t>
      </w:r>
      <w:r w:rsidR="00EA7515">
        <w:t xml:space="preserve"> constrained the ability of </w:t>
      </w:r>
      <w:r w:rsidR="0063121E">
        <w:t xml:space="preserve">scientific knowledge and rational </w:t>
      </w:r>
      <w:r w:rsidR="00FC7AF4">
        <w:t>analysis</w:t>
      </w:r>
      <w:r w:rsidR="0063121E">
        <w:t xml:space="preserve"> </w:t>
      </w:r>
      <w:r w:rsidR="00EA7515">
        <w:t xml:space="preserve">to feed into and inform </w:t>
      </w:r>
      <w:r w:rsidR="0063121E">
        <w:t xml:space="preserve">tacit </w:t>
      </w:r>
      <w:r w:rsidR="002252B6">
        <w:t xml:space="preserve">knowledge </w:t>
      </w:r>
      <w:r w:rsidR="0063121E">
        <w:t>and re-shape</w:t>
      </w:r>
      <w:r w:rsidR="00EA7515">
        <w:t xml:space="preserve"> </w:t>
      </w:r>
      <w:r w:rsidR="0063121E">
        <w:t>business practices.</w:t>
      </w:r>
      <w:r w:rsidR="002252B6">
        <w:rPr>
          <w:rStyle w:val="EndnoteReference"/>
        </w:rPr>
        <w:endnoteReference w:id="105"/>
      </w:r>
      <w:r w:rsidR="0063121E">
        <w:t xml:space="preserve"> </w:t>
      </w:r>
    </w:p>
    <w:p w:rsidR="00884710" w:rsidRDefault="00CC7937" w:rsidP="003F3856">
      <w:pPr>
        <w:pStyle w:val="NormalWeb"/>
        <w:spacing w:line="270" w:lineRule="atLeast"/>
      </w:pPr>
      <w:r>
        <w:t>Those with experience of Lloyd’s in the 1980s observed arrogance and a ‘prima donna culture’ among the top underwriters.</w:t>
      </w:r>
      <w:r w:rsidR="00AE1782">
        <w:rPr>
          <w:rStyle w:val="EndnoteReference"/>
        </w:rPr>
        <w:endnoteReference w:id="106"/>
      </w:r>
      <w:r>
        <w:t xml:space="preserve"> </w:t>
      </w:r>
      <w:r w:rsidR="00EA5650">
        <w:t xml:space="preserve">Robert Browne recalled an underwriter from Munich Re telling an audience, with only </w:t>
      </w:r>
      <w:r w:rsidR="00FC7AF4">
        <w:t>a little</w:t>
      </w:r>
      <w:r w:rsidR="00EA5650">
        <w:t xml:space="preserve"> exaggeration, that </w:t>
      </w:r>
      <w:r w:rsidR="00EA5650" w:rsidRPr="00EA5650">
        <w:t>‘</w:t>
      </w:r>
      <w:r w:rsidR="00EA5650" w:rsidRPr="00EA5650">
        <w:rPr>
          <w:color w:val="1D1D1D"/>
        </w:rPr>
        <w:t>we Germans use technical rates. In London they use ceiling rates. The underwriter reads the slip, looks at the ceiling, and puts down the first number which comes into his head</w:t>
      </w:r>
      <w:r w:rsidR="00EA5650">
        <w:rPr>
          <w:color w:val="1D1D1D"/>
        </w:rPr>
        <w:t>’</w:t>
      </w:r>
      <w:r w:rsidR="00EA5650" w:rsidRPr="00EA5650">
        <w:rPr>
          <w:color w:val="1D1D1D"/>
        </w:rPr>
        <w:t>.</w:t>
      </w:r>
      <w:r w:rsidR="00EA5650">
        <w:rPr>
          <w:rStyle w:val="EndnoteReference"/>
          <w:color w:val="1D1D1D"/>
        </w:rPr>
        <w:endnoteReference w:id="107"/>
      </w:r>
      <w:r w:rsidR="00B022A6">
        <w:rPr>
          <w:color w:val="1D1D1D"/>
        </w:rPr>
        <w:t xml:space="preserve"> As </w:t>
      </w:r>
      <w:r w:rsidR="00B022A6">
        <w:t>modern studies have shown, the success of intuitive decision making depends greatly on the predictability of the environment in which decisions are made</w:t>
      </w:r>
      <w:r w:rsidR="003F3856">
        <w:t>.</w:t>
      </w:r>
      <w:r w:rsidR="003F3856">
        <w:rPr>
          <w:rStyle w:val="EndnoteReference"/>
        </w:rPr>
        <w:endnoteReference w:id="108"/>
      </w:r>
      <w:r w:rsidR="00B022A6">
        <w:t xml:space="preserve"> It </w:t>
      </w:r>
      <w:r w:rsidR="003F3856">
        <w:t>can</w:t>
      </w:r>
      <w:r w:rsidR="00B022A6">
        <w:t xml:space="preserve"> deliver profits in the market for staples such as marine </w:t>
      </w:r>
      <w:r w:rsidR="00596713">
        <w:t xml:space="preserve">and aviation </w:t>
      </w:r>
      <w:r w:rsidR="00B022A6">
        <w:t xml:space="preserve">insurance, where risks were usually discrete and well-known. </w:t>
      </w:r>
      <w:r w:rsidR="003F3856">
        <w:t>However, as</w:t>
      </w:r>
      <w:r w:rsidR="00B022A6">
        <w:t xml:space="preserve"> intu</w:t>
      </w:r>
      <w:r w:rsidR="003F3856">
        <w:t>iti</w:t>
      </w:r>
      <w:r w:rsidR="005733F1">
        <w:t>on</w:t>
      </w:r>
      <w:r w:rsidR="00B022A6">
        <w:t xml:space="preserve"> is the product of associative memory </w:t>
      </w:r>
      <w:r w:rsidR="003F3856">
        <w:t>and</w:t>
      </w:r>
      <w:r w:rsidR="0046057D">
        <w:t xml:space="preserve"> recognition, </w:t>
      </w:r>
      <w:r w:rsidR="003F3856">
        <w:t xml:space="preserve">it can lead decision-makers, when confronted with a difficult problem, to simplify </w:t>
      </w:r>
      <w:r w:rsidR="00272716">
        <w:t>the decision</w:t>
      </w:r>
      <w:r w:rsidR="003F3856">
        <w:t>, rather than apply a more sophisticated decision rule based on fuller information.</w:t>
      </w:r>
      <w:r w:rsidR="00272716">
        <w:rPr>
          <w:rStyle w:val="EndnoteReference"/>
        </w:rPr>
        <w:endnoteReference w:id="109"/>
      </w:r>
      <w:r w:rsidR="003F3856">
        <w:t xml:space="preserve"> In the case of underwriters, it may lead them to underinsure against low probability</w:t>
      </w:r>
      <w:r w:rsidR="0046057D">
        <w:t xml:space="preserve">-high loss events, </w:t>
      </w:r>
      <w:r w:rsidR="00884710">
        <w:t xml:space="preserve">or to </w:t>
      </w:r>
      <w:r w:rsidR="00566129">
        <w:t>avoid</w:t>
      </w:r>
      <w:r w:rsidR="00884710">
        <w:t xml:space="preserve"> seek</w:t>
      </w:r>
      <w:r w:rsidR="00566129">
        <w:t>ing</w:t>
      </w:r>
      <w:r w:rsidR="00172BF4">
        <w:t xml:space="preserve"> out additional information</w:t>
      </w:r>
      <w:r w:rsidR="00884710">
        <w:t xml:space="preserve"> when confronted with adverse news - the ostrich effect that has been observed of professional investors</w:t>
      </w:r>
      <w:r w:rsidR="0046057D">
        <w:t>.</w:t>
      </w:r>
      <w:r w:rsidR="0046057D">
        <w:rPr>
          <w:rStyle w:val="EndnoteReference"/>
        </w:rPr>
        <w:endnoteReference w:id="110"/>
      </w:r>
      <w:r w:rsidR="00884710">
        <w:t xml:space="preserve"> </w:t>
      </w:r>
      <w:r w:rsidR="00F91553">
        <w:t xml:space="preserve">Howard </w:t>
      </w:r>
      <w:r w:rsidR="00884710">
        <w:t xml:space="preserve">Kunreuther </w:t>
      </w:r>
      <w:r w:rsidR="00F91553">
        <w:t xml:space="preserve">and colleagues have </w:t>
      </w:r>
      <w:r w:rsidR="00884710">
        <w:t>argued that rich context information is necessary for insurers to be able to judge the differences between low probability risks</w:t>
      </w:r>
      <w:r w:rsidR="00F91553">
        <w:t>,</w:t>
      </w:r>
      <w:r w:rsidR="00884710">
        <w:t xml:space="preserve"> or to price risks accurately where there is ambiguity about event prob</w:t>
      </w:r>
      <w:r w:rsidR="00CA4FC7">
        <w:t>ability</w:t>
      </w:r>
      <w:r w:rsidR="00884710">
        <w:t xml:space="preserve"> or uncertainty about the scale of possible losses.</w:t>
      </w:r>
      <w:r w:rsidR="00F91553">
        <w:rPr>
          <w:rStyle w:val="EndnoteReference"/>
        </w:rPr>
        <w:endnoteReference w:id="111"/>
      </w:r>
      <w:r w:rsidR="00033272">
        <w:t xml:space="preserve"> </w:t>
      </w:r>
      <w:r w:rsidR="00884710">
        <w:t>The information systems and deal making practices employed at Lloyd’s did not le</w:t>
      </w:r>
      <w:r w:rsidR="00A36B49">
        <w:t>n</w:t>
      </w:r>
      <w:r w:rsidR="00884710">
        <w:t xml:space="preserve">d themselves to the acquisition and analysis of such rich contexts. </w:t>
      </w:r>
    </w:p>
    <w:p w:rsidR="00316F32" w:rsidRDefault="00CA749B" w:rsidP="00316F32">
      <w:pPr>
        <w:pStyle w:val="NormalWeb"/>
        <w:spacing w:line="270" w:lineRule="atLeast"/>
      </w:pPr>
      <w:r>
        <w:lastRenderedPageBreak/>
        <w:t>It is not the object of t</w:t>
      </w:r>
      <w:r w:rsidR="00884710">
        <w:t>h</w:t>
      </w:r>
      <w:r>
        <w:t xml:space="preserve">is </w:t>
      </w:r>
      <w:r w:rsidR="00884710">
        <w:t xml:space="preserve">paper </w:t>
      </w:r>
      <w:r>
        <w:t xml:space="preserve">to </w:t>
      </w:r>
      <w:r w:rsidR="00884710">
        <w:t xml:space="preserve">present a full exposition of the scholarly literature on decision making under uncertainty, risk behaviour and the fallacies of experts. </w:t>
      </w:r>
      <w:r w:rsidR="00316F32">
        <w:t>M</w:t>
      </w:r>
      <w:r w:rsidR="00884710">
        <w:t>any of the findings of this literature</w:t>
      </w:r>
      <w:r w:rsidR="00316F32">
        <w:t>, however,</w:t>
      </w:r>
      <w:r w:rsidR="007A0404">
        <w:t xml:space="preserve"> </w:t>
      </w:r>
      <w:r>
        <w:t xml:space="preserve">do </w:t>
      </w:r>
      <w:r w:rsidR="00585AA8">
        <w:t xml:space="preserve">appear </w:t>
      </w:r>
      <w:r w:rsidR="00FC7AF4">
        <w:t>u</w:t>
      </w:r>
      <w:r w:rsidR="00534EC5">
        <w:t xml:space="preserve">seful in helping to explain the </w:t>
      </w:r>
      <w:r w:rsidR="00381110">
        <w:t>behaviour at</w:t>
      </w:r>
      <w:r w:rsidR="00CA4FC7">
        <w:t xml:space="preserve"> Lloyd’s. A belief in the superiority of their knowledge among underwriters in the LMX spiral, excluding the outright </w:t>
      </w:r>
      <w:r w:rsidR="00381110">
        <w:t>fraudsters</w:t>
      </w:r>
      <w:r w:rsidR="00CA4FC7">
        <w:t xml:space="preserve">, </w:t>
      </w:r>
      <w:r w:rsidR="00FC7AF4">
        <w:t xml:space="preserve">may have </w:t>
      </w:r>
      <w:r w:rsidR="00CA4FC7">
        <w:t>led to overconfidence and ‘cognitive dissonance’ - an inability to know the limits of their expertise.</w:t>
      </w:r>
      <w:r w:rsidR="00FC7AF4">
        <w:rPr>
          <w:rStyle w:val="EndnoteReference"/>
        </w:rPr>
        <w:endnoteReference w:id="112"/>
      </w:r>
      <w:r w:rsidR="00CA4FC7" w:rsidRPr="00CA4FC7">
        <w:t xml:space="preserve"> </w:t>
      </w:r>
      <w:r w:rsidR="00CA4FC7">
        <w:t>Overconfidence</w:t>
      </w:r>
      <w:r w:rsidR="00585AA8">
        <w:t>, in turn,</w:t>
      </w:r>
      <w:r w:rsidR="00CA4FC7">
        <w:t xml:space="preserve"> </w:t>
      </w:r>
      <w:r w:rsidR="00585AA8">
        <w:t xml:space="preserve">may have </w:t>
      </w:r>
      <w:r w:rsidR="00CA4FC7">
        <w:t>led to an optimistic bias</w:t>
      </w:r>
      <w:r w:rsidR="00316F32">
        <w:t xml:space="preserve">; </w:t>
      </w:r>
      <w:r w:rsidR="00381110">
        <w:t xml:space="preserve">to </w:t>
      </w:r>
      <w:r w:rsidR="00CA4FC7">
        <w:t>persistence</w:t>
      </w:r>
      <w:r w:rsidR="00316F32">
        <w:t xml:space="preserve"> in operating according to established beliefs; </w:t>
      </w:r>
      <w:r w:rsidR="00381110">
        <w:t xml:space="preserve">to </w:t>
      </w:r>
      <w:r w:rsidR="00CA4FC7">
        <w:t>‘tunnelling’</w:t>
      </w:r>
      <w:r w:rsidR="00316F32">
        <w:t xml:space="preserve">, </w:t>
      </w:r>
      <w:r w:rsidR="00585AA8">
        <w:t>the instinct to make inferences too quickly and to focus on a small n</w:t>
      </w:r>
      <w:r w:rsidR="0058263A">
        <w:t>umber</w:t>
      </w:r>
      <w:r w:rsidR="00585AA8">
        <w:t xml:space="preserve"> of known sources of uncertainty</w:t>
      </w:r>
      <w:r w:rsidR="00316F32">
        <w:t xml:space="preserve">; </w:t>
      </w:r>
      <w:r w:rsidR="00585AA8">
        <w:t xml:space="preserve">to ‘herding’, </w:t>
      </w:r>
      <w:r w:rsidR="00316F32">
        <w:t>the</w:t>
      </w:r>
      <w:r w:rsidR="00381110">
        <w:t xml:space="preserve"> desire to avoid being an outlier in one’s predictions, which has been </w:t>
      </w:r>
      <w:r w:rsidR="00585AA8">
        <w:t xml:space="preserve">widely observed </w:t>
      </w:r>
      <w:r w:rsidR="00381110">
        <w:t>of</w:t>
      </w:r>
      <w:r w:rsidR="00585AA8">
        <w:t xml:space="preserve"> professional economists and financial forecasters</w:t>
      </w:r>
      <w:r w:rsidR="00316F32">
        <w:t>; and to ‘confirmation bias’, whereby experts try to interpret evidence with the aim of corroborating the rules that they had made up</w:t>
      </w:r>
      <w:r w:rsidR="00CA4FC7">
        <w:t>.</w:t>
      </w:r>
      <w:r w:rsidR="00B27DC8">
        <w:rPr>
          <w:rStyle w:val="EndnoteReference"/>
        </w:rPr>
        <w:endnoteReference w:id="113"/>
      </w:r>
      <w:r w:rsidR="00CA4FC7">
        <w:t xml:space="preserve"> </w:t>
      </w:r>
      <w:r w:rsidR="00585AA8">
        <w:t xml:space="preserve">The practice at Lloyd’s of syndicate underwriters </w:t>
      </w:r>
      <w:r w:rsidR="00316F32">
        <w:t>‘</w:t>
      </w:r>
      <w:r w:rsidR="00585AA8">
        <w:t>following</w:t>
      </w:r>
      <w:r w:rsidR="00316F32">
        <w:t>’</w:t>
      </w:r>
      <w:r w:rsidR="00585AA8">
        <w:t xml:space="preserve"> the </w:t>
      </w:r>
      <w:r w:rsidR="0058263A">
        <w:t xml:space="preserve">premium </w:t>
      </w:r>
      <w:r w:rsidR="00585AA8">
        <w:t xml:space="preserve">rate </w:t>
      </w:r>
      <w:r w:rsidR="00783B06">
        <w:t>set</w:t>
      </w:r>
      <w:r w:rsidR="00585AA8">
        <w:t xml:space="preserve"> by a recognised ‘lead’</w:t>
      </w:r>
      <w:r w:rsidR="0058263A">
        <w:t xml:space="preserve"> </w:t>
      </w:r>
      <w:r w:rsidR="00585AA8">
        <w:t xml:space="preserve">underwriter, </w:t>
      </w:r>
      <w:r w:rsidR="00381110">
        <w:t xml:space="preserve">would have </w:t>
      </w:r>
      <w:r w:rsidR="00585AA8">
        <w:t>reinforced th</w:t>
      </w:r>
      <w:r w:rsidR="00D05CA5">
        <w:t>ese</w:t>
      </w:r>
      <w:r w:rsidR="00585AA8">
        <w:t xml:space="preserve"> behavioural trait</w:t>
      </w:r>
      <w:r w:rsidR="00D05CA5">
        <w:t>s</w:t>
      </w:r>
      <w:r w:rsidR="00585AA8">
        <w:t xml:space="preserve">. </w:t>
      </w:r>
      <w:r w:rsidR="00316F32">
        <w:t xml:space="preserve">The combined effect of these </w:t>
      </w:r>
      <w:r w:rsidR="0058263A">
        <w:t>behaviours</w:t>
      </w:r>
      <w:r w:rsidR="00316F32">
        <w:t xml:space="preserve"> on XL underwriting at Lloyd’s would have been a heightened tendency to ignore </w:t>
      </w:r>
      <w:r w:rsidR="0058263A">
        <w:t>‘</w:t>
      </w:r>
      <w:r w:rsidR="00316F32">
        <w:t>black swans</w:t>
      </w:r>
      <w:r w:rsidR="0058263A">
        <w:t>’</w:t>
      </w:r>
      <w:r w:rsidR="00316F32">
        <w:t>, the unknown or unimagined events that can deliver catastrophic losses.</w:t>
      </w:r>
      <w:r w:rsidR="00316F32">
        <w:rPr>
          <w:rStyle w:val="EndnoteReference"/>
        </w:rPr>
        <w:endnoteReference w:id="114"/>
      </w:r>
      <w:r w:rsidR="00316F32">
        <w:t xml:space="preserve"> </w:t>
      </w:r>
      <w:r w:rsidR="00783B06">
        <w:t xml:space="preserve">There are obvious parallels with the behaviour of investors in the market for </w:t>
      </w:r>
      <w:r w:rsidR="00D93E1D">
        <w:t xml:space="preserve">sub-prime </w:t>
      </w:r>
      <w:r w:rsidR="00783B06">
        <w:t>mortgage default risk whose collapse brought about the global financial crisis of 2007-8.</w:t>
      </w:r>
      <w:r w:rsidR="00783B06">
        <w:rPr>
          <w:rStyle w:val="EndnoteReference"/>
        </w:rPr>
        <w:endnoteReference w:id="115"/>
      </w:r>
      <w:r w:rsidR="00783B06">
        <w:t xml:space="preserve"> </w:t>
      </w:r>
    </w:p>
    <w:p w:rsidR="005111BC" w:rsidRDefault="005111BC" w:rsidP="005111BC">
      <w:r>
        <w:t>By 1988 no amount of internal governance and accounting reform, no further degree of invasive surgery to the organs of the institution, could have saved Lloyd</w:t>
      </w:r>
      <w:r w:rsidR="00846CF2">
        <w:t>’</w:t>
      </w:r>
      <w:r>
        <w:t xml:space="preserve">s from collapse. </w:t>
      </w:r>
      <w:r w:rsidR="00846CF2">
        <w:t>Fundamental</w:t>
      </w:r>
      <w:r>
        <w:t xml:space="preserve"> </w:t>
      </w:r>
      <w:r w:rsidR="00846CF2">
        <w:t xml:space="preserve">flaws </w:t>
      </w:r>
      <w:r w:rsidR="0039353C">
        <w:t>lay</w:t>
      </w:r>
      <w:r w:rsidR="00846CF2">
        <w:t xml:space="preserve"> </w:t>
      </w:r>
      <w:r w:rsidR="00BA67AA">
        <w:t xml:space="preserve">buried </w:t>
      </w:r>
      <w:r>
        <w:t xml:space="preserve">in </w:t>
      </w:r>
      <w:r w:rsidR="007640D4">
        <w:t>market’s</w:t>
      </w:r>
      <w:r>
        <w:t xml:space="preserve"> closed structure and its out-dated practices </w:t>
      </w:r>
      <w:r w:rsidR="00967CAE">
        <w:t>that</w:t>
      </w:r>
      <w:r w:rsidR="00846CF2">
        <w:t xml:space="preserve"> proved vulnerable to the cataclysmic losses </w:t>
      </w:r>
      <w:r w:rsidR="00967CAE">
        <w:t>ar</w:t>
      </w:r>
      <w:r w:rsidR="007640D4">
        <w:t>ising</w:t>
      </w:r>
      <w:r w:rsidR="00846CF2">
        <w:t xml:space="preserve"> in the 1980s and 1990s. These core weaknesses, however, were </w:t>
      </w:r>
      <w:r w:rsidR="00EE79A6">
        <w:t xml:space="preserve">nurtured by </w:t>
      </w:r>
      <w:r w:rsidR="00092A95">
        <w:t>multiple delusions of competence</w:t>
      </w:r>
      <w:r w:rsidR="00EE79A6">
        <w:t>: the faith of underwriters and brokers in their own know</w:t>
      </w:r>
      <w:r w:rsidR="00967CAE">
        <w:t>-how</w:t>
      </w:r>
      <w:r w:rsidR="00EE79A6">
        <w:t>; the belief of politicians, successive governments and Lloyd’s</w:t>
      </w:r>
      <w:r w:rsidR="00BA67AA">
        <w:t xml:space="preserve"> </w:t>
      </w:r>
      <w:r w:rsidR="00BA146C">
        <w:t>insiders</w:t>
      </w:r>
      <w:r w:rsidR="00BA67AA">
        <w:t xml:space="preserve"> </w:t>
      </w:r>
      <w:r w:rsidR="00EE79A6">
        <w:t xml:space="preserve">in </w:t>
      </w:r>
      <w:r w:rsidR="00BA67AA">
        <w:t xml:space="preserve">the institution’s </w:t>
      </w:r>
      <w:r w:rsidR="00EE79A6">
        <w:t>ability to govern and regulate</w:t>
      </w:r>
      <w:r w:rsidR="00BA67AA">
        <w:t xml:space="preserve"> itself</w:t>
      </w:r>
      <w:r w:rsidR="00EE79A6">
        <w:t xml:space="preserve">; the trust placed by names and policyholders in </w:t>
      </w:r>
      <w:r w:rsidR="00BA67AA">
        <w:t>Lloyd’s a</w:t>
      </w:r>
      <w:r w:rsidR="00EE79A6">
        <w:t>nd its experts. These external and internal delusions of competence reinforced</w:t>
      </w:r>
      <w:r w:rsidR="00092A95">
        <w:t xml:space="preserve"> each other and produced </w:t>
      </w:r>
      <w:r w:rsidR="00EE79A6">
        <w:t xml:space="preserve">near fatal </w:t>
      </w:r>
      <w:r w:rsidR="00092A95">
        <w:t xml:space="preserve">barriers to change. </w:t>
      </w:r>
      <w:r>
        <w:t xml:space="preserve"> </w:t>
      </w:r>
    </w:p>
    <w:p w:rsidR="00AD095A" w:rsidRDefault="00AD095A" w:rsidP="005B50FD">
      <w:r>
        <w:br w:type="column"/>
      </w:r>
      <w:r w:rsidRPr="00AD095A">
        <w:rPr>
          <w:b/>
        </w:rPr>
        <w:lastRenderedPageBreak/>
        <w:t>Table 1: Lloyd’s membership and profits/losses</w:t>
      </w:r>
    </w:p>
    <w:p w:rsidR="00AD095A" w:rsidRDefault="00AD095A" w:rsidP="005B50FD"/>
    <w:tbl>
      <w:tblPr>
        <w:tblStyle w:val="TableGrid"/>
        <w:tblW w:w="0" w:type="auto"/>
        <w:tblLook w:val="04A0" w:firstRow="1" w:lastRow="0" w:firstColumn="1" w:lastColumn="0" w:noHBand="0" w:noVBand="1"/>
      </w:tblPr>
      <w:tblGrid>
        <w:gridCol w:w="1084"/>
        <w:gridCol w:w="1531"/>
        <w:gridCol w:w="1686"/>
        <w:gridCol w:w="910"/>
        <w:gridCol w:w="1418"/>
        <w:gridCol w:w="1984"/>
      </w:tblGrid>
      <w:tr w:rsidR="001C610D" w:rsidTr="001C610D">
        <w:tc>
          <w:tcPr>
            <w:tcW w:w="1084" w:type="dxa"/>
          </w:tcPr>
          <w:p w:rsidR="001C610D" w:rsidRDefault="001C610D" w:rsidP="001C610D">
            <w:pPr>
              <w:jc w:val="center"/>
            </w:pPr>
            <w:r>
              <w:t>Year</w:t>
            </w:r>
          </w:p>
        </w:tc>
        <w:tc>
          <w:tcPr>
            <w:tcW w:w="1531" w:type="dxa"/>
            <w:vAlign w:val="center"/>
          </w:tcPr>
          <w:p w:rsidR="001C610D" w:rsidRDefault="001C610D" w:rsidP="00AD095A">
            <w:pPr>
              <w:jc w:val="right"/>
            </w:pPr>
            <w:r>
              <w:t>Names</w:t>
            </w:r>
          </w:p>
        </w:tc>
        <w:tc>
          <w:tcPr>
            <w:tcW w:w="1686" w:type="dxa"/>
            <w:vAlign w:val="center"/>
          </w:tcPr>
          <w:p w:rsidR="001C610D" w:rsidRDefault="001C610D" w:rsidP="00AD095A">
            <w:pPr>
              <w:jc w:val="right"/>
            </w:pPr>
            <w:r>
              <w:t>Profits/Loss $m</w:t>
            </w:r>
          </w:p>
        </w:tc>
        <w:tc>
          <w:tcPr>
            <w:tcW w:w="910" w:type="dxa"/>
          </w:tcPr>
          <w:p w:rsidR="001C610D" w:rsidRDefault="001C610D" w:rsidP="001C610D">
            <w:pPr>
              <w:jc w:val="center"/>
            </w:pPr>
            <w:r>
              <w:t>Year</w:t>
            </w:r>
          </w:p>
        </w:tc>
        <w:tc>
          <w:tcPr>
            <w:tcW w:w="1418" w:type="dxa"/>
            <w:vAlign w:val="center"/>
          </w:tcPr>
          <w:p w:rsidR="001C610D" w:rsidRDefault="001C610D" w:rsidP="002C1666">
            <w:pPr>
              <w:jc w:val="right"/>
            </w:pPr>
            <w:r>
              <w:t>Names</w:t>
            </w:r>
          </w:p>
        </w:tc>
        <w:tc>
          <w:tcPr>
            <w:tcW w:w="1984" w:type="dxa"/>
            <w:vAlign w:val="center"/>
          </w:tcPr>
          <w:p w:rsidR="001C610D" w:rsidRDefault="001C610D" w:rsidP="002C1666">
            <w:pPr>
              <w:jc w:val="right"/>
            </w:pPr>
            <w:r>
              <w:t>Profits/Loss $m</w:t>
            </w:r>
          </w:p>
        </w:tc>
      </w:tr>
      <w:tr w:rsidR="001C610D" w:rsidTr="001C610D">
        <w:tc>
          <w:tcPr>
            <w:tcW w:w="1084" w:type="dxa"/>
          </w:tcPr>
          <w:p w:rsidR="001C610D" w:rsidRDefault="001C610D" w:rsidP="001C610D">
            <w:pPr>
              <w:jc w:val="center"/>
            </w:pPr>
            <w:r>
              <w:t>1870</w:t>
            </w:r>
          </w:p>
        </w:tc>
        <w:tc>
          <w:tcPr>
            <w:tcW w:w="1531" w:type="dxa"/>
            <w:vAlign w:val="center"/>
          </w:tcPr>
          <w:p w:rsidR="001C610D" w:rsidRDefault="001C610D" w:rsidP="00AD095A">
            <w:pPr>
              <w:jc w:val="right"/>
            </w:pPr>
            <w:r>
              <w:t>378</w:t>
            </w:r>
          </w:p>
        </w:tc>
        <w:tc>
          <w:tcPr>
            <w:tcW w:w="1686" w:type="dxa"/>
            <w:vAlign w:val="center"/>
          </w:tcPr>
          <w:p w:rsidR="001C610D" w:rsidRDefault="001C610D" w:rsidP="00AD095A">
            <w:pPr>
              <w:jc w:val="right"/>
            </w:pPr>
          </w:p>
        </w:tc>
        <w:tc>
          <w:tcPr>
            <w:tcW w:w="910" w:type="dxa"/>
          </w:tcPr>
          <w:p w:rsidR="001C610D" w:rsidRDefault="001C610D" w:rsidP="001C610D">
            <w:pPr>
              <w:jc w:val="center"/>
            </w:pPr>
            <w:r>
              <w:t>1990</w:t>
            </w:r>
          </w:p>
        </w:tc>
        <w:tc>
          <w:tcPr>
            <w:tcW w:w="1418" w:type="dxa"/>
            <w:vAlign w:val="center"/>
          </w:tcPr>
          <w:p w:rsidR="001C610D" w:rsidRDefault="001C610D" w:rsidP="002C1666">
            <w:pPr>
              <w:jc w:val="right"/>
            </w:pPr>
            <w:r>
              <w:t>28,770</w:t>
            </w:r>
          </w:p>
        </w:tc>
        <w:tc>
          <w:tcPr>
            <w:tcW w:w="1984" w:type="dxa"/>
            <w:vAlign w:val="center"/>
          </w:tcPr>
          <w:p w:rsidR="001C610D" w:rsidRDefault="001C610D" w:rsidP="002C1666">
            <w:pPr>
              <w:jc w:val="right"/>
            </w:pPr>
            <w:r>
              <w:t>-4128</w:t>
            </w:r>
          </w:p>
        </w:tc>
      </w:tr>
      <w:tr w:rsidR="001C610D" w:rsidTr="001C610D">
        <w:tc>
          <w:tcPr>
            <w:tcW w:w="1084" w:type="dxa"/>
          </w:tcPr>
          <w:p w:rsidR="001C610D" w:rsidRDefault="001C610D" w:rsidP="001C610D">
            <w:pPr>
              <w:jc w:val="center"/>
            </w:pPr>
            <w:r>
              <w:t>1933</w:t>
            </w:r>
          </w:p>
        </w:tc>
        <w:tc>
          <w:tcPr>
            <w:tcW w:w="1531" w:type="dxa"/>
            <w:vAlign w:val="center"/>
          </w:tcPr>
          <w:p w:rsidR="001C610D" w:rsidRDefault="001C610D" w:rsidP="00AD095A">
            <w:pPr>
              <w:jc w:val="right"/>
            </w:pPr>
            <w:r>
              <w:t>1,532</w:t>
            </w:r>
          </w:p>
        </w:tc>
        <w:tc>
          <w:tcPr>
            <w:tcW w:w="1686" w:type="dxa"/>
            <w:vAlign w:val="center"/>
          </w:tcPr>
          <w:p w:rsidR="001C610D" w:rsidRDefault="001C610D" w:rsidP="00AD095A">
            <w:pPr>
              <w:jc w:val="right"/>
            </w:pPr>
          </w:p>
        </w:tc>
        <w:tc>
          <w:tcPr>
            <w:tcW w:w="910" w:type="dxa"/>
          </w:tcPr>
          <w:p w:rsidR="001C610D" w:rsidRDefault="001C610D" w:rsidP="001C610D">
            <w:pPr>
              <w:jc w:val="center"/>
            </w:pPr>
            <w:r>
              <w:t>1991</w:t>
            </w:r>
          </w:p>
        </w:tc>
        <w:tc>
          <w:tcPr>
            <w:tcW w:w="1418" w:type="dxa"/>
            <w:vAlign w:val="center"/>
          </w:tcPr>
          <w:p w:rsidR="001C610D" w:rsidRDefault="001C610D" w:rsidP="002C1666">
            <w:pPr>
              <w:jc w:val="right"/>
            </w:pPr>
            <w:r>
              <w:t>26,531</w:t>
            </w:r>
          </w:p>
        </w:tc>
        <w:tc>
          <w:tcPr>
            <w:tcW w:w="1984" w:type="dxa"/>
            <w:vAlign w:val="center"/>
          </w:tcPr>
          <w:p w:rsidR="001C610D" w:rsidRDefault="001C610D" w:rsidP="002C1666">
            <w:pPr>
              <w:jc w:val="right"/>
            </w:pPr>
            <w:r>
              <w:t>-3625</w:t>
            </w:r>
          </w:p>
        </w:tc>
      </w:tr>
      <w:tr w:rsidR="001C610D" w:rsidTr="001C610D">
        <w:tc>
          <w:tcPr>
            <w:tcW w:w="1084" w:type="dxa"/>
          </w:tcPr>
          <w:p w:rsidR="001C610D" w:rsidRDefault="001C610D" w:rsidP="001C610D">
            <w:pPr>
              <w:jc w:val="center"/>
            </w:pPr>
            <w:r>
              <w:t>1952</w:t>
            </w:r>
          </w:p>
        </w:tc>
        <w:tc>
          <w:tcPr>
            <w:tcW w:w="1531" w:type="dxa"/>
            <w:vAlign w:val="center"/>
          </w:tcPr>
          <w:p w:rsidR="001C610D" w:rsidRDefault="001C610D" w:rsidP="00AD095A">
            <w:pPr>
              <w:jc w:val="right"/>
            </w:pPr>
            <w:r>
              <w:t>3,157</w:t>
            </w:r>
          </w:p>
        </w:tc>
        <w:tc>
          <w:tcPr>
            <w:tcW w:w="1686" w:type="dxa"/>
            <w:vAlign w:val="center"/>
          </w:tcPr>
          <w:p w:rsidR="001C610D" w:rsidRDefault="001C610D" w:rsidP="00AD095A">
            <w:pPr>
              <w:jc w:val="right"/>
            </w:pPr>
          </w:p>
        </w:tc>
        <w:tc>
          <w:tcPr>
            <w:tcW w:w="910" w:type="dxa"/>
          </w:tcPr>
          <w:p w:rsidR="001C610D" w:rsidRDefault="001C610D" w:rsidP="001C610D">
            <w:pPr>
              <w:jc w:val="center"/>
            </w:pPr>
            <w:r>
              <w:t>1992</w:t>
            </w:r>
          </w:p>
        </w:tc>
        <w:tc>
          <w:tcPr>
            <w:tcW w:w="1418" w:type="dxa"/>
            <w:vAlign w:val="center"/>
          </w:tcPr>
          <w:p w:rsidR="001C610D" w:rsidRDefault="001C610D" w:rsidP="002C1666">
            <w:pPr>
              <w:jc w:val="right"/>
            </w:pPr>
            <w:r>
              <w:t>22,259</w:t>
            </w:r>
          </w:p>
        </w:tc>
        <w:tc>
          <w:tcPr>
            <w:tcW w:w="1984" w:type="dxa"/>
            <w:vAlign w:val="center"/>
          </w:tcPr>
          <w:p w:rsidR="001C610D" w:rsidRDefault="001C610D" w:rsidP="002C1666">
            <w:pPr>
              <w:jc w:val="right"/>
            </w:pPr>
            <w:r>
              <w:t>-2112</w:t>
            </w:r>
          </w:p>
        </w:tc>
      </w:tr>
      <w:tr w:rsidR="001C610D" w:rsidTr="001C610D">
        <w:tc>
          <w:tcPr>
            <w:tcW w:w="1084" w:type="dxa"/>
          </w:tcPr>
          <w:p w:rsidR="001C610D" w:rsidRDefault="001C610D" w:rsidP="001C610D">
            <w:pPr>
              <w:jc w:val="center"/>
            </w:pPr>
            <w:r>
              <w:t>1968</w:t>
            </w:r>
          </w:p>
        </w:tc>
        <w:tc>
          <w:tcPr>
            <w:tcW w:w="1531" w:type="dxa"/>
            <w:vAlign w:val="center"/>
          </w:tcPr>
          <w:p w:rsidR="001C610D" w:rsidRDefault="001C610D" w:rsidP="00AD095A">
            <w:pPr>
              <w:jc w:val="right"/>
            </w:pPr>
            <w:r>
              <w:t>6,052</w:t>
            </w:r>
          </w:p>
        </w:tc>
        <w:tc>
          <w:tcPr>
            <w:tcW w:w="1686" w:type="dxa"/>
            <w:vAlign w:val="center"/>
          </w:tcPr>
          <w:p w:rsidR="001C610D" w:rsidRDefault="001C610D" w:rsidP="00AD095A">
            <w:pPr>
              <w:jc w:val="right"/>
            </w:pPr>
          </w:p>
        </w:tc>
        <w:tc>
          <w:tcPr>
            <w:tcW w:w="910" w:type="dxa"/>
          </w:tcPr>
          <w:p w:rsidR="001C610D" w:rsidRDefault="001C610D" w:rsidP="001C610D">
            <w:pPr>
              <w:jc w:val="center"/>
            </w:pPr>
            <w:r>
              <w:t>1993</w:t>
            </w:r>
          </w:p>
        </w:tc>
        <w:tc>
          <w:tcPr>
            <w:tcW w:w="1418" w:type="dxa"/>
            <w:vAlign w:val="center"/>
          </w:tcPr>
          <w:p w:rsidR="001C610D" w:rsidRDefault="001C610D" w:rsidP="002C1666">
            <w:pPr>
              <w:jc w:val="right"/>
            </w:pPr>
            <w:r>
              <w:t>19,537</w:t>
            </w:r>
          </w:p>
        </w:tc>
        <w:tc>
          <w:tcPr>
            <w:tcW w:w="1984" w:type="dxa"/>
            <w:vAlign w:val="center"/>
          </w:tcPr>
          <w:p w:rsidR="001C610D" w:rsidRDefault="001C610D" w:rsidP="002C1666">
            <w:pPr>
              <w:jc w:val="right"/>
            </w:pPr>
            <w:r>
              <w:t>338</w:t>
            </w:r>
          </w:p>
        </w:tc>
      </w:tr>
      <w:tr w:rsidR="001C610D" w:rsidTr="001C610D">
        <w:tc>
          <w:tcPr>
            <w:tcW w:w="1084" w:type="dxa"/>
          </w:tcPr>
          <w:p w:rsidR="001C610D" w:rsidRDefault="001C610D" w:rsidP="001C610D">
            <w:pPr>
              <w:jc w:val="center"/>
            </w:pPr>
            <w:r>
              <w:t>1971</w:t>
            </w:r>
          </w:p>
        </w:tc>
        <w:tc>
          <w:tcPr>
            <w:tcW w:w="1531" w:type="dxa"/>
            <w:vAlign w:val="center"/>
          </w:tcPr>
          <w:p w:rsidR="001C610D" w:rsidRDefault="001C610D" w:rsidP="00AD095A">
            <w:pPr>
              <w:jc w:val="right"/>
            </w:pPr>
            <w:r>
              <w:t>6,020</w:t>
            </w:r>
          </w:p>
        </w:tc>
        <w:tc>
          <w:tcPr>
            <w:tcW w:w="1686" w:type="dxa"/>
            <w:vAlign w:val="center"/>
          </w:tcPr>
          <w:p w:rsidR="001C610D" w:rsidRDefault="001C610D" w:rsidP="00AD095A">
            <w:pPr>
              <w:jc w:val="right"/>
            </w:pPr>
            <w:r>
              <w:t>185</w:t>
            </w:r>
          </w:p>
        </w:tc>
        <w:tc>
          <w:tcPr>
            <w:tcW w:w="910" w:type="dxa"/>
          </w:tcPr>
          <w:p w:rsidR="001C610D" w:rsidRDefault="001C610D" w:rsidP="001C610D">
            <w:pPr>
              <w:jc w:val="center"/>
            </w:pPr>
            <w:r>
              <w:t>1994</w:t>
            </w:r>
          </w:p>
        </w:tc>
        <w:tc>
          <w:tcPr>
            <w:tcW w:w="1418" w:type="dxa"/>
            <w:vAlign w:val="center"/>
          </w:tcPr>
          <w:p w:rsidR="001C610D" w:rsidRDefault="001C610D" w:rsidP="002C1666">
            <w:pPr>
              <w:jc w:val="right"/>
            </w:pPr>
            <w:r>
              <w:t>17,624</w:t>
            </w:r>
          </w:p>
        </w:tc>
        <w:tc>
          <w:tcPr>
            <w:tcW w:w="1984" w:type="dxa"/>
            <w:vAlign w:val="center"/>
          </w:tcPr>
          <w:p w:rsidR="001C610D" w:rsidRDefault="001C610D" w:rsidP="002C1666">
            <w:pPr>
              <w:jc w:val="right"/>
            </w:pPr>
            <w:r>
              <w:t>161</w:t>
            </w:r>
          </w:p>
        </w:tc>
      </w:tr>
      <w:tr w:rsidR="001C610D" w:rsidTr="001C610D">
        <w:tc>
          <w:tcPr>
            <w:tcW w:w="1084" w:type="dxa"/>
          </w:tcPr>
          <w:p w:rsidR="001C610D" w:rsidRDefault="001C610D" w:rsidP="001C610D">
            <w:pPr>
              <w:jc w:val="center"/>
            </w:pPr>
            <w:r>
              <w:t>1972</w:t>
            </w:r>
          </w:p>
        </w:tc>
        <w:tc>
          <w:tcPr>
            <w:tcW w:w="1531" w:type="dxa"/>
            <w:vAlign w:val="center"/>
          </w:tcPr>
          <w:p w:rsidR="001C610D" w:rsidRDefault="001C610D" w:rsidP="00AD095A">
            <w:pPr>
              <w:jc w:val="right"/>
            </w:pPr>
          </w:p>
        </w:tc>
        <w:tc>
          <w:tcPr>
            <w:tcW w:w="1686" w:type="dxa"/>
            <w:vAlign w:val="center"/>
          </w:tcPr>
          <w:p w:rsidR="001C610D" w:rsidRDefault="001C610D" w:rsidP="00AD095A">
            <w:pPr>
              <w:jc w:val="right"/>
            </w:pPr>
            <w:r>
              <w:t>224</w:t>
            </w:r>
          </w:p>
        </w:tc>
        <w:tc>
          <w:tcPr>
            <w:tcW w:w="910" w:type="dxa"/>
          </w:tcPr>
          <w:p w:rsidR="001C610D" w:rsidRDefault="001C610D" w:rsidP="001C610D">
            <w:pPr>
              <w:jc w:val="center"/>
            </w:pPr>
            <w:r>
              <w:t>1995</w:t>
            </w:r>
          </w:p>
        </w:tc>
        <w:tc>
          <w:tcPr>
            <w:tcW w:w="1418" w:type="dxa"/>
            <w:vAlign w:val="center"/>
          </w:tcPr>
          <w:p w:rsidR="001C610D" w:rsidRDefault="001C610D" w:rsidP="002C1666">
            <w:pPr>
              <w:jc w:val="right"/>
            </w:pPr>
            <w:r>
              <w:t>14,884</w:t>
            </w:r>
          </w:p>
        </w:tc>
        <w:tc>
          <w:tcPr>
            <w:tcW w:w="1984" w:type="dxa"/>
            <w:vAlign w:val="center"/>
          </w:tcPr>
          <w:p w:rsidR="001C610D" w:rsidRDefault="001C610D" w:rsidP="002C1666">
            <w:pPr>
              <w:jc w:val="right"/>
            </w:pPr>
            <w:r>
              <w:t>1815</w:t>
            </w:r>
          </w:p>
        </w:tc>
      </w:tr>
      <w:tr w:rsidR="001C610D" w:rsidTr="001C610D">
        <w:tc>
          <w:tcPr>
            <w:tcW w:w="1084" w:type="dxa"/>
          </w:tcPr>
          <w:p w:rsidR="001C610D" w:rsidRDefault="001C610D" w:rsidP="001C610D">
            <w:pPr>
              <w:jc w:val="center"/>
            </w:pPr>
            <w:r>
              <w:t>1973</w:t>
            </w:r>
          </w:p>
        </w:tc>
        <w:tc>
          <w:tcPr>
            <w:tcW w:w="1531" w:type="dxa"/>
            <w:vAlign w:val="center"/>
          </w:tcPr>
          <w:p w:rsidR="001C610D" w:rsidRDefault="001C610D" w:rsidP="00AD095A">
            <w:pPr>
              <w:jc w:val="right"/>
            </w:pPr>
          </w:p>
        </w:tc>
        <w:tc>
          <w:tcPr>
            <w:tcW w:w="1686" w:type="dxa"/>
            <w:vAlign w:val="center"/>
          </w:tcPr>
          <w:p w:rsidR="001C610D" w:rsidRDefault="001C610D" w:rsidP="00AD095A">
            <w:pPr>
              <w:jc w:val="right"/>
            </w:pPr>
            <w:r>
              <w:t>270</w:t>
            </w:r>
          </w:p>
        </w:tc>
        <w:tc>
          <w:tcPr>
            <w:tcW w:w="910" w:type="dxa"/>
          </w:tcPr>
          <w:p w:rsidR="001C610D" w:rsidRDefault="001C610D" w:rsidP="001C610D">
            <w:pPr>
              <w:jc w:val="center"/>
            </w:pPr>
            <w:r>
              <w:t>1996</w:t>
            </w:r>
          </w:p>
        </w:tc>
        <w:tc>
          <w:tcPr>
            <w:tcW w:w="1418" w:type="dxa"/>
            <w:vAlign w:val="center"/>
          </w:tcPr>
          <w:p w:rsidR="001C610D" w:rsidRDefault="001C610D" w:rsidP="002C1666">
            <w:pPr>
              <w:jc w:val="right"/>
            </w:pPr>
            <w:r>
              <w:t>12,811</w:t>
            </w:r>
          </w:p>
        </w:tc>
        <w:tc>
          <w:tcPr>
            <w:tcW w:w="1984" w:type="dxa"/>
            <w:vAlign w:val="center"/>
          </w:tcPr>
          <w:p w:rsidR="001C610D" w:rsidRDefault="001C610D" w:rsidP="002C1666">
            <w:pPr>
              <w:jc w:val="right"/>
            </w:pPr>
            <w:r>
              <w:t>945</w:t>
            </w:r>
          </w:p>
        </w:tc>
      </w:tr>
      <w:tr w:rsidR="001C610D" w:rsidTr="001C610D">
        <w:tc>
          <w:tcPr>
            <w:tcW w:w="1084" w:type="dxa"/>
          </w:tcPr>
          <w:p w:rsidR="001C610D" w:rsidRDefault="001C610D" w:rsidP="001C610D">
            <w:pPr>
              <w:jc w:val="center"/>
            </w:pPr>
            <w:r>
              <w:t>1977</w:t>
            </w:r>
          </w:p>
        </w:tc>
        <w:tc>
          <w:tcPr>
            <w:tcW w:w="1531" w:type="dxa"/>
            <w:vAlign w:val="center"/>
          </w:tcPr>
          <w:p w:rsidR="001C610D" w:rsidRDefault="001C610D" w:rsidP="0088694C">
            <w:pPr>
              <w:jc w:val="right"/>
            </w:pPr>
            <w:r>
              <w:t>10,618</w:t>
            </w:r>
          </w:p>
        </w:tc>
        <w:tc>
          <w:tcPr>
            <w:tcW w:w="1686" w:type="dxa"/>
            <w:vAlign w:val="center"/>
          </w:tcPr>
          <w:p w:rsidR="001C610D" w:rsidRDefault="001C610D" w:rsidP="00AD095A">
            <w:pPr>
              <w:jc w:val="right"/>
            </w:pPr>
            <w:r>
              <w:t>228</w:t>
            </w:r>
          </w:p>
        </w:tc>
        <w:tc>
          <w:tcPr>
            <w:tcW w:w="910" w:type="dxa"/>
          </w:tcPr>
          <w:p w:rsidR="001C610D" w:rsidRDefault="001C610D" w:rsidP="001C610D">
            <w:pPr>
              <w:jc w:val="center"/>
            </w:pPr>
            <w:r>
              <w:t>1997</w:t>
            </w:r>
          </w:p>
        </w:tc>
        <w:tc>
          <w:tcPr>
            <w:tcW w:w="1418" w:type="dxa"/>
            <w:vAlign w:val="center"/>
          </w:tcPr>
          <w:p w:rsidR="001C610D" w:rsidRDefault="001C610D" w:rsidP="002C1666">
            <w:pPr>
              <w:jc w:val="right"/>
            </w:pPr>
            <w:r>
              <w:t>9,972</w:t>
            </w:r>
          </w:p>
        </w:tc>
        <w:tc>
          <w:tcPr>
            <w:tcW w:w="1984" w:type="dxa"/>
            <w:vAlign w:val="center"/>
          </w:tcPr>
          <w:p w:rsidR="001C610D" w:rsidRDefault="001C610D" w:rsidP="002C1666">
            <w:pPr>
              <w:jc w:val="right"/>
            </w:pPr>
            <w:r>
              <w:t>-343</w:t>
            </w:r>
          </w:p>
        </w:tc>
      </w:tr>
      <w:tr w:rsidR="001C610D" w:rsidTr="001C610D">
        <w:tc>
          <w:tcPr>
            <w:tcW w:w="1084" w:type="dxa"/>
          </w:tcPr>
          <w:p w:rsidR="001C610D" w:rsidRDefault="001C610D" w:rsidP="001C610D">
            <w:pPr>
              <w:jc w:val="center"/>
            </w:pPr>
            <w:r>
              <w:t>1978</w:t>
            </w:r>
          </w:p>
        </w:tc>
        <w:tc>
          <w:tcPr>
            <w:tcW w:w="1531" w:type="dxa"/>
            <w:vAlign w:val="center"/>
          </w:tcPr>
          <w:p w:rsidR="001C610D" w:rsidRDefault="001C610D" w:rsidP="00AD095A">
            <w:pPr>
              <w:jc w:val="right"/>
            </w:pPr>
          </w:p>
        </w:tc>
        <w:tc>
          <w:tcPr>
            <w:tcW w:w="1686" w:type="dxa"/>
            <w:vAlign w:val="center"/>
          </w:tcPr>
          <w:p w:rsidR="001C610D" w:rsidRDefault="001C610D" w:rsidP="00AD095A">
            <w:pPr>
              <w:jc w:val="right"/>
            </w:pPr>
            <w:r>
              <w:t>334</w:t>
            </w:r>
          </w:p>
        </w:tc>
        <w:tc>
          <w:tcPr>
            <w:tcW w:w="910" w:type="dxa"/>
          </w:tcPr>
          <w:p w:rsidR="001C610D" w:rsidRDefault="001C610D" w:rsidP="001C610D">
            <w:pPr>
              <w:jc w:val="center"/>
            </w:pPr>
            <w:r>
              <w:t>1998</w:t>
            </w:r>
          </w:p>
        </w:tc>
        <w:tc>
          <w:tcPr>
            <w:tcW w:w="1418" w:type="dxa"/>
            <w:vAlign w:val="center"/>
          </w:tcPr>
          <w:p w:rsidR="001C610D" w:rsidRDefault="001C610D" w:rsidP="002C1666">
            <w:pPr>
              <w:jc w:val="right"/>
            </w:pPr>
          </w:p>
        </w:tc>
        <w:tc>
          <w:tcPr>
            <w:tcW w:w="1984" w:type="dxa"/>
            <w:vAlign w:val="center"/>
          </w:tcPr>
          <w:p w:rsidR="001C610D" w:rsidRDefault="001C610D" w:rsidP="002C1666">
            <w:pPr>
              <w:jc w:val="right"/>
            </w:pPr>
            <w:r>
              <w:t>-1643</w:t>
            </w:r>
          </w:p>
        </w:tc>
      </w:tr>
      <w:tr w:rsidR="001C610D" w:rsidTr="001C610D">
        <w:tc>
          <w:tcPr>
            <w:tcW w:w="1084" w:type="dxa"/>
          </w:tcPr>
          <w:p w:rsidR="001C610D" w:rsidRDefault="001C610D" w:rsidP="001C610D">
            <w:pPr>
              <w:jc w:val="center"/>
            </w:pPr>
            <w:r>
              <w:t>1979</w:t>
            </w:r>
          </w:p>
        </w:tc>
        <w:tc>
          <w:tcPr>
            <w:tcW w:w="1531" w:type="dxa"/>
            <w:vAlign w:val="center"/>
          </w:tcPr>
          <w:p w:rsidR="001C610D" w:rsidRDefault="001C610D" w:rsidP="00AD095A">
            <w:pPr>
              <w:jc w:val="right"/>
            </w:pPr>
          </w:p>
        </w:tc>
        <w:tc>
          <w:tcPr>
            <w:tcW w:w="1686" w:type="dxa"/>
            <w:vAlign w:val="center"/>
          </w:tcPr>
          <w:p w:rsidR="001C610D" w:rsidRDefault="001C610D" w:rsidP="00AD095A">
            <w:pPr>
              <w:jc w:val="right"/>
            </w:pPr>
            <w:r>
              <w:t>367</w:t>
            </w:r>
          </w:p>
        </w:tc>
        <w:tc>
          <w:tcPr>
            <w:tcW w:w="910" w:type="dxa"/>
          </w:tcPr>
          <w:p w:rsidR="001C610D" w:rsidRDefault="001C610D" w:rsidP="001C610D">
            <w:pPr>
              <w:jc w:val="center"/>
            </w:pPr>
            <w:r>
              <w:t>1999</w:t>
            </w:r>
          </w:p>
        </w:tc>
        <w:tc>
          <w:tcPr>
            <w:tcW w:w="1418" w:type="dxa"/>
            <w:vAlign w:val="center"/>
          </w:tcPr>
          <w:p w:rsidR="001C610D" w:rsidRDefault="001C610D" w:rsidP="002C1666">
            <w:pPr>
              <w:jc w:val="right"/>
            </w:pPr>
          </w:p>
        </w:tc>
        <w:tc>
          <w:tcPr>
            <w:tcW w:w="1984" w:type="dxa"/>
            <w:vAlign w:val="center"/>
          </w:tcPr>
          <w:p w:rsidR="001C610D" w:rsidRDefault="001C610D" w:rsidP="002C1666">
            <w:pPr>
              <w:jc w:val="right"/>
            </w:pPr>
            <w:r>
              <w:t>-3078</w:t>
            </w:r>
          </w:p>
        </w:tc>
      </w:tr>
      <w:tr w:rsidR="001C610D" w:rsidTr="001C610D">
        <w:tc>
          <w:tcPr>
            <w:tcW w:w="1084" w:type="dxa"/>
          </w:tcPr>
          <w:p w:rsidR="001C610D" w:rsidRDefault="001C610D" w:rsidP="001C610D">
            <w:pPr>
              <w:jc w:val="center"/>
            </w:pPr>
            <w:r>
              <w:t>1980</w:t>
            </w:r>
          </w:p>
        </w:tc>
        <w:tc>
          <w:tcPr>
            <w:tcW w:w="1531" w:type="dxa"/>
            <w:vAlign w:val="center"/>
          </w:tcPr>
          <w:p w:rsidR="001C610D" w:rsidRDefault="001C610D" w:rsidP="00AD095A">
            <w:pPr>
              <w:jc w:val="right"/>
            </w:pPr>
            <w:r>
              <w:t>18,552</w:t>
            </w:r>
          </w:p>
        </w:tc>
        <w:tc>
          <w:tcPr>
            <w:tcW w:w="1686" w:type="dxa"/>
            <w:vAlign w:val="center"/>
          </w:tcPr>
          <w:p w:rsidR="001C610D" w:rsidRDefault="001C610D" w:rsidP="00DE7731">
            <w:pPr>
              <w:jc w:val="right"/>
            </w:pPr>
            <w:r>
              <w:t>822</w:t>
            </w:r>
          </w:p>
        </w:tc>
        <w:tc>
          <w:tcPr>
            <w:tcW w:w="910" w:type="dxa"/>
          </w:tcPr>
          <w:p w:rsidR="001C610D" w:rsidRDefault="001C610D" w:rsidP="001C610D">
            <w:pPr>
              <w:jc w:val="center"/>
            </w:pPr>
            <w:r>
              <w:t>2000</w:t>
            </w:r>
          </w:p>
        </w:tc>
        <w:tc>
          <w:tcPr>
            <w:tcW w:w="1418" w:type="dxa"/>
            <w:vAlign w:val="center"/>
          </w:tcPr>
          <w:p w:rsidR="001C610D" w:rsidRDefault="001C610D" w:rsidP="002C1666">
            <w:pPr>
              <w:jc w:val="right"/>
            </w:pPr>
          </w:p>
        </w:tc>
        <w:tc>
          <w:tcPr>
            <w:tcW w:w="1984" w:type="dxa"/>
            <w:vAlign w:val="center"/>
          </w:tcPr>
          <w:p w:rsidR="001C610D" w:rsidRDefault="001C610D" w:rsidP="002C1666">
            <w:pPr>
              <w:jc w:val="right"/>
            </w:pPr>
            <w:r>
              <w:t>-2614</w:t>
            </w:r>
          </w:p>
        </w:tc>
      </w:tr>
      <w:tr w:rsidR="001C610D" w:rsidTr="001C610D">
        <w:tc>
          <w:tcPr>
            <w:tcW w:w="1084" w:type="dxa"/>
          </w:tcPr>
          <w:p w:rsidR="001C610D" w:rsidRDefault="001C610D" w:rsidP="001C610D">
            <w:pPr>
              <w:jc w:val="center"/>
            </w:pPr>
            <w:r>
              <w:t>1981</w:t>
            </w:r>
          </w:p>
        </w:tc>
        <w:tc>
          <w:tcPr>
            <w:tcW w:w="1531" w:type="dxa"/>
            <w:vAlign w:val="center"/>
          </w:tcPr>
          <w:p w:rsidR="001C610D" w:rsidRDefault="001C610D" w:rsidP="00AD095A">
            <w:pPr>
              <w:jc w:val="right"/>
            </w:pPr>
          </w:p>
        </w:tc>
        <w:tc>
          <w:tcPr>
            <w:tcW w:w="1686" w:type="dxa"/>
            <w:vAlign w:val="center"/>
          </w:tcPr>
          <w:p w:rsidR="001C610D" w:rsidRDefault="001C610D" w:rsidP="00AD095A">
            <w:pPr>
              <w:jc w:val="right"/>
            </w:pPr>
            <w:r>
              <w:t>501</w:t>
            </w:r>
          </w:p>
        </w:tc>
        <w:tc>
          <w:tcPr>
            <w:tcW w:w="910" w:type="dxa"/>
          </w:tcPr>
          <w:p w:rsidR="001C610D" w:rsidRDefault="001C610D" w:rsidP="001C610D">
            <w:pPr>
              <w:jc w:val="center"/>
            </w:pPr>
            <w:r>
              <w:t>2001</w:t>
            </w:r>
          </w:p>
        </w:tc>
        <w:tc>
          <w:tcPr>
            <w:tcW w:w="1418" w:type="dxa"/>
            <w:vAlign w:val="center"/>
          </w:tcPr>
          <w:p w:rsidR="001C610D" w:rsidRDefault="001C610D" w:rsidP="002C1666">
            <w:pPr>
              <w:jc w:val="right"/>
            </w:pPr>
          </w:p>
        </w:tc>
        <w:tc>
          <w:tcPr>
            <w:tcW w:w="1984" w:type="dxa"/>
            <w:vAlign w:val="center"/>
          </w:tcPr>
          <w:p w:rsidR="001C610D" w:rsidRDefault="001C610D" w:rsidP="002C1666">
            <w:pPr>
              <w:jc w:val="right"/>
            </w:pPr>
            <w:r>
              <w:t>-4478</w:t>
            </w:r>
          </w:p>
        </w:tc>
      </w:tr>
      <w:tr w:rsidR="001C610D" w:rsidTr="001C610D">
        <w:tc>
          <w:tcPr>
            <w:tcW w:w="1084" w:type="dxa"/>
          </w:tcPr>
          <w:p w:rsidR="001C610D" w:rsidRDefault="001C610D" w:rsidP="001C610D">
            <w:pPr>
              <w:jc w:val="center"/>
            </w:pPr>
            <w:r>
              <w:t>1982</w:t>
            </w:r>
          </w:p>
        </w:tc>
        <w:tc>
          <w:tcPr>
            <w:tcW w:w="1531" w:type="dxa"/>
            <w:vAlign w:val="center"/>
          </w:tcPr>
          <w:p w:rsidR="001C610D" w:rsidRDefault="001C610D" w:rsidP="00AD095A">
            <w:pPr>
              <w:jc w:val="right"/>
            </w:pPr>
            <w:r>
              <w:t>20,145</w:t>
            </w:r>
          </w:p>
        </w:tc>
        <w:tc>
          <w:tcPr>
            <w:tcW w:w="1686" w:type="dxa"/>
            <w:vAlign w:val="center"/>
          </w:tcPr>
          <w:p w:rsidR="001C610D" w:rsidRDefault="001C610D" w:rsidP="00AD095A">
            <w:pPr>
              <w:jc w:val="right"/>
            </w:pPr>
            <w:r>
              <w:t>284</w:t>
            </w:r>
          </w:p>
        </w:tc>
        <w:tc>
          <w:tcPr>
            <w:tcW w:w="910" w:type="dxa"/>
          </w:tcPr>
          <w:p w:rsidR="001C610D" w:rsidRDefault="001C610D" w:rsidP="001C610D">
            <w:pPr>
              <w:jc w:val="center"/>
            </w:pPr>
            <w:r>
              <w:t>2002</w:t>
            </w:r>
          </w:p>
        </w:tc>
        <w:tc>
          <w:tcPr>
            <w:tcW w:w="1418" w:type="dxa"/>
            <w:vAlign w:val="center"/>
          </w:tcPr>
          <w:p w:rsidR="001C610D" w:rsidRDefault="001C610D" w:rsidP="002C1666">
            <w:pPr>
              <w:jc w:val="right"/>
            </w:pPr>
            <w:r>
              <w:t>2,490</w:t>
            </w:r>
          </w:p>
        </w:tc>
        <w:tc>
          <w:tcPr>
            <w:tcW w:w="1984" w:type="dxa"/>
            <w:vAlign w:val="center"/>
          </w:tcPr>
          <w:p w:rsidR="001C610D" w:rsidRDefault="001C610D" w:rsidP="002C1666">
            <w:pPr>
              <w:jc w:val="right"/>
            </w:pPr>
          </w:p>
        </w:tc>
      </w:tr>
      <w:tr w:rsidR="001C610D" w:rsidTr="001C610D">
        <w:tc>
          <w:tcPr>
            <w:tcW w:w="1084" w:type="dxa"/>
          </w:tcPr>
          <w:p w:rsidR="001C610D" w:rsidRDefault="001C610D" w:rsidP="001C610D">
            <w:pPr>
              <w:jc w:val="center"/>
            </w:pPr>
            <w:r>
              <w:t>1983</w:t>
            </w:r>
          </w:p>
        </w:tc>
        <w:tc>
          <w:tcPr>
            <w:tcW w:w="1531" w:type="dxa"/>
            <w:vAlign w:val="center"/>
          </w:tcPr>
          <w:p w:rsidR="001C610D" w:rsidRDefault="001C610D" w:rsidP="00AD095A">
            <w:pPr>
              <w:jc w:val="right"/>
            </w:pPr>
          </w:p>
        </w:tc>
        <w:tc>
          <w:tcPr>
            <w:tcW w:w="1686" w:type="dxa"/>
            <w:vAlign w:val="center"/>
          </w:tcPr>
          <w:p w:rsidR="001C610D" w:rsidRDefault="001C610D" w:rsidP="00DE7731">
            <w:pPr>
              <w:jc w:val="right"/>
            </w:pPr>
            <w:r>
              <w:t>182</w:t>
            </w:r>
          </w:p>
        </w:tc>
        <w:tc>
          <w:tcPr>
            <w:tcW w:w="910" w:type="dxa"/>
          </w:tcPr>
          <w:p w:rsidR="001C610D" w:rsidRDefault="001C610D" w:rsidP="001C610D">
            <w:pPr>
              <w:jc w:val="center"/>
            </w:pPr>
            <w:r>
              <w:t>2006</w:t>
            </w:r>
          </w:p>
        </w:tc>
        <w:tc>
          <w:tcPr>
            <w:tcW w:w="1418" w:type="dxa"/>
            <w:vAlign w:val="center"/>
          </w:tcPr>
          <w:p w:rsidR="001C610D" w:rsidRDefault="001C610D" w:rsidP="002C1666">
            <w:pPr>
              <w:jc w:val="right"/>
            </w:pPr>
          </w:p>
        </w:tc>
        <w:tc>
          <w:tcPr>
            <w:tcW w:w="1984" w:type="dxa"/>
            <w:vAlign w:val="center"/>
          </w:tcPr>
          <w:p w:rsidR="001C610D" w:rsidRDefault="001C610D" w:rsidP="002C1666">
            <w:pPr>
              <w:jc w:val="right"/>
            </w:pPr>
            <w:r>
              <w:t>6738</w:t>
            </w:r>
          </w:p>
        </w:tc>
      </w:tr>
      <w:tr w:rsidR="001C610D" w:rsidTr="001C610D">
        <w:tc>
          <w:tcPr>
            <w:tcW w:w="1084" w:type="dxa"/>
          </w:tcPr>
          <w:p w:rsidR="001C610D" w:rsidRDefault="001C610D" w:rsidP="001C610D">
            <w:pPr>
              <w:jc w:val="center"/>
            </w:pPr>
            <w:r>
              <w:t>1984</w:t>
            </w:r>
          </w:p>
        </w:tc>
        <w:tc>
          <w:tcPr>
            <w:tcW w:w="1531" w:type="dxa"/>
            <w:vAlign w:val="center"/>
          </w:tcPr>
          <w:p w:rsidR="001C610D" w:rsidRDefault="001C610D" w:rsidP="00AD095A">
            <w:pPr>
              <w:jc w:val="right"/>
            </w:pPr>
            <w:r>
              <w:t>23,436</w:t>
            </w:r>
          </w:p>
        </w:tc>
        <w:tc>
          <w:tcPr>
            <w:tcW w:w="1686" w:type="dxa"/>
            <w:vAlign w:val="center"/>
          </w:tcPr>
          <w:p w:rsidR="001C610D" w:rsidRDefault="001C610D" w:rsidP="00AD095A">
            <w:pPr>
              <w:jc w:val="right"/>
            </w:pPr>
            <w:r>
              <w:t>373</w:t>
            </w:r>
          </w:p>
        </w:tc>
        <w:tc>
          <w:tcPr>
            <w:tcW w:w="910" w:type="dxa"/>
          </w:tcPr>
          <w:p w:rsidR="001C610D" w:rsidRDefault="001C610D" w:rsidP="001C610D">
            <w:pPr>
              <w:jc w:val="center"/>
            </w:pPr>
            <w:r>
              <w:t>2007</w:t>
            </w:r>
          </w:p>
        </w:tc>
        <w:tc>
          <w:tcPr>
            <w:tcW w:w="1418" w:type="dxa"/>
            <w:vAlign w:val="center"/>
          </w:tcPr>
          <w:p w:rsidR="001C610D" w:rsidRDefault="001C610D" w:rsidP="002C1666">
            <w:pPr>
              <w:jc w:val="right"/>
            </w:pPr>
          </w:p>
        </w:tc>
        <w:tc>
          <w:tcPr>
            <w:tcW w:w="1984" w:type="dxa"/>
            <w:vAlign w:val="center"/>
          </w:tcPr>
          <w:p w:rsidR="001C610D" w:rsidRDefault="001C610D" w:rsidP="002C1666">
            <w:pPr>
              <w:jc w:val="right"/>
            </w:pPr>
            <w:r>
              <w:t>7692</w:t>
            </w:r>
          </w:p>
        </w:tc>
      </w:tr>
      <w:tr w:rsidR="001C610D" w:rsidTr="001C610D">
        <w:tc>
          <w:tcPr>
            <w:tcW w:w="1084" w:type="dxa"/>
          </w:tcPr>
          <w:p w:rsidR="001C610D" w:rsidRDefault="001C610D" w:rsidP="001C610D">
            <w:pPr>
              <w:jc w:val="center"/>
            </w:pPr>
            <w:r>
              <w:t>1985</w:t>
            </w:r>
          </w:p>
        </w:tc>
        <w:tc>
          <w:tcPr>
            <w:tcW w:w="1531" w:type="dxa"/>
            <w:vAlign w:val="center"/>
          </w:tcPr>
          <w:p w:rsidR="001C610D" w:rsidRDefault="001C610D" w:rsidP="00AD095A">
            <w:pPr>
              <w:jc w:val="right"/>
            </w:pPr>
            <w:r>
              <w:t>26,050</w:t>
            </w:r>
          </w:p>
        </w:tc>
        <w:tc>
          <w:tcPr>
            <w:tcW w:w="1686" w:type="dxa"/>
            <w:vAlign w:val="center"/>
          </w:tcPr>
          <w:p w:rsidR="001C610D" w:rsidRDefault="001C610D" w:rsidP="00AD095A">
            <w:pPr>
              <w:jc w:val="right"/>
            </w:pPr>
            <w:r>
              <w:t>254</w:t>
            </w:r>
          </w:p>
        </w:tc>
        <w:tc>
          <w:tcPr>
            <w:tcW w:w="910" w:type="dxa"/>
          </w:tcPr>
          <w:p w:rsidR="001C610D" w:rsidRDefault="001C610D" w:rsidP="001C610D">
            <w:pPr>
              <w:jc w:val="center"/>
            </w:pPr>
            <w:r>
              <w:t>2008</w:t>
            </w:r>
          </w:p>
        </w:tc>
        <w:tc>
          <w:tcPr>
            <w:tcW w:w="1418" w:type="dxa"/>
            <w:vAlign w:val="center"/>
          </w:tcPr>
          <w:p w:rsidR="001C610D" w:rsidRDefault="001C610D" w:rsidP="002C1666">
            <w:pPr>
              <w:jc w:val="right"/>
            </w:pPr>
          </w:p>
        </w:tc>
        <w:tc>
          <w:tcPr>
            <w:tcW w:w="1984" w:type="dxa"/>
            <w:vAlign w:val="center"/>
          </w:tcPr>
          <w:p w:rsidR="001C610D" w:rsidRDefault="001C610D" w:rsidP="002C1666">
            <w:pPr>
              <w:jc w:val="right"/>
            </w:pPr>
            <w:r>
              <w:t>3513</w:t>
            </w:r>
          </w:p>
        </w:tc>
      </w:tr>
      <w:tr w:rsidR="001C610D" w:rsidTr="001C610D">
        <w:tc>
          <w:tcPr>
            <w:tcW w:w="1084" w:type="dxa"/>
          </w:tcPr>
          <w:p w:rsidR="001C610D" w:rsidRDefault="001C610D" w:rsidP="001C610D">
            <w:pPr>
              <w:jc w:val="center"/>
            </w:pPr>
            <w:r>
              <w:t>1986</w:t>
            </w:r>
          </w:p>
        </w:tc>
        <w:tc>
          <w:tcPr>
            <w:tcW w:w="1531" w:type="dxa"/>
            <w:vAlign w:val="center"/>
          </w:tcPr>
          <w:p w:rsidR="001C610D" w:rsidRDefault="001C610D" w:rsidP="00AD095A">
            <w:pPr>
              <w:jc w:val="right"/>
            </w:pPr>
          </w:p>
        </w:tc>
        <w:tc>
          <w:tcPr>
            <w:tcW w:w="1686" w:type="dxa"/>
            <w:vAlign w:val="center"/>
          </w:tcPr>
          <w:p w:rsidR="001C610D" w:rsidRDefault="001C610D" w:rsidP="00AD095A">
            <w:pPr>
              <w:jc w:val="right"/>
            </w:pPr>
            <w:r>
              <w:t>954</w:t>
            </w:r>
          </w:p>
        </w:tc>
        <w:tc>
          <w:tcPr>
            <w:tcW w:w="910" w:type="dxa"/>
          </w:tcPr>
          <w:p w:rsidR="001C610D" w:rsidRDefault="001C610D" w:rsidP="001C610D">
            <w:pPr>
              <w:jc w:val="center"/>
            </w:pPr>
            <w:r>
              <w:t>2009</w:t>
            </w:r>
          </w:p>
        </w:tc>
        <w:tc>
          <w:tcPr>
            <w:tcW w:w="1418" w:type="dxa"/>
            <w:vAlign w:val="center"/>
          </w:tcPr>
          <w:p w:rsidR="001C610D" w:rsidRDefault="001C610D" w:rsidP="002C1666">
            <w:pPr>
              <w:jc w:val="right"/>
            </w:pPr>
          </w:p>
        </w:tc>
        <w:tc>
          <w:tcPr>
            <w:tcW w:w="1984" w:type="dxa"/>
            <w:vAlign w:val="center"/>
          </w:tcPr>
          <w:p w:rsidR="001C610D" w:rsidRDefault="001C610D" w:rsidP="002C1666">
            <w:pPr>
              <w:jc w:val="right"/>
            </w:pPr>
            <w:r>
              <w:t>6073</w:t>
            </w:r>
          </w:p>
        </w:tc>
      </w:tr>
      <w:tr w:rsidR="001C610D" w:rsidTr="001C610D">
        <w:tc>
          <w:tcPr>
            <w:tcW w:w="1084" w:type="dxa"/>
          </w:tcPr>
          <w:p w:rsidR="001C610D" w:rsidRDefault="001C610D" w:rsidP="001C610D">
            <w:pPr>
              <w:jc w:val="center"/>
            </w:pPr>
            <w:r>
              <w:t>1987</w:t>
            </w:r>
          </w:p>
        </w:tc>
        <w:tc>
          <w:tcPr>
            <w:tcW w:w="1531" w:type="dxa"/>
            <w:vAlign w:val="center"/>
          </w:tcPr>
          <w:p w:rsidR="001C610D" w:rsidRDefault="001C610D" w:rsidP="00AD095A">
            <w:pPr>
              <w:jc w:val="right"/>
            </w:pPr>
            <w:r>
              <w:t>31,500</w:t>
            </w:r>
          </w:p>
        </w:tc>
        <w:tc>
          <w:tcPr>
            <w:tcW w:w="1686" w:type="dxa"/>
            <w:vAlign w:val="center"/>
          </w:tcPr>
          <w:p w:rsidR="001C610D" w:rsidRDefault="001C610D" w:rsidP="00AD095A">
            <w:pPr>
              <w:jc w:val="right"/>
            </w:pPr>
            <w:r>
              <w:t>835</w:t>
            </w:r>
          </w:p>
        </w:tc>
        <w:tc>
          <w:tcPr>
            <w:tcW w:w="910" w:type="dxa"/>
          </w:tcPr>
          <w:p w:rsidR="001C610D" w:rsidRDefault="001C610D" w:rsidP="001C610D">
            <w:pPr>
              <w:jc w:val="center"/>
            </w:pPr>
            <w:r>
              <w:t>2010</w:t>
            </w:r>
          </w:p>
        </w:tc>
        <w:tc>
          <w:tcPr>
            <w:tcW w:w="1418" w:type="dxa"/>
            <w:vAlign w:val="center"/>
          </w:tcPr>
          <w:p w:rsidR="001C610D" w:rsidRDefault="001C610D" w:rsidP="002C1666">
            <w:pPr>
              <w:jc w:val="right"/>
            </w:pPr>
            <w:r>
              <w:t>773</w:t>
            </w:r>
          </w:p>
        </w:tc>
        <w:tc>
          <w:tcPr>
            <w:tcW w:w="1984" w:type="dxa"/>
            <w:vAlign w:val="center"/>
          </w:tcPr>
          <w:p w:rsidR="001C610D" w:rsidRDefault="001C610D" w:rsidP="002C1666">
            <w:pPr>
              <w:jc w:val="right"/>
            </w:pPr>
            <w:r>
              <w:t>3402</w:t>
            </w:r>
          </w:p>
        </w:tc>
      </w:tr>
      <w:tr w:rsidR="001C610D" w:rsidTr="001C610D">
        <w:tc>
          <w:tcPr>
            <w:tcW w:w="1084" w:type="dxa"/>
          </w:tcPr>
          <w:p w:rsidR="001C610D" w:rsidRDefault="001C610D" w:rsidP="001C610D">
            <w:pPr>
              <w:jc w:val="center"/>
            </w:pPr>
            <w:r>
              <w:t>1988</w:t>
            </w:r>
          </w:p>
        </w:tc>
        <w:tc>
          <w:tcPr>
            <w:tcW w:w="1531" w:type="dxa"/>
            <w:vAlign w:val="center"/>
          </w:tcPr>
          <w:p w:rsidR="001C610D" w:rsidRDefault="001C610D" w:rsidP="002C1666">
            <w:pPr>
              <w:jc w:val="right"/>
            </w:pPr>
            <w:r>
              <w:t>32,433</w:t>
            </w:r>
          </w:p>
        </w:tc>
        <w:tc>
          <w:tcPr>
            <w:tcW w:w="1686" w:type="dxa"/>
            <w:vAlign w:val="center"/>
          </w:tcPr>
          <w:p w:rsidR="001C610D" w:rsidRDefault="001C610D" w:rsidP="002C1666">
            <w:pPr>
              <w:jc w:val="right"/>
            </w:pPr>
            <w:r>
              <w:t>-908</w:t>
            </w:r>
          </w:p>
        </w:tc>
        <w:tc>
          <w:tcPr>
            <w:tcW w:w="910" w:type="dxa"/>
          </w:tcPr>
          <w:p w:rsidR="001C610D" w:rsidRDefault="001C610D" w:rsidP="001C610D">
            <w:pPr>
              <w:jc w:val="center"/>
            </w:pPr>
            <w:r>
              <w:t>2011</w:t>
            </w:r>
          </w:p>
        </w:tc>
        <w:tc>
          <w:tcPr>
            <w:tcW w:w="1418" w:type="dxa"/>
            <w:vAlign w:val="center"/>
          </w:tcPr>
          <w:p w:rsidR="001C610D" w:rsidRDefault="001C610D" w:rsidP="002C1666">
            <w:pPr>
              <w:jc w:val="right"/>
            </w:pPr>
          </w:p>
        </w:tc>
        <w:tc>
          <w:tcPr>
            <w:tcW w:w="1984" w:type="dxa"/>
            <w:vAlign w:val="center"/>
          </w:tcPr>
          <w:p w:rsidR="001C610D" w:rsidRDefault="001C610D" w:rsidP="002C1666">
            <w:pPr>
              <w:jc w:val="right"/>
            </w:pPr>
            <w:r>
              <w:t>-826</w:t>
            </w:r>
          </w:p>
        </w:tc>
      </w:tr>
      <w:tr w:rsidR="001C610D" w:rsidTr="001C610D">
        <w:tc>
          <w:tcPr>
            <w:tcW w:w="1084" w:type="dxa"/>
          </w:tcPr>
          <w:p w:rsidR="001C610D" w:rsidRDefault="001C610D" w:rsidP="001C610D">
            <w:pPr>
              <w:jc w:val="center"/>
            </w:pPr>
            <w:r>
              <w:t>1989</w:t>
            </w:r>
          </w:p>
        </w:tc>
        <w:tc>
          <w:tcPr>
            <w:tcW w:w="1531" w:type="dxa"/>
            <w:vAlign w:val="center"/>
          </w:tcPr>
          <w:p w:rsidR="001C610D" w:rsidRDefault="001C610D" w:rsidP="002C1666">
            <w:pPr>
              <w:jc w:val="right"/>
            </w:pPr>
            <w:r>
              <w:t>31,329</w:t>
            </w:r>
          </w:p>
        </w:tc>
        <w:tc>
          <w:tcPr>
            <w:tcW w:w="1686" w:type="dxa"/>
            <w:vAlign w:val="center"/>
          </w:tcPr>
          <w:p w:rsidR="001C610D" w:rsidRDefault="001C610D" w:rsidP="002C1666">
            <w:pPr>
              <w:jc w:val="right"/>
            </w:pPr>
            <w:r>
              <w:t>-3383</w:t>
            </w:r>
          </w:p>
        </w:tc>
        <w:tc>
          <w:tcPr>
            <w:tcW w:w="910" w:type="dxa"/>
          </w:tcPr>
          <w:p w:rsidR="001C610D" w:rsidRDefault="001C610D" w:rsidP="001C610D">
            <w:pPr>
              <w:jc w:val="center"/>
            </w:pPr>
            <w:r>
              <w:t>2012</w:t>
            </w:r>
          </w:p>
        </w:tc>
        <w:tc>
          <w:tcPr>
            <w:tcW w:w="1418" w:type="dxa"/>
            <w:vAlign w:val="center"/>
          </w:tcPr>
          <w:p w:rsidR="001C610D" w:rsidRDefault="001C610D" w:rsidP="002C1666">
            <w:pPr>
              <w:jc w:val="right"/>
            </w:pPr>
          </w:p>
        </w:tc>
        <w:tc>
          <w:tcPr>
            <w:tcW w:w="1984" w:type="dxa"/>
            <w:vAlign w:val="center"/>
          </w:tcPr>
          <w:p w:rsidR="001C610D" w:rsidRDefault="001C610D" w:rsidP="002C1666">
            <w:pPr>
              <w:jc w:val="right"/>
            </w:pPr>
            <w:r>
              <w:t>4406</w:t>
            </w:r>
          </w:p>
        </w:tc>
      </w:tr>
    </w:tbl>
    <w:p w:rsidR="00AB4D76" w:rsidRDefault="00AB4D76" w:rsidP="005B50FD"/>
    <w:p w:rsidR="0088694C" w:rsidRDefault="00AB4D76" w:rsidP="005B50FD">
      <w:r>
        <w:t xml:space="preserve">Sources: </w:t>
      </w:r>
      <w:r w:rsidRPr="00AB4D76">
        <w:t>Names: 1870</w:t>
      </w:r>
      <w:r w:rsidR="00265C72">
        <w:t>, 1</w:t>
      </w:r>
      <w:r w:rsidRPr="00AB4D76">
        <w:t>9</w:t>
      </w:r>
      <w:r w:rsidR="001F0254">
        <w:t>33</w:t>
      </w:r>
      <w:r>
        <w:t>:</w:t>
      </w:r>
      <w:r w:rsidRPr="00AB4D76">
        <w:t xml:space="preserve"> </w:t>
      </w:r>
      <w:r w:rsidR="001E2DAF" w:rsidRPr="001E2DAF">
        <w:t xml:space="preserve">Cockerell and Green </w:t>
      </w:r>
      <w:r w:rsidR="001E2DAF">
        <w:t>(</w:t>
      </w:r>
      <w:r w:rsidR="001E2DAF" w:rsidRPr="001E2DAF">
        <w:t>1994</w:t>
      </w:r>
      <w:r w:rsidR="001E2DAF">
        <w:t>)</w:t>
      </w:r>
      <w:r w:rsidR="001E2DAF" w:rsidRPr="001E2DAF">
        <w:t>, p.18</w:t>
      </w:r>
      <w:r w:rsidR="00265C72">
        <w:t xml:space="preserve">; </w:t>
      </w:r>
      <w:r w:rsidR="001F0254">
        <w:t xml:space="preserve">1952, 1968, 1982: </w:t>
      </w:r>
      <w:r w:rsidR="001F0254" w:rsidRPr="001E2DAF">
        <w:t xml:space="preserve">Cockerell </w:t>
      </w:r>
      <w:r w:rsidR="001F0254">
        <w:t>(</w:t>
      </w:r>
      <w:r w:rsidR="006E6059">
        <w:t>1991</w:t>
      </w:r>
      <w:r w:rsidR="001F0254">
        <w:t>)</w:t>
      </w:r>
      <w:r w:rsidR="001F0254" w:rsidRPr="001E2DAF">
        <w:t>,</w:t>
      </w:r>
      <w:r w:rsidR="001F0254">
        <w:t xml:space="preserve"> p.280; </w:t>
      </w:r>
      <w:r w:rsidR="00041D10">
        <w:t xml:space="preserve">1971: </w:t>
      </w:r>
      <w:r w:rsidR="00041D10" w:rsidRPr="00041D10">
        <w:rPr>
          <w:i/>
        </w:rPr>
        <w:t>The Times</w:t>
      </w:r>
      <w:r w:rsidR="00041D10">
        <w:t xml:space="preserve"> 11 August 1975; </w:t>
      </w:r>
      <w:r w:rsidR="0088694C">
        <w:t xml:space="preserve">1977: </w:t>
      </w:r>
      <w:r w:rsidR="0088694C" w:rsidRPr="0088694C">
        <w:rPr>
          <w:i/>
        </w:rPr>
        <w:t>The Times</w:t>
      </w:r>
      <w:r w:rsidR="0088694C">
        <w:t xml:space="preserve"> 23 June 1977; </w:t>
      </w:r>
      <w:r w:rsidRPr="00AB4D76">
        <w:t>1980</w:t>
      </w:r>
      <w:r>
        <w:t>:</w:t>
      </w:r>
      <w:r w:rsidRPr="00AB4D76">
        <w:t xml:space="preserve"> </w:t>
      </w:r>
      <w:r w:rsidRPr="00AB4D76">
        <w:rPr>
          <w:i/>
        </w:rPr>
        <w:t>The Guardian</w:t>
      </w:r>
      <w:r w:rsidRPr="00AB4D76">
        <w:t xml:space="preserve"> 21</w:t>
      </w:r>
      <w:r>
        <w:t xml:space="preserve"> July </w:t>
      </w:r>
      <w:r w:rsidRPr="00AB4D76">
        <w:t xml:space="preserve">1990; </w:t>
      </w:r>
      <w:r w:rsidR="00527315">
        <w:t xml:space="preserve">1982, 1985: </w:t>
      </w:r>
      <w:r w:rsidR="00527315" w:rsidRPr="00527315">
        <w:rPr>
          <w:i/>
        </w:rPr>
        <w:t>The Guardian</w:t>
      </w:r>
      <w:r w:rsidR="00527315">
        <w:t xml:space="preserve"> 29 July 1985; </w:t>
      </w:r>
      <w:r w:rsidRPr="00AB4D76">
        <w:t xml:space="preserve">1987: Davison </w:t>
      </w:r>
      <w:r w:rsidR="001E2DAF">
        <w:t xml:space="preserve">(1987), </w:t>
      </w:r>
      <w:r w:rsidRPr="00AB4D76">
        <w:t>p.44; 1988-94</w:t>
      </w:r>
      <w:r>
        <w:t>:</w:t>
      </w:r>
      <w:r w:rsidRPr="00AB4D76">
        <w:t xml:space="preserve"> </w:t>
      </w:r>
      <w:r w:rsidRPr="00AB4D76">
        <w:rPr>
          <w:i/>
        </w:rPr>
        <w:t>The Economist</w:t>
      </w:r>
      <w:r w:rsidRPr="00AB4D76">
        <w:t xml:space="preserve"> 3</w:t>
      </w:r>
      <w:r>
        <w:t xml:space="preserve"> December </w:t>
      </w:r>
      <w:r w:rsidRPr="00AB4D76">
        <w:t>1994; 1995-7?; 2002</w:t>
      </w:r>
      <w:r>
        <w:t>:</w:t>
      </w:r>
      <w:r w:rsidRPr="00AB4D76">
        <w:t xml:space="preserve"> </w:t>
      </w:r>
      <w:r w:rsidRPr="00AB4D76">
        <w:rPr>
          <w:i/>
        </w:rPr>
        <w:t>Sigma</w:t>
      </w:r>
      <w:r w:rsidRPr="00AB4D76">
        <w:t xml:space="preserve"> 2002; 2010, Browne </w:t>
      </w:r>
      <w:r w:rsidR="00265C72">
        <w:t>(</w:t>
      </w:r>
      <w:r w:rsidRPr="00AB4D76">
        <w:t>2010</w:t>
      </w:r>
      <w:r w:rsidR="00265C72">
        <w:t>)</w:t>
      </w:r>
      <w:r w:rsidR="00DF5649">
        <w:t>.</w:t>
      </w:r>
    </w:p>
    <w:p w:rsidR="00AB4D76" w:rsidRDefault="0088694C" w:rsidP="005B50FD">
      <w:r>
        <w:t xml:space="preserve">Sources: </w:t>
      </w:r>
      <w:r w:rsidR="00AB4D76">
        <w:t>Profits/Losses: 1971</w:t>
      </w:r>
      <w:r>
        <w:t>-</w:t>
      </w:r>
      <w:r w:rsidR="00DE7731">
        <w:t>79</w:t>
      </w:r>
      <w:r>
        <w:t xml:space="preserve">: </w:t>
      </w:r>
      <w:r w:rsidRPr="0088694C">
        <w:rPr>
          <w:i/>
        </w:rPr>
        <w:t>The Times</w:t>
      </w:r>
      <w:r>
        <w:t xml:space="preserve"> 11 August, 29 August 1975, 27 August 1976</w:t>
      </w:r>
      <w:r w:rsidR="0063375A">
        <w:t>,</w:t>
      </w:r>
      <w:r w:rsidR="00527315">
        <w:t xml:space="preserve"> 5 September 1980, 28 August 1981, 27 August 1982; </w:t>
      </w:r>
      <w:r w:rsidR="00DE7731">
        <w:t xml:space="preserve">1980-97: Duguid (2014), appendix 4; </w:t>
      </w:r>
      <w:r w:rsidR="00AB4D76">
        <w:t>19</w:t>
      </w:r>
      <w:r w:rsidR="00472ADE">
        <w:t>9</w:t>
      </w:r>
      <w:r w:rsidR="00351066">
        <w:t>8</w:t>
      </w:r>
      <w:r w:rsidR="00AB4D76">
        <w:t xml:space="preserve">: </w:t>
      </w:r>
      <w:hyperlink r:id="rId9" w:history="1">
        <w:r w:rsidR="00AB4D76" w:rsidRPr="002B51E1">
          <w:rPr>
            <w:rStyle w:val="Hyperlink"/>
          </w:rPr>
          <w:t>www.truthaboutlloyds.com</w:t>
        </w:r>
      </w:hyperlink>
      <w:r w:rsidR="00AB4D76">
        <w:t xml:space="preserve">; </w:t>
      </w:r>
      <w:r w:rsidR="00351066">
        <w:t>1999-</w:t>
      </w:r>
      <w:r w:rsidR="00CA68A0">
        <w:t xml:space="preserve">2001: </w:t>
      </w:r>
      <w:r w:rsidR="00CA68A0" w:rsidRPr="00CA68A0">
        <w:rPr>
          <w:i/>
        </w:rPr>
        <w:t>Financial Times</w:t>
      </w:r>
      <w:r w:rsidR="00CA68A0">
        <w:t xml:space="preserve"> 11 April 2002; </w:t>
      </w:r>
      <w:r w:rsidR="00AB4D76">
        <w:t xml:space="preserve">2006-12: </w:t>
      </w:r>
      <w:r w:rsidR="00AB4D76" w:rsidRPr="00AB4D76">
        <w:t>Lloyd’s Annual Reports 2010, 2012</w:t>
      </w:r>
      <w:r w:rsidR="00AB4D76">
        <w:t xml:space="preserve">. </w:t>
      </w:r>
    </w:p>
    <w:p w:rsidR="00AB4D76" w:rsidRDefault="00AB4D76" w:rsidP="005B50FD"/>
    <w:p w:rsidR="005B50FD" w:rsidRPr="00876553" w:rsidRDefault="00AB4D76" w:rsidP="005B50FD">
      <w:pPr>
        <w:rPr>
          <w:b/>
        </w:rPr>
      </w:pPr>
      <w:r>
        <w:t xml:space="preserve">Notes: </w:t>
      </w:r>
      <w:r w:rsidR="00AD430D">
        <w:t>P</w:t>
      </w:r>
      <w:r w:rsidR="00AD430D" w:rsidRPr="00AD430D">
        <w:t xml:space="preserve">rofit = net underwriting profits (net of expenses) + investment income, see </w:t>
      </w:r>
      <w:r w:rsidR="00AD430D" w:rsidRPr="00AD430D">
        <w:rPr>
          <w:i/>
        </w:rPr>
        <w:t>The Times</w:t>
      </w:r>
      <w:r w:rsidR="00AD430D" w:rsidRPr="00AD430D">
        <w:t xml:space="preserve"> 6 Sept</w:t>
      </w:r>
      <w:r w:rsidR="00DF5649">
        <w:t>ember</w:t>
      </w:r>
      <w:r w:rsidR="00AD430D" w:rsidRPr="00AD430D">
        <w:t xml:space="preserve"> 1985, reporting on the 1982 year of account, and </w:t>
      </w:r>
      <w:r w:rsidR="00AD430D" w:rsidRPr="00AD430D">
        <w:rPr>
          <w:i/>
        </w:rPr>
        <w:t>The Economist</w:t>
      </w:r>
      <w:r w:rsidR="00AD430D" w:rsidRPr="00AD430D">
        <w:t xml:space="preserve"> 24 August 1991 reporting on the 1988 year of account. </w:t>
      </w:r>
      <w:r w:rsidR="00153D91">
        <w:t>P</w:t>
      </w:r>
      <w:r>
        <w:t xml:space="preserve">rofits/losses given </w:t>
      </w:r>
      <w:r w:rsidR="003A5D23">
        <w:t xml:space="preserve">in sources </w:t>
      </w:r>
      <w:r>
        <w:t xml:space="preserve">in £ are </w:t>
      </w:r>
      <w:r w:rsidRPr="00AB4D76">
        <w:t>converted to US$ at contemporary annual rates from MeasuringWorth.com</w:t>
      </w:r>
      <w:r w:rsidR="00153D91">
        <w:t xml:space="preserve">, except for </w:t>
      </w:r>
      <w:r w:rsidR="003A5D23">
        <w:t>the year 19</w:t>
      </w:r>
      <w:r w:rsidR="00A335E5">
        <w:t>98</w:t>
      </w:r>
      <w:r w:rsidR="00153D91">
        <w:t xml:space="preserve">, which </w:t>
      </w:r>
      <w:r w:rsidR="003A5D23">
        <w:t>is</w:t>
      </w:r>
      <w:r w:rsidR="00153D91">
        <w:t xml:space="preserve"> </w:t>
      </w:r>
      <w:r w:rsidR="002B1E09">
        <w:t xml:space="preserve">calculated by the source, </w:t>
      </w:r>
      <w:hyperlink r:id="rId10" w:history="1">
        <w:r w:rsidR="002B1E09" w:rsidRPr="002B51E1">
          <w:rPr>
            <w:rStyle w:val="Hyperlink"/>
          </w:rPr>
          <w:t>www.truthaboutlloyds.com</w:t>
        </w:r>
      </w:hyperlink>
      <w:r w:rsidR="002B1E09">
        <w:t xml:space="preserve">, using a fixed exchange rate of £1=$1.55.  </w:t>
      </w:r>
      <w:r w:rsidR="004B073D">
        <w:t xml:space="preserve">This is lower than the average rate for these years </w:t>
      </w:r>
      <w:r w:rsidR="00153D91">
        <w:t>(</w:t>
      </w:r>
      <w:r w:rsidR="004B073D">
        <w:t>$1.60</w:t>
      </w:r>
      <w:r w:rsidR="00153D91">
        <w:t>)</w:t>
      </w:r>
      <w:r w:rsidR="004B073D">
        <w:t xml:space="preserve"> from </w:t>
      </w:r>
      <w:r w:rsidR="004B073D" w:rsidRPr="00AB4D76">
        <w:t>MeasuringWorth.com</w:t>
      </w:r>
      <w:r w:rsidR="004B073D">
        <w:t xml:space="preserve">. </w:t>
      </w:r>
      <w:r w:rsidRPr="00AB4D76">
        <w:t>Lloyd’s three year closed accounting system means that, for example, the profit of 199</w:t>
      </w:r>
      <w:r w:rsidR="00EF47D1">
        <w:t>0</w:t>
      </w:r>
      <w:r w:rsidRPr="00AB4D76">
        <w:t xml:space="preserve"> is the premiums written in 1990 minus claims settled within </w:t>
      </w:r>
      <w:r w:rsidR="00EF47D1">
        <w:t xml:space="preserve">the following </w:t>
      </w:r>
      <w:r w:rsidRPr="00AB4D76">
        <w:t xml:space="preserve">three years. </w:t>
      </w:r>
      <w:r w:rsidR="00CA68A0">
        <w:t>This applies to all years through to 2000.</w:t>
      </w:r>
      <w:r w:rsidRPr="00AB4D76">
        <w:t xml:space="preserve"> </w:t>
      </w:r>
      <w:r w:rsidR="00CA68A0">
        <w:t>In 2002 Lloyd’s moved to a system of annual reporting, beginning with the result for 2001.</w:t>
      </w:r>
      <w:r w:rsidR="00CA68A0" w:rsidRPr="00CA68A0">
        <w:rPr>
          <w:i/>
        </w:rPr>
        <w:t xml:space="preserve"> Financial Times</w:t>
      </w:r>
      <w:r w:rsidR="00CA68A0">
        <w:t xml:space="preserve"> 11 April 2002.</w:t>
      </w:r>
      <w:r w:rsidR="005B50FD">
        <w:br w:type="column"/>
      </w:r>
      <w:r w:rsidR="005B50FD" w:rsidRPr="005B50FD">
        <w:rPr>
          <w:b/>
        </w:rPr>
        <w:lastRenderedPageBreak/>
        <w:t>Figure 1: The</w:t>
      </w:r>
      <w:r w:rsidR="005B50FD" w:rsidRPr="00876553">
        <w:rPr>
          <w:b/>
        </w:rPr>
        <w:t xml:space="preserve"> excess of loss reinsurance spiral</w:t>
      </w:r>
    </w:p>
    <w:p w:rsidR="005B50FD" w:rsidRDefault="005B50FD" w:rsidP="005B50FD"/>
    <w:p w:rsidR="001E4DED" w:rsidRPr="001E4DED" w:rsidRDefault="000168F4" w:rsidP="005B50FD">
      <w:pPr>
        <w:rPr>
          <w:b/>
        </w:rPr>
      </w:pPr>
      <w:r>
        <w:rPr>
          <w:noProof/>
        </w:rPr>
        <mc:AlternateContent>
          <mc:Choice Requires="wpc">
            <w:drawing>
              <wp:inline distT="0" distB="0" distL="0" distR="0">
                <wp:extent cx="5257800" cy="4983480"/>
                <wp:effectExtent l="0" t="0" r="0" b="0"/>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446338" y="2628900"/>
                            <a:ext cx="914273" cy="1600200"/>
                          </a:xfrm>
                          <a:prstGeom prst="rect">
                            <a:avLst/>
                          </a:prstGeom>
                          <a:solidFill>
                            <a:srgbClr val="FFFFFF"/>
                          </a:solidFill>
                          <a:ln w="9525">
                            <a:solidFill>
                              <a:srgbClr val="000000"/>
                            </a:solidFill>
                            <a:miter lim="800000"/>
                            <a:headEnd/>
                            <a:tailEnd/>
                          </a:ln>
                        </wps:spPr>
                        <wps:txbx>
                          <w:txbxContent>
                            <w:p w:rsidR="00507C32" w:rsidRDefault="00507C32" w:rsidP="005B50FD">
                              <w:r>
                                <w:t>XL2</w:t>
                              </w:r>
                            </w:p>
                            <w:p w:rsidR="00507C32" w:rsidRDefault="00507C32" w:rsidP="005B50FD"/>
                            <w:p w:rsidR="00507C32" w:rsidRDefault="00507C32" w:rsidP="005B50FD"/>
                            <w:p w:rsidR="00507C32" w:rsidRDefault="00507C32" w:rsidP="005B50FD">
                              <w:r>
                                <w:t>XL1</w:t>
                              </w:r>
                            </w:p>
                            <w:p w:rsidR="00507C32" w:rsidRDefault="00507C32" w:rsidP="005B50FD"/>
                            <w:p w:rsidR="00507C32" w:rsidRPr="00360848" w:rsidRDefault="00507C32" w:rsidP="005B50FD">
                              <w:pPr>
                                <w:rPr>
                                  <w:sz w:val="20"/>
                                  <w:szCs w:val="20"/>
                                </w:rPr>
                              </w:pPr>
                              <w:r w:rsidRPr="00360848">
                                <w:rPr>
                                  <w:sz w:val="20"/>
                                  <w:szCs w:val="20"/>
                                </w:rPr>
                                <w:t>Insurance retained by direct insurer</w:t>
                              </w:r>
                            </w:p>
                            <w:p w:rsidR="00507C32" w:rsidRDefault="00507C32" w:rsidP="005B50FD"/>
                          </w:txbxContent>
                        </wps:txbx>
                        <wps:bodyPr rot="0" vert="horz" wrap="square" lIns="91440" tIns="45720" rIns="91440" bIns="45720" anchor="t" anchorCtr="0" upright="1">
                          <a:noAutofit/>
                        </wps:bodyPr>
                      </wps:wsp>
                      <wps:wsp>
                        <wps:cNvPr id="2" name="AutoShape 5"/>
                        <wps:cNvSpPr>
                          <a:spLocks noChangeArrowheads="1"/>
                        </wps:cNvSpPr>
                        <wps:spPr bwMode="auto">
                          <a:xfrm rot="19925977">
                            <a:off x="3474530" y="2971800"/>
                            <a:ext cx="457137" cy="342900"/>
                          </a:xfrm>
                          <a:prstGeom prst="rightArrow">
                            <a:avLst>
                              <a:gd name="adj1" fmla="val 50000"/>
                              <a:gd name="adj2" fmla="val 326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4046315" y="2743200"/>
                            <a:ext cx="800354" cy="800100"/>
                          </a:xfrm>
                          <a:prstGeom prst="rect">
                            <a:avLst/>
                          </a:prstGeom>
                          <a:solidFill>
                            <a:srgbClr val="FFFFFF"/>
                          </a:solidFill>
                          <a:ln w="9525">
                            <a:solidFill>
                              <a:srgbClr val="000000"/>
                            </a:solidFill>
                            <a:miter lim="800000"/>
                            <a:headEnd/>
                            <a:tailEnd/>
                          </a:ln>
                        </wps:spPr>
                        <wps:txbx>
                          <w:txbxContent>
                            <w:p w:rsidR="00507C32" w:rsidRDefault="00507C32" w:rsidP="005B50FD">
                              <w:pPr>
                                <w:rPr>
                                  <w:sz w:val="20"/>
                                  <w:szCs w:val="20"/>
                                </w:rPr>
                              </w:pPr>
                              <w:r>
                                <w:rPr>
                                  <w:sz w:val="20"/>
                                  <w:szCs w:val="20"/>
                                </w:rPr>
                                <w:t>XL 1.1</w:t>
                              </w:r>
                            </w:p>
                            <w:p w:rsidR="00507C32" w:rsidRDefault="00507C32" w:rsidP="005B50FD">
                              <w:pPr>
                                <w:rPr>
                                  <w:sz w:val="20"/>
                                  <w:szCs w:val="20"/>
                                </w:rPr>
                              </w:pPr>
                            </w:p>
                            <w:p w:rsidR="00507C32" w:rsidRDefault="00507C32" w:rsidP="005B50FD">
                              <w:pPr>
                                <w:rPr>
                                  <w:sz w:val="20"/>
                                  <w:szCs w:val="20"/>
                                </w:rPr>
                              </w:pPr>
                              <w:r w:rsidRPr="0054534F">
                                <w:rPr>
                                  <w:sz w:val="20"/>
                                  <w:szCs w:val="20"/>
                                </w:rPr>
                                <w:t>XL 1</w:t>
                              </w:r>
                            </w:p>
                            <w:p w:rsidR="00507C32" w:rsidRPr="0054534F" w:rsidRDefault="00507C32" w:rsidP="005B50FD">
                              <w:pPr>
                                <w:rPr>
                                  <w:sz w:val="20"/>
                                  <w:szCs w:val="20"/>
                                </w:rPr>
                              </w:pPr>
                              <w:r>
                                <w:rPr>
                                  <w:sz w:val="20"/>
                                  <w:szCs w:val="20"/>
                                </w:rPr>
                                <w:t>to</w:t>
                              </w:r>
                            </w:p>
                            <w:p w:rsidR="00507C32" w:rsidRPr="0054534F" w:rsidRDefault="00507C32" w:rsidP="005B50FD">
                              <w:pPr>
                                <w:rPr>
                                  <w:sz w:val="20"/>
                                  <w:szCs w:val="20"/>
                                </w:rPr>
                              </w:pPr>
                              <w:r>
                                <w:rPr>
                                  <w:sz w:val="20"/>
                                  <w:szCs w:val="20"/>
                                </w:rPr>
                                <w:t>R</w:t>
                              </w:r>
                              <w:r w:rsidRPr="0054534F">
                                <w:rPr>
                                  <w:sz w:val="20"/>
                                  <w:szCs w:val="20"/>
                                </w:rPr>
                                <w:t>einsurer 1</w:t>
                              </w:r>
                            </w:p>
                          </w:txbxContent>
                        </wps:txbx>
                        <wps:bodyPr rot="0" vert="horz" wrap="square" lIns="91440" tIns="45720" rIns="91440" bIns="45720" anchor="t" anchorCtr="0" upright="1">
                          <a:noAutofit/>
                        </wps:bodyPr>
                      </wps:wsp>
                      <wps:wsp>
                        <wps:cNvPr id="4" name="AutoShape 7"/>
                        <wps:cNvSpPr>
                          <a:spLocks noChangeArrowheads="1"/>
                        </wps:cNvSpPr>
                        <wps:spPr bwMode="auto">
                          <a:xfrm rot="16200000">
                            <a:off x="4074668" y="2142966"/>
                            <a:ext cx="514350" cy="343218"/>
                          </a:xfrm>
                          <a:prstGeom prst="rightArrow">
                            <a:avLst>
                              <a:gd name="adj1" fmla="val 50000"/>
                              <a:gd name="adj2" fmla="val 382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8"/>
                        <wps:cNvSpPr>
                          <a:spLocks noChangeArrowheads="1"/>
                        </wps:cNvSpPr>
                        <wps:spPr bwMode="auto">
                          <a:xfrm>
                            <a:off x="3931666" y="1371600"/>
                            <a:ext cx="1143572" cy="571500"/>
                          </a:xfrm>
                          <a:prstGeom prst="rect">
                            <a:avLst/>
                          </a:prstGeom>
                          <a:solidFill>
                            <a:srgbClr val="FFFFFF"/>
                          </a:solidFill>
                          <a:ln w="9525">
                            <a:solidFill>
                              <a:srgbClr val="000000"/>
                            </a:solidFill>
                            <a:miter lim="800000"/>
                            <a:headEnd/>
                            <a:tailEnd/>
                          </a:ln>
                        </wps:spPr>
                        <wps:txbx>
                          <w:txbxContent>
                            <w:p w:rsidR="00507C32" w:rsidRPr="0054534F" w:rsidRDefault="00507C32" w:rsidP="005B50FD">
                              <w:pPr>
                                <w:rPr>
                                  <w:sz w:val="20"/>
                                  <w:szCs w:val="20"/>
                                </w:rPr>
                              </w:pPr>
                              <w:r>
                                <w:rPr>
                                  <w:sz w:val="20"/>
                                  <w:szCs w:val="20"/>
                                </w:rPr>
                                <w:t xml:space="preserve">XL 1.1 to </w:t>
                              </w:r>
                              <w:r w:rsidRPr="0054534F">
                                <w:rPr>
                                  <w:sz w:val="20"/>
                                  <w:szCs w:val="20"/>
                                </w:rPr>
                                <w:t>Retrocession</w:t>
                              </w:r>
                              <w:r>
                                <w:rPr>
                                  <w:sz w:val="20"/>
                                  <w:szCs w:val="20"/>
                                </w:rPr>
                                <w:t>ary</w:t>
                              </w:r>
                              <w:r w:rsidRPr="0054534F">
                                <w:rPr>
                                  <w:sz w:val="20"/>
                                  <w:szCs w:val="20"/>
                                </w:rPr>
                                <w:t xml:space="preserve"> 1</w:t>
                              </w:r>
                            </w:p>
                          </w:txbxContent>
                        </wps:txbx>
                        <wps:bodyPr rot="0" vert="horz" wrap="square" lIns="91440" tIns="45720" rIns="91440" bIns="45720" anchor="t" anchorCtr="0" upright="1">
                          <a:noAutofit/>
                        </wps:bodyPr>
                      </wps:wsp>
                      <wps:wsp>
                        <wps:cNvPr id="6" name="AutoShape 9"/>
                        <wps:cNvSpPr>
                          <a:spLocks noChangeArrowheads="1"/>
                        </wps:cNvSpPr>
                        <wps:spPr bwMode="auto">
                          <a:xfrm rot="2790982">
                            <a:off x="1874520" y="2400332"/>
                            <a:ext cx="457200" cy="457137"/>
                          </a:xfrm>
                          <a:prstGeom prst="leftArrow">
                            <a:avLst>
                              <a:gd name="adj1" fmla="val 50000"/>
                              <a:gd name="adj2" fmla="val 25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10"/>
                        <wps:cNvCnPr/>
                        <wps:spPr bwMode="auto">
                          <a:xfrm>
                            <a:off x="2446338" y="3429000"/>
                            <a:ext cx="912813"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2446338" y="2971800"/>
                            <a:ext cx="91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1074198" y="1714500"/>
                            <a:ext cx="914273" cy="685800"/>
                          </a:xfrm>
                          <a:prstGeom prst="rect">
                            <a:avLst/>
                          </a:prstGeom>
                          <a:solidFill>
                            <a:srgbClr val="FFFFFF"/>
                          </a:solidFill>
                          <a:ln w="9525">
                            <a:solidFill>
                              <a:srgbClr val="000000"/>
                            </a:solidFill>
                            <a:miter lim="800000"/>
                            <a:headEnd/>
                            <a:tailEnd/>
                          </a:ln>
                        </wps:spPr>
                        <wps:txbx>
                          <w:txbxContent>
                            <w:p w:rsidR="00507C32" w:rsidRDefault="00507C32" w:rsidP="005B50FD">
                              <w:pPr>
                                <w:rPr>
                                  <w:sz w:val="20"/>
                                  <w:szCs w:val="20"/>
                                </w:rPr>
                              </w:pPr>
                              <w:r>
                                <w:rPr>
                                  <w:sz w:val="20"/>
                                  <w:szCs w:val="20"/>
                                </w:rPr>
                                <w:t>XL 2.1</w:t>
                              </w:r>
                            </w:p>
                            <w:p w:rsidR="00507C32" w:rsidRDefault="00507C32" w:rsidP="005B50FD">
                              <w:pPr>
                                <w:rPr>
                                  <w:sz w:val="20"/>
                                  <w:szCs w:val="20"/>
                                </w:rPr>
                              </w:pPr>
                            </w:p>
                            <w:p w:rsidR="00507C32" w:rsidRPr="00360848" w:rsidRDefault="00507C32" w:rsidP="005B50FD">
                              <w:pPr>
                                <w:rPr>
                                  <w:sz w:val="20"/>
                                  <w:szCs w:val="20"/>
                                </w:rPr>
                              </w:pPr>
                              <w:r w:rsidRPr="00360848">
                                <w:rPr>
                                  <w:sz w:val="20"/>
                                  <w:szCs w:val="20"/>
                                </w:rPr>
                                <w:t>XL 2 to Reinsurer 2</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302766" y="1028700"/>
                            <a:ext cx="343218" cy="571500"/>
                          </a:xfrm>
                          <a:prstGeom prst="upArrow">
                            <a:avLst>
                              <a:gd name="adj1" fmla="val 50000"/>
                              <a:gd name="adj2" fmla="val 425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4"/>
                        <wps:cNvSpPr>
                          <a:spLocks noChangeArrowheads="1"/>
                        </wps:cNvSpPr>
                        <wps:spPr bwMode="auto">
                          <a:xfrm>
                            <a:off x="960279" y="342900"/>
                            <a:ext cx="1142841" cy="457200"/>
                          </a:xfrm>
                          <a:prstGeom prst="rect">
                            <a:avLst/>
                          </a:prstGeom>
                          <a:solidFill>
                            <a:srgbClr val="FFFFFF"/>
                          </a:solidFill>
                          <a:ln w="9525">
                            <a:solidFill>
                              <a:srgbClr val="000000"/>
                            </a:solidFill>
                            <a:miter lim="800000"/>
                            <a:headEnd/>
                            <a:tailEnd/>
                          </a:ln>
                        </wps:spPr>
                        <wps:txbx>
                          <w:txbxContent>
                            <w:p w:rsidR="00507C32" w:rsidRPr="00876553" w:rsidRDefault="00507C32" w:rsidP="005B50FD">
                              <w:pPr>
                                <w:rPr>
                                  <w:sz w:val="20"/>
                                  <w:szCs w:val="20"/>
                                </w:rPr>
                              </w:pPr>
                              <w:r w:rsidRPr="002A56F9">
                                <w:rPr>
                                  <w:sz w:val="20"/>
                                  <w:szCs w:val="20"/>
                                </w:rPr>
                                <w:t xml:space="preserve">XL 2.1 to </w:t>
                              </w:r>
                              <w:r w:rsidRPr="00876553">
                                <w:rPr>
                                  <w:sz w:val="20"/>
                                  <w:szCs w:val="20"/>
                                </w:rPr>
                                <w:t>Retrocessionary 2</w:t>
                              </w:r>
                            </w:p>
                          </w:txbxContent>
                        </wps:txbx>
                        <wps:bodyPr rot="0" vert="horz" wrap="square" lIns="91440" tIns="45720" rIns="91440" bIns="45720" anchor="t" anchorCtr="0" upright="1">
                          <a:noAutofit/>
                        </wps:bodyPr>
                      </wps:wsp>
                      <wps:wsp>
                        <wps:cNvPr id="12" name="Line 15"/>
                        <wps:cNvCnPr/>
                        <wps:spPr bwMode="auto">
                          <a:xfrm>
                            <a:off x="685705" y="457200"/>
                            <a:ext cx="730" cy="3657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4046315" y="2971800"/>
                            <a:ext cx="800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1074198" y="1943100"/>
                            <a:ext cx="91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428657" y="4229100"/>
                            <a:ext cx="571786" cy="228600"/>
                          </a:xfrm>
                          <a:prstGeom prst="rect">
                            <a:avLst/>
                          </a:prstGeom>
                          <a:solidFill>
                            <a:srgbClr val="FFFFFF"/>
                          </a:solidFill>
                          <a:ln w="9525">
                            <a:solidFill>
                              <a:srgbClr val="000000"/>
                            </a:solidFill>
                            <a:miter lim="800000"/>
                            <a:headEnd/>
                            <a:tailEnd/>
                          </a:ln>
                        </wps:spPr>
                        <wps:txbx>
                          <w:txbxContent>
                            <w:p w:rsidR="00507C32" w:rsidRDefault="00507C32" w:rsidP="005B50FD">
                              <w:pPr>
                                <w:rPr>
                                  <w:sz w:val="20"/>
                                  <w:szCs w:val="20"/>
                                </w:rPr>
                              </w:pPr>
                              <w:r w:rsidRPr="009F11F5">
                                <w:rPr>
                                  <w:sz w:val="20"/>
                                  <w:szCs w:val="20"/>
                                </w:rPr>
                                <w:t>High</w:t>
                              </w:r>
                            </w:p>
                            <w:p w:rsidR="00507C32" w:rsidRDefault="00507C32" w:rsidP="005B50FD">
                              <w:pPr>
                                <w:rPr>
                                  <w:sz w:val="20"/>
                                  <w:szCs w:val="20"/>
                                </w:rPr>
                              </w:pPr>
                            </w:p>
                            <w:p w:rsidR="00507C32" w:rsidRPr="009F11F5" w:rsidRDefault="00507C32" w:rsidP="005B50FD">
                              <w:pPr>
                                <w:rPr>
                                  <w:sz w:val="20"/>
                                  <w:szCs w:val="20"/>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428657" y="114300"/>
                            <a:ext cx="457137" cy="342900"/>
                          </a:xfrm>
                          <a:prstGeom prst="rect">
                            <a:avLst/>
                          </a:prstGeom>
                          <a:solidFill>
                            <a:srgbClr val="FFFFFF"/>
                          </a:solidFill>
                          <a:ln w="9525">
                            <a:solidFill>
                              <a:srgbClr val="000000"/>
                            </a:solidFill>
                            <a:miter lim="800000"/>
                            <a:headEnd/>
                            <a:tailEnd/>
                          </a:ln>
                        </wps:spPr>
                        <wps:txbx>
                          <w:txbxContent>
                            <w:p w:rsidR="00507C32" w:rsidRDefault="00507C32" w:rsidP="005B50FD">
                              <w:r w:rsidRPr="009F11F5">
                                <w:rPr>
                                  <w:sz w:val="20"/>
                                  <w:szCs w:val="20"/>
                                </w:rPr>
                                <w:t>Low</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46006" y="642223"/>
                            <a:ext cx="539655" cy="3314700"/>
                          </a:xfrm>
                          <a:prstGeom prst="rect">
                            <a:avLst/>
                          </a:prstGeom>
                          <a:solidFill>
                            <a:srgbClr val="FFFFFF"/>
                          </a:solidFill>
                          <a:ln w="9525">
                            <a:solidFill>
                              <a:srgbClr val="000000"/>
                            </a:solidFill>
                            <a:miter lim="800000"/>
                            <a:headEnd/>
                            <a:tailEnd/>
                          </a:ln>
                        </wps:spPr>
                        <wps:txbx>
                          <w:txbxContent>
                            <w:p w:rsidR="00507C32" w:rsidRPr="009F11F5" w:rsidRDefault="00507C32" w:rsidP="005B50FD">
                              <w:pPr>
                                <w:rPr>
                                  <w:sz w:val="20"/>
                                  <w:szCs w:val="20"/>
                                </w:rPr>
                              </w:pPr>
                              <w:r w:rsidRPr="009F11F5">
                                <w:rPr>
                                  <w:sz w:val="20"/>
                                  <w:szCs w:val="20"/>
                                </w:rPr>
                                <w:t>P</w:t>
                              </w:r>
                              <w:r>
                                <w:rPr>
                                  <w:sz w:val="20"/>
                                  <w:szCs w:val="20"/>
                                </w:rPr>
                                <w:t>re-</w:t>
                              </w:r>
                            </w:p>
                            <w:p w:rsidR="00507C32" w:rsidRDefault="00507C32" w:rsidP="005B50FD">
                              <w:pPr>
                                <w:rPr>
                                  <w:sz w:val="20"/>
                                  <w:szCs w:val="20"/>
                                </w:rPr>
                              </w:pPr>
                              <w:r w:rsidRPr="009F11F5">
                                <w:rPr>
                                  <w:sz w:val="20"/>
                                  <w:szCs w:val="20"/>
                                </w:rPr>
                                <w:t>mi</w:t>
                              </w:r>
                              <w:r>
                                <w:rPr>
                                  <w:sz w:val="20"/>
                                  <w:szCs w:val="20"/>
                                </w:rPr>
                                <w:t>u</w:t>
                              </w:r>
                              <w:r w:rsidRPr="009F11F5">
                                <w:rPr>
                                  <w:sz w:val="20"/>
                                  <w:szCs w:val="20"/>
                                </w:rPr>
                                <w:t>ms</w:t>
                              </w:r>
                            </w:p>
                            <w:p w:rsidR="00507C32" w:rsidRDefault="00507C32" w:rsidP="005B50FD">
                              <w:pPr>
                                <w:rPr>
                                  <w:sz w:val="20"/>
                                  <w:szCs w:val="20"/>
                                </w:rPr>
                              </w:pPr>
                            </w:p>
                            <w:p w:rsidR="00507C32" w:rsidRPr="009F11F5" w:rsidRDefault="00507C32" w:rsidP="005B50FD">
                              <w:pPr>
                                <w:rPr>
                                  <w:sz w:val="20"/>
                                  <w:szCs w:val="20"/>
                                </w:rPr>
                              </w:pPr>
                              <w:r>
                                <w:rPr>
                                  <w:sz w:val="20"/>
                                  <w:szCs w:val="20"/>
                                </w:rPr>
                                <w:t>and</w:t>
                              </w:r>
                            </w:p>
                            <w:p w:rsidR="00507C32" w:rsidRDefault="00507C32" w:rsidP="005B50FD"/>
                            <w:p w:rsidR="00507C32" w:rsidRPr="009F11F5" w:rsidRDefault="00507C32" w:rsidP="005B50FD">
                              <w:pPr>
                                <w:rPr>
                                  <w:sz w:val="20"/>
                                  <w:szCs w:val="20"/>
                                </w:rPr>
                              </w:pPr>
                              <w:r w:rsidRPr="009F11F5">
                                <w:rPr>
                                  <w:sz w:val="20"/>
                                  <w:szCs w:val="20"/>
                                </w:rPr>
                                <w:t>Proba</w:t>
                              </w:r>
                              <w:r>
                                <w:rPr>
                                  <w:sz w:val="20"/>
                                  <w:szCs w:val="20"/>
                                </w:rPr>
                                <w:t>-</w:t>
                              </w:r>
                              <w:r w:rsidRPr="009F11F5">
                                <w:rPr>
                                  <w:sz w:val="20"/>
                                  <w:szCs w:val="20"/>
                                </w:rPr>
                                <w:t>b</w:t>
                              </w:r>
                              <w:r>
                                <w:rPr>
                                  <w:sz w:val="20"/>
                                  <w:szCs w:val="20"/>
                                </w:rPr>
                                <w:t>i</w:t>
                              </w:r>
                              <w:r w:rsidRPr="009F11F5">
                                <w:rPr>
                                  <w:sz w:val="20"/>
                                  <w:szCs w:val="20"/>
                                </w:rPr>
                                <w:t>lity</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14pt;height:392.4pt;mso-position-horizontal-relative:char;mso-position-vertical-relative:line" coordsize="52578,4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NlVAYAAGMxAAAOAAAAZHJzL2Uyb0RvYy54bWzsW9tu4zYQfS/QfxD0nrWou4x1Fls7KQps&#10;26C7/QBakm21kqhSSuy06L/38KKLnWQ36cZB68gPtmTR1Ig8Mzxzhn77blfkxk3K64yVM5O8sUwj&#10;LWOWZOV6Zv766fIsNI26oWVCc1amM/M2rc13599+83ZbTVObbViepNxAJ2U93VYzc9M01XQyqeNN&#10;WtD6DavSEhdXjBe0wSlfTxJOt+i9yCe2ZfmTLeNJxVmc1jW+XaiL5rnsf7VK4+bn1apOGyOfmbCt&#10;ke9cvi/F++T8LZ2uOa02WazNoP/CioJmJW7adbWgDTWueXanqyKLOavZqnkTs2LCVqssTuUz4GmI&#10;dfA0c1re0Fo+TIzRaQ3E0TP2u1wLu0t2meU5RmOC3qfiO/G5xfyk4nJe7jdS38i2us22wgTWVTeV&#10;9deZ+HFDq1Q+eT2Nf7q54kaWAF+mUdICMPoFE0vLdZ4arphCcXO0+lhdcWFnXX1g8e+1UbL5Bq3S&#10;95yz7SalCYwioj0MH/xAnNT4qbHc/sgS9E6vGyZnc7fihegQ82TsZqbtur7jANG3OPbtMLI0gNJd&#10;Y8RoEBHXDhzTiNGA+JYFhMrb0WnbU8Xr5vuUFYY4mJkczyHvRG8+1I2wjE7bJvJJWJ4lYmbkCV8v&#10;5zk3bijAfClfuvd62CwvjS1M8WxP9rx3rR52YcnXfV0UWQOvzLNiZoZdIzoVQ3hRJjCTThua5eoY&#10;Jgt4yDEVw6imo9ktd3pmliy5xehyprwP0QIHG8b/NI0tPG9m1n9cU56aRv5DiRnCILrCVeWJ6wU2&#10;TvjwynJ4hZYxupqZjWmow3mj3Pu64tl6gzsROQwle49ZXWVykMWMK6u03UCuMvvoELZbCAtzJMoN&#10;T0zBHiKfGcJq6EkU2V4UBHI4NKIdN3A9BwMsEB0FBLMtjKHTFtEYf+IECtGOa2vEY8ofArQYc+lv&#10;8jYS1qK/daI9lya/wYtXRY4wCyAbnsCXuuewDYapb+PYviX9HPfVPZ6Mn4zOMYjvCJ2H8d0/tnMI&#10;dGpvcC3Ed+IpbwhcR4fv3hvgHo7nKm/AMXnd4V0vyWOUv0tUgBEF5D7KB8cGso7yPlArQuoergPX&#10;9zVvAUWJfOlVPa494joeVgHBWxzgnoTC2JeO8qEdtfcdo/wJUyAE2MMoL+f9mBRo4A1O5BAfHiA4&#10;D7iN4OmKf7SchwhvCMBAhDuA/4CifMEdTprFyzBvt9Fr5CsDvgIQHYb5qB2oY+WjKszbQWRFoT2M&#10;8iQElxfJkuDyLpiKIyetj/Iyl9JRXvP6z0b5PF09O5W3Pc+TQzRS+dPOc5EzKtf4kJWpQWQE1QF+&#10;Xl5xTRqfLLuoHPQgYEfEDomWXQLSZooPZKg57OlzU+UAQ8mlU8KErPHVSgpn11ow+ax4Ip0UCpBY&#10;psQyJKXDv+DiF+FF6J65tn9x5lqLxdn7y7l75l+SwFs4i/l8Qf4Wz0Lc6SZLkrQUUlErYxL3cRKc&#10;FlSVANkJmd0wTPZ7l7QQJraf0ugD7UetEWJoxYy/nLYChjvEnJT6ngFz9wojQ6nvC/RgRNyB3n06&#10;iItaxPWCNOmo0rEYwIDLEitwCbImyWUR+jRV7df8IUz90NP63mcyu9Onsk7L0EYqO6CyWKHvcFms&#10;qXqdfgkoO5YdtGmZZYfBYVqmhYlHZ2XX1XPr0C7YqxySkbyeNnkl9xQaFa98IY0i8uEMWFykHtdW&#10;XfqoDoXCDl0YKRQKndYpJvsA6T3tOqNUKLpC8BjWh2G9qzeqPGxYa3xqHgb+EFiqOtJjrgdlIOqI&#10;UkH2vUCLag8Tjf8QKTaa2wpV/4ZncksBqtIzs0gT1KNT7GkRR8q31CYI5D5jovboLSwP7OPoCn0K&#10;lcMi31NRuVe0u6+EPSzajZma3GmFlP61aQNYvvfEgWE57qmQ28u6ItfRdeA+FA6zrhFyrxZyXaHr&#10;k9D0vmM7QxVWByTSaHb4vt2kdKyNa2CLWJMlnXRtO7qDVxS5ghDFDLF622g7FrzMjiiNdHJIJ7uK&#10;Vw/pw4rXi0Ma2ZBzKBbo+pbio4/Zt3b6uldHskZEDxHdFao6RKOGui97vRCiEXbVrgQfQdqWQlNP&#10;KTwn8j0sKDLBcoir5bGHE6xXkPJ3HO7/gmjUw+RGflk80/86EH8VGJ7Lqln/34jzfwAAAP//AwBQ&#10;SwMEFAAGAAgAAAAhAN+xewXaAAAABQEAAA8AAABkcnMvZG93bnJldi54bWxMj8FOwzAQRO9I/IO1&#10;SNyo0xQFK8SpEBIcCxQkrm68xBHxOthuG/h6Fi5wGWk0q5m3zXr2ozhgTEMgDctFAQKpC3agXsPL&#10;892FApGyIWvGQKjhExOs29OTxtQ2HOkJD9vcCy6hVBsNLuepljJ1Dr1JizAhcfYWojeZbeyljebI&#10;5X6UZVFU0puBeMGZCW8ddu/bvdcQHx6nr40r71+nfrWZl9WHXOVK6/Oz+eYaRMY5/x3DDz6jQ8tM&#10;u7Anm8SogR/Jv8qZKhXbnYYrdalAto38T99+AwAA//8DAFBLAQItABQABgAIAAAAIQC2gziS/gAA&#10;AOEBAAATAAAAAAAAAAAAAAAAAAAAAABbQ29udGVudF9UeXBlc10ueG1sUEsBAi0AFAAGAAgAAAAh&#10;ADj9If/WAAAAlAEAAAsAAAAAAAAAAAAAAAAALwEAAF9yZWxzLy5yZWxzUEsBAi0AFAAGAAgAAAAh&#10;ANMyY2VUBgAAYzEAAA4AAAAAAAAAAAAAAAAALgIAAGRycy9lMm9Eb2MueG1sUEsBAi0AFAAGAAgA&#10;AAAhAN+xewXaAAAABQEAAA8AAAAAAAAAAAAAAAAArggAAGRycy9kb3ducmV2LnhtbFBLBQYAAAAA&#10;BAAEAPMAAAC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49834;visibility:visible;mso-wrap-style:square">
                  <v:fill o:detectmouseclick="t"/>
                  <v:path o:connecttype="none"/>
                </v:shape>
                <v:rect id="Rectangle 4" o:spid="_x0000_s1028" style="position:absolute;left:24463;top:26289;width:9143;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07C32" w:rsidRDefault="00507C32" w:rsidP="005B50FD">
                        <w:r>
                          <w:t>XL2</w:t>
                        </w:r>
                      </w:p>
                      <w:p w:rsidR="00507C32" w:rsidRDefault="00507C32" w:rsidP="005B50FD"/>
                      <w:p w:rsidR="00507C32" w:rsidRDefault="00507C32" w:rsidP="005B50FD"/>
                      <w:p w:rsidR="00507C32" w:rsidRDefault="00507C32" w:rsidP="005B50FD">
                        <w:r>
                          <w:t>XL1</w:t>
                        </w:r>
                      </w:p>
                      <w:p w:rsidR="00507C32" w:rsidRDefault="00507C32" w:rsidP="005B50FD"/>
                      <w:p w:rsidR="00507C32" w:rsidRPr="00360848" w:rsidRDefault="00507C32" w:rsidP="005B50FD">
                        <w:pPr>
                          <w:rPr>
                            <w:sz w:val="20"/>
                            <w:szCs w:val="20"/>
                          </w:rPr>
                        </w:pPr>
                        <w:r w:rsidRPr="00360848">
                          <w:rPr>
                            <w:sz w:val="20"/>
                            <w:szCs w:val="20"/>
                          </w:rPr>
                          <w:t>Insurance retained by direct insurer</w:t>
                        </w:r>
                      </w:p>
                      <w:p w:rsidR="00507C32" w:rsidRDefault="00507C32" w:rsidP="005B50FD"/>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style="position:absolute;left:34745;top:29718;width:4571;height:3429;rotation:-18284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f8MA&#10;AADaAAAADwAAAGRycy9kb3ducmV2LnhtbESPQWsCMRSE7wX/Q3hCbzWrpSKrUUQttOChroLX5+a5&#10;Wdy8LEm6bv+9KRR6HGbmG2ax6m0jOvKhdqxgPMpAEJdO11wpOB3fX2YgQkTW2DgmBT8UYLUcPC0w&#10;1+7OB+qKWIkE4ZCjAhNjm0sZSkMWw8i1xMm7Om8xJukrqT3eE9w2cpJlU2mx5rRgsKWNofJWfFsF&#10;2H+Z6fWy3/ptu6s7XZzfPjevSj0P+/UcRKQ+/of/2h9awQR+r6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zf8MAAADaAAAADwAAAAAAAAAAAAAAAACYAgAAZHJzL2Rv&#10;d25yZXYueG1sUEsFBgAAAAAEAAQA9QAAAIgDAAAAAA==&#10;" adj="16317"/>
                <v:rect id="Rectangle 6" o:spid="_x0000_s1030" style="position:absolute;left:40463;top:27432;width:800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07C32" w:rsidRDefault="00507C32" w:rsidP="005B50FD">
                        <w:pPr>
                          <w:rPr>
                            <w:sz w:val="20"/>
                            <w:szCs w:val="20"/>
                          </w:rPr>
                        </w:pPr>
                        <w:r>
                          <w:rPr>
                            <w:sz w:val="20"/>
                            <w:szCs w:val="20"/>
                          </w:rPr>
                          <w:t>XL 1.1</w:t>
                        </w:r>
                      </w:p>
                      <w:p w:rsidR="00507C32" w:rsidRDefault="00507C32" w:rsidP="005B50FD">
                        <w:pPr>
                          <w:rPr>
                            <w:sz w:val="20"/>
                            <w:szCs w:val="20"/>
                          </w:rPr>
                        </w:pPr>
                      </w:p>
                      <w:p w:rsidR="00507C32" w:rsidRDefault="00507C32" w:rsidP="005B50FD">
                        <w:pPr>
                          <w:rPr>
                            <w:sz w:val="20"/>
                            <w:szCs w:val="20"/>
                          </w:rPr>
                        </w:pPr>
                        <w:r w:rsidRPr="0054534F">
                          <w:rPr>
                            <w:sz w:val="20"/>
                            <w:szCs w:val="20"/>
                          </w:rPr>
                          <w:t>XL 1</w:t>
                        </w:r>
                      </w:p>
                      <w:p w:rsidR="00507C32" w:rsidRPr="0054534F" w:rsidRDefault="00507C32" w:rsidP="005B50FD">
                        <w:pPr>
                          <w:rPr>
                            <w:sz w:val="20"/>
                            <w:szCs w:val="20"/>
                          </w:rPr>
                        </w:pPr>
                        <w:r>
                          <w:rPr>
                            <w:sz w:val="20"/>
                            <w:szCs w:val="20"/>
                          </w:rPr>
                          <w:t>to</w:t>
                        </w:r>
                      </w:p>
                      <w:p w:rsidR="00507C32" w:rsidRPr="0054534F" w:rsidRDefault="00507C32" w:rsidP="005B50FD">
                        <w:pPr>
                          <w:rPr>
                            <w:sz w:val="20"/>
                            <w:szCs w:val="20"/>
                          </w:rPr>
                        </w:pPr>
                        <w:r>
                          <w:rPr>
                            <w:sz w:val="20"/>
                            <w:szCs w:val="20"/>
                          </w:rPr>
                          <w:t>R</w:t>
                        </w:r>
                        <w:r w:rsidRPr="0054534F">
                          <w:rPr>
                            <w:sz w:val="20"/>
                            <w:szCs w:val="20"/>
                          </w:rPr>
                          <w:t>einsurer 1</w:t>
                        </w:r>
                      </w:p>
                    </w:txbxContent>
                  </v:textbox>
                </v:rect>
                <v:shape id="AutoShape 7" o:spid="_x0000_s1031" type="#_x0000_t13" style="position:absolute;left:40746;top:21430;width:5143;height:34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tcQA&#10;AADaAAAADwAAAGRycy9kb3ducmV2LnhtbESPT2sCMRTE74LfITyhN81aSpWtUYpUWig9+I9eH5u3&#10;m9DNy7qJ67afvhEEj8PM/IZZrHpXi47aYD0rmE4yEMSF15YrBYf9ZjwHESKyxtozKfilAKvlcLDA&#10;XPsLb6nbxUokCIccFZgYm1zKUBhyGCa+IU5e6VuHMcm2krrFS4K7Wj5m2bN0aDktGGxobaj42Z2d&#10;gvLUv312pZkd30Njq799/F7bL6UeRv3rC4hIfbyHb+0PreAJrlfS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zCrXEAAAA2gAAAA8AAAAAAAAAAAAAAAAAmAIAAGRycy9k&#10;b3ducmV2LnhtbFBLBQYAAAAABAAEAPUAAACJAwAAAAA=&#10;" adj="16080"/>
                <v:rect id="Rectangle 8" o:spid="_x0000_s1032" style="position:absolute;left:39316;top:13716;width:114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07C32" w:rsidRPr="0054534F" w:rsidRDefault="00507C32" w:rsidP="005B50FD">
                        <w:pPr>
                          <w:rPr>
                            <w:sz w:val="20"/>
                            <w:szCs w:val="20"/>
                          </w:rPr>
                        </w:pPr>
                        <w:r>
                          <w:rPr>
                            <w:sz w:val="20"/>
                            <w:szCs w:val="20"/>
                          </w:rPr>
                          <w:t xml:space="preserve">XL 1.1 to </w:t>
                        </w:r>
                        <w:r w:rsidRPr="0054534F">
                          <w:rPr>
                            <w:sz w:val="20"/>
                            <w:szCs w:val="20"/>
                          </w:rPr>
                          <w:t>Retrocession</w:t>
                        </w:r>
                        <w:r>
                          <w:rPr>
                            <w:sz w:val="20"/>
                            <w:szCs w:val="20"/>
                          </w:rPr>
                          <w:t>ary</w:t>
                        </w:r>
                        <w:r w:rsidRPr="0054534F">
                          <w:rPr>
                            <w:sz w:val="20"/>
                            <w:szCs w:val="20"/>
                          </w:rPr>
                          <w:t xml:space="preserve"> 1</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 o:spid="_x0000_s1033" type="#_x0000_t66" style="position:absolute;left:18745;top:24003;width:4572;height:4571;rotation:30484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TkcMA&#10;AADaAAAADwAAAGRycy9kb3ducmV2LnhtbESPQWsCMRSE74L/ITyhN83aFi1bo0jBYr3V9eDxdfO6&#10;Wd28rEnqbv99IxQ8DjPzDbNY9bYRV/KhdqxgOslAEJdO11wpOBSb8QuIEJE1No5JwS8FWC2HgwXm&#10;2nX8Sdd9rESCcMhRgYmxzaUMpSGLYeJa4uR9O28xJukrqT12CW4b+ZhlM2mx5rRgsKU3Q+V5/2MV&#10;7Ipj9zz3mZFf7UV/8HvRPG1PSj2M+vUriEh9vIf/21utYAa3K+k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UTkcMAAADaAAAADwAAAAAAAAAAAAAAAACYAgAAZHJzL2Rv&#10;d25yZXYueG1sUEsFBgAAAAAEAAQA9QAAAIgDAAAAAA==&#10;" adj="5520"/>
                <v:line id="Line 10" o:spid="_x0000_s1034" style="position:absolute;visibility:visible;mso-wrap-style:square" from="24463,34290" to="33591,3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mso-wrap-style:square" from="24463,29718" to="3360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rect id="Rectangle 12" o:spid="_x0000_s1036" style="position:absolute;left:10741;top:17145;width:914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07C32" w:rsidRDefault="00507C32" w:rsidP="005B50FD">
                        <w:pPr>
                          <w:rPr>
                            <w:sz w:val="20"/>
                            <w:szCs w:val="20"/>
                          </w:rPr>
                        </w:pPr>
                        <w:r>
                          <w:rPr>
                            <w:sz w:val="20"/>
                            <w:szCs w:val="20"/>
                          </w:rPr>
                          <w:t>XL 2.1</w:t>
                        </w:r>
                      </w:p>
                      <w:p w:rsidR="00507C32" w:rsidRDefault="00507C32" w:rsidP="005B50FD">
                        <w:pPr>
                          <w:rPr>
                            <w:sz w:val="20"/>
                            <w:szCs w:val="20"/>
                          </w:rPr>
                        </w:pPr>
                      </w:p>
                      <w:p w:rsidR="00507C32" w:rsidRPr="00360848" w:rsidRDefault="00507C32" w:rsidP="005B50FD">
                        <w:pPr>
                          <w:rPr>
                            <w:sz w:val="20"/>
                            <w:szCs w:val="20"/>
                          </w:rPr>
                        </w:pPr>
                        <w:r w:rsidRPr="00360848">
                          <w:rPr>
                            <w:sz w:val="20"/>
                            <w:szCs w:val="20"/>
                          </w:rPr>
                          <w:t>XL 2 to Reinsurer 2</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37" type="#_x0000_t68" style="position:absolute;left:13027;top:10287;width:3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dVsUA&#10;AADbAAAADwAAAGRycy9kb3ducmV2LnhtbESPzW7CQAyE75V4h5WReqnKhlIqFFgQf0VcC63E0cqa&#10;JCLrDdkFQp8eHyr1ZmvGM58ns9ZV6kpNKD0b6PcSUMSZtyXnBr73n68jUCEiW6w8k4E7BZhNO08T&#10;TK2/8RdddzFXEsIhRQNFjHWqdcgKchh6viYW7egbh1HWJte2wZuEu0q/JcmHdliyNBRY07Kg7LS7&#10;OAPDRVyHzeW+6r/8loOf9+O2HpwPxjx32/kYVKQ2/pv/rrdW8IVefpEB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91WxQAAANsAAAAPAAAAAAAAAAAAAAAAAJgCAABkcnMv&#10;ZG93bnJldi54bWxQSwUGAAAAAAQABAD1AAAAigMAAAAA&#10;" adj="5520"/>
                <v:rect id="Rectangle 14" o:spid="_x0000_s1038" style="position:absolute;left:9602;top:3429;width:11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07C32" w:rsidRPr="00876553" w:rsidRDefault="00507C32" w:rsidP="005B50FD">
                        <w:pPr>
                          <w:rPr>
                            <w:sz w:val="20"/>
                            <w:szCs w:val="20"/>
                          </w:rPr>
                        </w:pPr>
                        <w:r w:rsidRPr="002A56F9">
                          <w:rPr>
                            <w:sz w:val="20"/>
                            <w:szCs w:val="20"/>
                          </w:rPr>
                          <w:t xml:space="preserve">XL 2.1 to </w:t>
                        </w:r>
                        <w:r w:rsidRPr="00876553">
                          <w:rPr>
                            <w:sz w:val="20"/>
                            <w:szCs w:val="20"/>
                          </w:rPr>
                          <w:t>Retrocessionary 2</w:t>
                        </w:r>
                      </w:p>
                    </w:txbxContent>
                  </v:textbox>
                </v:rect>
                <v:line id="Line 15" o:spid="_x0000_s1039" style="position:absolute;visibility:visible;mso-wrap-style:square" from="6857,4572" to="686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mso-wrap-style:square" from="40463,29718" to="4846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10741,19431" to="1988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8" o:spid="_x0000_s1042" type="#_x0000_t202" style="position:absolute;left:4286;top:42291;width:5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507C32" w:rsidRDefault="00507C32" w:rsidP="005B50FD">
                        <w:pPr>
                          <w:rPr>
                            <w:sz w:val="20"/>
                            <w:szCs w:val="20"/>
                          </w:rPr>
                        </w:pPr>
                        <w:r w:rsidRPr="009F11F5">
                          <w:rPr>
                            <w:sz w:val="20"/>
                            <w:szCs w:val="20"/>
                          </w:rPr>
                          <w:t>High</w:t>
                        </w:r>
                      </w:p>
                      <w:p w:rsidR="00507C32" w:rsidRDefault="00507C32" w:rsidP="005B50FD">
                        <w:pPr>
                          <w:rPr>
                            <w:sz w:val="20"/>
                            <w:szCs w:val="20"/>
                          </w:rPr>
                        </w:pPr>
                      </w:p>
                      <w:p w:rsidR="00507C32" w:rsidRPr="009F11F5" w:rsidRDefault="00507C32" w:rsidP="005B50FD">
                        <w:pPr>
                          <w:rPr>
                            <w:sz w:val="20"/>
                            <w:szCs w:val="20"/>
                          </w:rPr>
                        </w:pPr>
                      </w:p>
                    </w:txbxContent>
                  </v:textbox>
                </v:shape>
                <v:shape id="Text Box 19" o:spid="_x0000_s1043" type="#_x0000_t202" style="position:absolute;left:4286;top:1143;width:45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07C32" w:rsidRDefault="00507C32" w:rsidP="005B50FD">
                        <w:r w:rsidRPr="009F11F5">
                          <w:rPr>
                            <w:sz w:val="20"/>
                            <w:szCs w:val="20"/>
                          </w:rPr>
                          <w:t>Low</w:t>
                        </w:r>
                      </w:p>
                    </w:txbxContent>
                  </v:textbox>
                </v:shape>
                <v:shape id="Text Box 20" o:spid="_x0000_s1044" type="#_x0000_t202" style="position:absolute;left:460;top:6422;width:5396;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07C32" w:rsidRPr="009F11F5" w:rsidRDefault="00507C32" w:rsidP="005B50FD">
                        <w:pPr>
                          <w:rPr>
                            <w:sz w:val="20"/>
                            <w:szCs w:val="20"/>
                          </w:rPr>
                        </w:pPr>
                        <w:r w:rsidRPr="009F11F5">
                          <w:rPr>
                            <w:sz w:val="20"/>
                            <w:szCs w:val="20"/>
                          </w:rPr>
                          <w:t>P</w:t>
                        </w:r>
                        <w:r>
                          <w:rPr>
                            <w:sz w:val="20"/>
                            <w:szCs w:val="20"/>
                          </w:rPr>
                          <w:t>re-</w:t>
                        </w:r>
                      </w:p>
                      <w:p w:rsidR="00507C32" w:rsidRDefault="00507C32" w:rsidP="005B50FD">
                        <w:pPr>
                          <w:rPr>
                            <w:sz w:val="20"/>
                            <w:szCs w:val="20"/>
                          </w:rPr>
                        </w:pPr>
                        <w:r w:rsidRPr="009F11F5">
                          <w:rPr>
                            <w:sz w:val="20"/>
                            <w:szCs w:val="20"/>
                          </w:rPr>
                          <w:t>mi</w:t>
                        </w:r>
                        <w:r>
                          <w:rPr>
                            <w:sz w:val="20"/>
                            <w:szCs w:val="20"/>
                          </w:rPr>
                          <w:t>u</w:t>
                        </w:r>
                        <w:r w:rsidRPr="009F11F5">
                          <w:rPr>
                            <w:sz w:val="20"/>
                            <w:szCs w:val="20"/>
                          </w:rPr>
                          <w:t>ms</w:t>
                        </w:r>
                      </w:p>
                      <w:p w:rsidR="00507C32" w:rsidRDefault="00507C32" w:rsidP="005B50FD">
                        <w:pPr>
                          <w:rPr>
                            <w:sz w:val="20"/>
                            <w:szCs w:val="20"/>
                          </w:rPr>
                        </w:pPr>
                      </w:p>
                      <w:p w:rsidR="00507C32" w:rsidRPr="009F11F5" w:rsidRDefault="00507C32" w:rsidP="005B50FD">
                        <w:pPr>
                          <w:rPr>
                            <w:sz w:val="20"/>
                            <w:szCs w:val="20"/>
                          </w:rPr>
                        </w:pPr>
                        <w:r>
                          <w:rPr>
                            <w:sz w:val="20"/>
                            <w:szCs w:val="20"/>
                          </w:rPr>
                          <w:t>and</w:t>
                        </w:r>
                      </w:p>
                      <w:p w:rsidR="00507C32" w:rsidRDefault="00507C32" w:rsidP="005B50FD"/>
                      <w:p w:rsidR="00507C32" w:rsidRPr="009F11F5" w:rsidRDefault="00507C32" w:rsidP="005B50FD">
                        <w:pPr>
                          <w:rPr>
                            <w:sz w:val="20"/>
                            <w:szCs w:val="20"/>
                          </w:rPr>
                        </w:pPr>
                        <w:r w:rsidRPr="009F11F5">
                          <w:rPr>
                            <w:sz w:val="20"/>
                            <w:szCs w:val="20"/>
                          </w:rPr>
                          <w:t>Proba</w:t>
                        </w:r>
                        <w:r>
                          <w:rPr>
                            <w:sz w:val="20"/>
                            <w:szCs w:val="20"/>
                          </w:rPr>
                          <w:t>-</w:t>
                        </w:r>
                        <w:r w:rsidRPr="009F11F5">
                          <w:rPr>
                            <w:sz w:val="20"/>
                            <w:szCs w:val="20"/>
                          </w:rPr>
                          <w:t>b</w:t>
                        </w:r>
                        <w:r>
                          <w:rPr>
                            <w:sz w:val="20"/>
                            <w:szCs w:val="20"/>
                          </w:rPr>
                          <w:t>i</w:t>
                        </w:r>
                        <w:r w:rsidRPr="009F11F5">
                          <w:rPr>
                            <w:sz w:val="20"/>
                            <w:szCs w:val="20"/>
                          </w:rPr>
                          <w:t>lity</w:t>
                        </w:r>
                      </w:p>
                    </w:txbxContent>
                  </v:textbox>
                </v:shape>
                <w10:anchorlock/>
              </v:group>
            </w:pict>
          </mc:Fallback>
        </mc:AlternateContent>
      </w:r>
      <w:r w:rsidR="001E4DED">
        <w:br w:type="column"/>
      </w:r>
      <w:r w:rsidR="001E4DED" w:rsidRPr="001E4DED">
        <w:rPr>
          <w:b/>
        </w:rPr>
        <w:lastRenderedPageBreak/>
        <w:t>Bibliography</w:t>
      </w:r>
    </w:p>
    <w:p w:rsidR="001E4DED" w:rsidRDefault="001E4DED" w:rsidP="00650DCA"/>
    <w:p w:rsidR="000D3125" w:rsidRDefault="000D3125" w:rsidP="006D771D">
      <w:r>
        <w:t xml:space="preserve">Erik Angner (2006) ‘Economists as experts: overconfidence in theory and practice’, </w:t>
      </w:r>
      <w:r w:rsidRPr="000D3125">
        <w:rPr>
          <w:i/>
        </w:rPr>
        <w:t>Journal of Economic Methodology</w:t>
      </w:r>
      <w:r>
        <w:t xml:space="preserve"> 13: 1-24. </w:t>
      </w:r>
    </w:p>
    <w:p w:rsidR="004429AA" w:rsidRDefault="004429AA" w:rsidP="006D771D">
      <w:r>
        <w:t>Masahiro Ashiya and Takero Doi (2001) ‘Herd behavior of Japanese economists’, Journal of Economic Behavior &amp; Organization 46: 343-6.</w:t>
      </w:r>
    </w:p>
    <w:p w:rsidR="006D771D" w:rsidRDefault="0064643E" w:rsidP="006D771D">
      <w:r>
        <w:t xml:space="preserve">Andrew </w:t>
      </w:r>
      <w:r w:rsidR="006D771D">
        <w:t>Bain</w:t>
      </w:r>
      <w:r>
        <w:t xml:space="preserve"> (n.d.)</w:t>
      </w:r>
      <w:r w:rsidR="006D771D">
        <w:t xml:space="preserve"> ‘Insurance Spirals and the Lloyd’s Market’</w:t>
      </w:r>
      <w:r>
        <w:t>,</w:t>
      </w:r>
      <w:r w:rsidR="006D771D">
        <w:t xml:space="preserve"> University of Glasgow, Department </w:t>
      </w:r>
      <w:r>
        <w:t xml:space="preserve">of Economics working paper. </w:t>
      </w:r>
    </w:p>
    <w:p w:rsidR="00AD64A9" w:rsidRDefault="00AD64A9" w:rsidP="00AD64A9">
      <w:pPr>
        <w:shd w:val="clear" w:color="auto" w:fill="FFFFFF"/>
        <w:rPr>
          <w:rStyle w:val="ssl01"/>
          <w:bCs/>
          <w:sz w:val="24"/>
          <w:szCs w:val="24"/>
        </w:rPr>
      </w:pPr>
      <w:r>
        <w:rPr>
          <w:rStyle w:val="ssl01"/>
          <w:bCs/>
          <w:sz w:val="24"/>
          <w:szCs w:val="24"/>
        </w:rPr>
        <w:t xml:space="preserve">Lawrence </w:t>
      </w:r>
      <w:r w:rsidRPr="00AD64A9">
        <w:rPr>
          <w:rStyle w:val="ssl01"/>
          <w:bCs/>
          <w:sz w:val="24"/>
          <w:szCs w:val="24"/>
        </w:rPr>
        <w:t xml:space="preserve">Berger, J. David Cummins and Sharon </w:t>
      </w:r>
      <w:r>
        <w:rPr>
          <w:rStyle w:val="ssl01"/>
          <w:bCs/>
          <w:sz w:val="24"/>
          <w:szCs w:val="24"/>
        </w:rPr>
        <w:t>Tennyson</w:t>
      </w:r>
      <w:r w:rsidRPr="00AD64A9">
        <w:rPr>
          <w:rStyle w:val="ssl01"/>
          <w:bCs/>
          <w:sz w:val="24"/>
          <w:szCs w:val="24"/>
        </w:rPr>
        <w:t xml:space="preserve"> (1992) </w:t>
      </w:r>
      <w:r w:rsidR="00FF642F">
        <w:rPr>
          <w:rStyle w:val="ssl01"/>
          <w:bCs/>
          <w:sz w:val="24"/>
          <w:szCs w:val="24"/>
        </w:rPr>
        <w:t>‘</w:t>
      </w:r>
      <w:r w:rsidRPr="00AD64A9">
        <w:rPr>
          <w:rStyle w:val="ssl01"/>
          <w:bCs/>
          <w:sz w:val="24"/>
          <w:szCs w:val="24"/>
        </w:rPr>
        <w:t xml:space="preserve">Reinsurance and the </w:t>
      </w:r>
      <w:r w:rsidR="00FF642F">
        <w:rPr>
          <w:rStyle w:val="ssl01"/>
          <w:bCs/>
          <w:sz w:val="24"/>
          <w:szCs w:val="24"/>
        </w:rPr>
        <w:t>L</w:t>
      </w:r>
      <w:r w:rsidRPr="00AD64A9">
        <w:rPr>
          <w:rStyle w:val="ssl01"/>
          <w:bCs/>
          <w:sz w:val="24"/>
          <w:szCs w:val="24"/>
        </w:rPr>
        <w:t xml:space="preserve">iability </w:t>
      </w:r>
      <w:r w:rsidR="00FF642F">
        <w:rPr>
          <w:rStyle w:val="ssl01"/>
          <w:bCs/>
          <w:sz w:val="24"/>
          <w:szCs w:val="24"/>
        </w:rPr>
        <w:t>I</w:t>
      </w:r>
      <w:r w:rsidRPr="00AD64A9">
        <w:rPr>
          <w:rStyle w:val="ssl01"/>
          <w:bCs/>
          <w:sz w:val="24"/>
          <w:szCs w:val="24"/>
        </w:rPr>
        <w:t xml:space="preserve">nsurance </w:t>
      </w:r>
      <w:r w:rsidR="00FF642F">
        <w:rPr>
          <w:rStyle w:val="ssl01"/>
          <w:bCs/>
          <w:sz w:val="24"/>
          <w:szCs w:val="24"/>
        </w:rPr>
        <w:t>C</w:t>
      </w:r>
      <w:r w:rsidRPr="00AD64A9">
        <w:rPr>
          <w:rStyle w:val="ssl01"/>
          <w:bCs/>
          <w:sz w:val="24"/>
          <w:szCs w:val="24"/>
        </w:rPr>
        <w:t xml:space="preserve">risis’, </w:t>
      </w:r>
      <w:r w:rsidRPr="00AD64A9">
        <w:rPr>
          <w:rStyle w:val="ssl01"/>
          <w:bCs/>
          <w:i/>
          <w:iCs/>
          <w:sz w:val="24"/>
          <w:szCs w:val="24"/>
        </w:rPr>
        <w:t>Journal of Risk and Uncertainty</w:t>
      </w:r>
      <w:r w:rsidRPr="00AD64A9">
        <w:rPr>
          <w:rStyle w:val="ssl01"/>
          <w:bCs/>
          <w:sz w:val="24"/>
          <w:szCs w:val="24"/>
        </w:rPr>
        <w:t xml:space="preserve"> 5: 253-72.</w:t>
      </w:r>
    </w:p>
    <w:p w:rsidR="004429AA" w:rsidRPr="00AD64A9" w:rsidRDefault="004429AA" w:rsidP="00AD64A9">
      <w:pPr>
        <w:shd w:val="clear" w:color="auto" w:fill="FFFFFF"/>
        <w:rPr>
          <w:rStyle w:val="ssl01"/>
          <w:bCs/>
          <w:sz w:val="24"/>
          <w:szCs w:val="24"/>
        </w:rPr>
      </w:pPr>
      <w:r>
        <w:rPr>
          <w:rStyle w:val="ssl01"/>
          <w:bCs/>
          <w:sz w:val="24"/>
          <w:szCs w:val="24"/>
        </w:rPr>
        <w:t xml:space="preserve">Ronald Bewley and Denzil G. Fiebig (2002) ‘On the herding of interest rate forecasters’, </w:t>
      </w:r>
      <w:r w:rsidRPr="004429AA">
        <w:rPr>
          <w:rStyle w:val="ssl01"/>
          <w:bCs/>
          <w:i/>
          <w:sz w:val="24"/>
          <w:szCs w:val="24"/>
        </w:rPr>
        <w:t>Empirical Economics</w:t>
      </w:r>
      <w:r>
        <w:rPr>
          <w:rStyle w:val="ssl01"/>
          <w:bCs/>
          <w:sz w:val="24"/>
          <w:szCs w:val="24"/>
        </w:rPr>
        <w:t xml:space="preserve"> 27: 403-25. </w:t>
      </w:r>
    </w:p>
    <w:p w:rsidR="00FA7953" w:rsidRDefault="00FA7953" w:rsidP="004A2D9B">
      <w:r>
        <w:t xml:space="preserve">Anthony Brown (1973) </w:t>
      </w:r>
      <w:r w:rsidRPr="00FA7953">
        <w:rPr>
          <w:i/>
        </w:rPr>
        <w:t>Hazard Unlimited: The Story of Lloyd’s of London</w:t>
      </w:r>
      <w:r w:rsidR="00064760">
        <w:t xml:space="preserve">. </w:t>
      </w:r>
      <w:r>
        <w:t xml:space="preserve">London: Peter Davies. </w:t>
      </w:r>
    </w:p>
    <w:p w:rsidR="004A2D9B" w:rsidRDefault="004A2D9B" w:rsidP="00825937">
      <w:r>
        <w:t>Anthony Brown</w:t>
      </w:r>
      <w:r w:rsidR="00FA7953">
        <w:t xml:space="preserve"> (1980)</w:t>
      </w:r>
      <w:r>
        <w:t xml:space="preserve"> </w:t>
      </w:r>
      <w:r w:rsidRPr="005F48CE">
        <w:rPr>
          <w:bCs/>
          <w:i/>
          <w:iCs/>
        </w:rPr>
        <w:t>Cuthbert Heath, Maker of the Modern Lloyd’s of London</w:t>
      </w:r>
      <w:r w:rsidR="00064760">
        <w:t xml:space="preserve">. </w:t>
      </w:r>
      <w:r>
        <w:t>Newton Abbot: David and Charles.</w:t>
      </w:r>
    </w:p>
    <w:p w:rsidR="00265C72" w:rsidRDefault="00265C72" w:rsidP="00825937">
      <w:r>
        <w:t>Robert Woodthorpe Browne (2010) ‘Lloyd’s: The McDonald’s of the Insurance Industry’, unpublished paper presented at Gresham College, Barnard’s Inn Hall, London, 3 February 2010.</w:t>
      </w:r>
    </w:p>
    <w:p w:rsidR="00825937" w:rsidRDefault="00825937" w:rsidP="00825937">
      <w:pPr>
        <w:rPr>
          <w:color w:val="000000"/>
        </w:rPr>
      </w:pPr>
      <w:r w:rsidRPr="00E34A93">
        <w:rPr>
          <w:color w:val="000000"/>
        </w:rPr>
        <w:t xml:space="preserve">H.A.L. Cockerell and </w:t>
      </w:r>
      <w:r>
        <w:rPr>
          <w:color w:val="000000"/>
        </w:rPr>
        <w:t xml:space="preserve">Edwin </w:t>
      </w:r>
      <w:r w:rsidRPr="00E34A93">
        <w:rPr>
          <w:color w:val="000000"/>
        </w:rPr>
        <w:t>Green</w:t>
      </w:r>
      <w:r>
        <w:rPr>
          <w:color w:val="000000"/>
        </w:rPr>
        <w:t xml:space="preserve"> (1994)</w:t>
      </w:r>
      <w:r w:rsidRPr="00E34A93">
        <w:rPr>
          <w:color w:val="000000"/>
        </w:rPr>
        <w:t xml:space="preserve"> </w:t>
      </w:r>
      <w:r w:rsidRPr="00E34A93">
        <w:rPr>
          <w:i/>
          <w:color w:val="000000"/>
        </w:rPr>
        <w:t>The British Insurance Business, 1547–1970</w:t>
      </w:r>
      <w:r>
        <w:rPr>
          <w:i/>
          <w:color w:val="000000"/>
        </w:rPr>
        <w:t>: A Guide to its History and Records</w:t>
      </w:r>
      <w:r>
        <w:rPr>
          <w:color w:val="000000"/>
        </w:rPr>
        <w:t>. 2</w:t>
      </w:r>
      <w:r w:rsidRPr="00F77F1F">
        <w:rPr>
          <w:color w:val="000000"/>
          <w:vertAlign w:val="superscript"/>
        </w:rPr>
        <w:t>nd</w:t>
      </w:r>
      <w:r>
        <w:rPr>
          <w:color w:val="000000"/>
        </w:rPr>
        <w:t xml:space="preserve"> edition, Sheffield: Sheffield University Press.</w:t>
      </w:r>
    </w:p>
    <w:p w:rsidR="000D44F8" w:rsidRDefault="000D44F8" w:rsidP="00825937">
      <w:r w:rsidRPr="00E34A93">
        <w:rPr>
          <w:color w:val="000000"/>
        </w:rPr>
        <w:t>H.A.L. Cockerell</w:t>
      </w:r>
      <w:r>
        <w:rPr>
          <w:color w:val="000000"/>
        </w:rPr>
        <w:t xml:space="preserve"> (1991) ‘Lloyd’s of London’ in Adele Hast ed. </w:t>
      </w:r>
      <w:r w:rsidRPr="00EC4951">
        <w:rPr>
          <w:i/>
          <w:color w:val="000000"/>
        </w:rPr>
        <w:t>International Directory of C</w:t>
      </w:r>
      <w:r w:rsidR="00EC4951">
        <w:rPr>
          <w:i/>
          <w:color w:val="000000"/>
        </w:rPr>
        <w:t>o</w:t>
      </w:r>
      <w:r w:rsidRPr="00EC4951">
        <w:rPr>
          <w:i/>
          <w:color w:val="000000"/>
        </w:rPr>
        <w:t>mpany Histories, vol. III</w:t>
      </w:r>
      <w:r>
        <w:rPr>
          <w:color w:val="000000"/>
        </w:rPr>
        <w:t xml:space="preserve">. Chicago and London: St James Press, pp. 278-81.  </w:t>
      </w:r>
    </w:p>
    <w:p w:rsidR="00952302" w:rsidRDefault="00952302" w:rsidP="00825937">
      <w:r>
        <w:t xml:space="preserve">Ian Hay Davison (1987) </w:t>
      </w:r>
      <w:r w:rsidRPr="008A1B06">
        <w:rPr>
          <w:i/>
        </w:rPr>
        <w:t>Lloyd’s: Change and Disclosure: a View of the Room</w:t>
      </w:r>
      <w:r>
        <w:t>. London: Weidenfeld and Nicholson.</w:t>
      </w:r>
    </w:p>
    <w:p w:rsidR="00B64D1C" w:rsidRDefault="00B64D1C" w:rsidP="00825937">
      <w:r>
        <w:t xml:space="preserve">Ian Dilks (1997) ‘London Market sees evolutionary changes beyond Lloyd’s renaissance’, </w:t>
      </w:r>
      <w:r w:rsidRPr="0010707E">
        <w:rPr>
          <w:i/>
        </w:rPr>
        <w:t>National Underwriter/Property &amp; Casualty Risk &amp; Benefits Management</w:t>
      </w:r>
      <w:r>
        <w:t xml:space="preserve"> vol. 101</w:t>
      </w:r>
      <w:r w:rsidR="0049503C">
        <w:t>,</w:t>
      </w:r>
      <w:r>
        <w:t xml:space="preserve"> </w:t>
      </w:r>
      <w:r w:rsidR="0049503C">
        <w:t>issue</w:t>
      </w:r>
      <w:r>
        <w:t xml:space="preserve"> 35, 9 January 1997.</w:t>
      </w:r>
    </w:p>
    <w:p w:rsidR="000C24CC" w:rsidRDefault="000C24CC" w:rsidP="000C24CC">
      <w:pPr>
        <w:pStyle w:val="EndnoteText"/>
        <w:rPr>
          <w:sz w:val="24"/>
          <w:szCs w:val="24"/>
        </w:rPr>
      </w:pPr>
      <w:r>
        <w:rPr>
          <w:sz w:val="24"/>
          <w:szCs w:val="24"/>
        </w:rPr>
        <w:t xml:space="preserve">Andrew Duguid (2014) </w:t>
      </w:r>
      <w:r w:rsidRPr="0081041D">
        <w:rPr>
          <w:i/>
          <w:iCs/>
          <w:sz w:val="24"/>
          <w:szCs w:val="24"/>
        </w:rPr>
        <w:t>On the Brink</w:t>
      </w:r>
      <w:r>
        <w:rPr>
          <w:i/>
          <w:iCs/>
          <w:sz w:val="24"/>
          <w:szCs w:val="24"/>
        </w:rPr>
        <w:t>: How a Crisis transformed Lloyd’s of London</w:t>
      </w:r>
      <w:r>
        <w:rPr>
          <w:sz w:val="24"/>
          <w:szCs w:val="24"/>
        </w:rPr>
        <w:t xml:space="preserve">. London: Palgrave Macmillan. </w:t>
      </w:r>
    </w:p>
    <w:p w:rsidR="005C5A63" w:rsidRDefault="005C5A63" w:rsidP="005C5A63">
      <w:pPr>
        <w:shd w:val="clear" w:color="auto" w:fill="FFFFFF"/>
        <w:rPr>
          <w:rStyle w:val="ssl01"/>
          <w:bCs/>
          <w:sz w:val="24"/>
          <w:szCs w:val="24"/>
        </w:rPr>
      </w:pPr>
      <w:r w:rsidRPr="005C5A63">
        <w:rPr>
          <w:rStyle w:val="ssl01"/>
          <w:bCs/>
          <w:sz w:val="24"/>
          <w:szCs w:val="24"/>
        </w:rPr>
        <w:t>Joseph A. Fields, Linda S.</w:t>
      </w:r>
      <w:r>
        <w:rPr>
          <w:rStyle w:val="ssl01"/>
          <w:bCs/>
          <w:sz w:val="24"/>
          <w:szCs w:val="24"/>
        </w:rPr>
        <w:t xml:space="preserve"> </w:t>
      </w:r>
      <w:r w:rsidRPr="005C5A63">
        <w:rPr>
          <w:rStyle w:val="ssl01"/>
          <w:bCs/>
          <w:sz w:val="24"/>
          <w:szCs w:val="24"/>
        </w:rPr>
        <w:t xml:space="preserve">Klein and Edward G. </w:t>
      </w:r>
      <w:r>
        <w:rPr>
          <w:rStyle w:val="ssl01"/>
          <w:bCs/>
          <w:sz w:val="24"/>
          <w:szCs w:val="24"/>
        </w:rPr>
        <w:t>Myskowski</w:t>
      </w:r>
      <w:r w:rsidRPr="005C5A63">
        <w:rPr>
          <w:rStyle w:val="ssl01"/>
          <w:bCs/>
          <w:sz w:val="24"/>
          <w:szCs w:val="24"/>
        </w:rPr>
        <w:t xml:space="preserve"> </w:t>
      </w:r>
      <w:r>
        <w:rPr>
          <w:rStyle w:val="ssl01"/>
          <w:bCs/>
          <w:sz w:val="24"/>
          <w:szCs w:val="24"/>
        </w:rPr>
        <w:t>(1998)</w:t>
      </w:r>
      <w:r w:rsidRPr="005C5A63">
        <w:rPr>
          <w:rStyle w:val="ssl01"/>
          <w:bCs/>
          <w:sz w:val="24"/>
          <w:szCs w:val="24"/>
        </w:rPr>
        <w:t xml:space="preserve"> </w:t>
      </w:r>
      <w:r w:rsidR="00FF642F">
        <w:rPr>
          <w:rStyle w:val="ssl01"/>
          <w:bCs/>
          <w:sz w:val="24"/>
          <w:szCs w:val="24"/>
        </w:rPr>
        <w:t>‘</w:t>
      </w:r>
      <w:r w:rsidRPr="005C5A63">
        <w:rPr>
          <w:rStyle w:val="ssl01"/>
          <w:bCs/>
          <w:sz w:val="24"/>
          <w:szCs w:val="24"/>
        </w:rPr>
        <w:t>Lloyd’s Financial Distress and Contagion with the US Property and Liability Insurance Industry</w:t>
      </w:r>
      <w:r w:rsidR="00FF642F">
        <w:rPr>
          <w:rStyle w:val="ssl01"/>
          <w:bCs/>
          <w:sz w:val="24"/>
          <w:szCs w:val="24"/>
        </w:rPr>
        <w:t>’</w:t>
      </w:r>
      <w:r w:rsidRPr="005C5A63">
        <w:rPr>
          <w:rStyle w:val="ssl01"/>
          <w:bCs/>
          <w:sz w:val="24"/>
          <w:szCs w:val="24"/>
        </w:rPr>
        <w:t xml:space="preserve">, </w:t>
      </w:r>
      <w:r w:rsidRPr="005C5A63">
        <w:rPr>
          <w:rStyle w:val="ssl01"/>
          <w:bCs/>
          <w:i/>
          <w:iCs/>
          <w:sz w:val="24"/>
          <w:szCs w:val="24"/>
        </w:rPr>
        <w:t>Journal of Risk and Uncertainty</w:t>
      </w:r>
      <w:r w:rsidRPr="005C5A63">
        <w:rPr>
          <w:rStyle w:val="ssl01"/>
          <w:bCs/>
          <w:sz w:val="24"/>
          <w:szCs w:val="24"/>
        </w:rPr>
        <w:t xml:space="preserve"> 16: 173-85.</w:t>
      </w:r>
    </w:p>
    <w:p w:rsidR="00DF48CF" w:rsidRDefault="00DF48CF" w:rsidP="005C5A63">
      <w:pPr>
        <w:shd w:val="clear" w:color="auto" w:fill="FFFFFF"/>
        <w:rPr>
          <w:rStyle w:val="ssl01"/>
          <w:bCs/>
          <w:sz w:val="24"/>
          <w:szCs w:val="24"/>
        </w:rPr>
      </w:pPr>
      <w:r>
        <w:rPr>
          <w:rStyle w:val="ssl01"/>
          <w:bCs/>
          <w:sz w:val="24"/>
          <w:szCs w:val="24"/>
        </w:rPr>
        <w:t xml:space="preserve">Malcolm Gladwell (2001), </w:t>
      </w:r>
      <w:r w:rsidRPr="00DF48CF">
        <w:rPr>
          <w:rStyle w:val="ssl01"/>
          <w:bCs/>
          <w:i/>
          <w:sz w:val="24"/>
          <w:szCs w:val="24"/>
        </w:rPr>
        <w:t>The Tipping Point: How Little Things Can Make a Big Difference</w:t>
      </w:r>
      <w:r>
        <w:rPr>
          <w:rStyle w:val="ssl01"/>
          <w:bCs/>
          <w:sz w:val="24"/>
          <w:szCs w:val="24"/>
        </w:rPr>
        <w:t xml:space="preserve">. London: Abacus. </w:t>
      </w:r>
    </w:p>
    <w:p w:rsidR="0049503C" w:rsidRPr="005C5A63" w:rsidRDefault="0049503C" w:rsidP="005C5A63">
      <w:pPr>
        <w:shd w:val="clear" w:color="auto" w:fill="FFFFFF"/>
      </w:pPr>
      <w:r>
        <w:rPr>
          <w:rStyle w:val="ssl01"/>
          <w:bCs/>
          <w:sz w:val="24"/>
          <w:szCs w:val="24"/>
        </w:rPr>
        <w:t xml:space="preserve">Sarah Goddard (1997) ‘Lloyd’s profit, R&amp;R plan end market’s dark days’, </w:t>
      </w:r>
      <w:r w:rsidRPr="0049503C">
        <w:rPr>
          <w:rStyle w:val="ssl01"/>
          <w:bCs/>
          <w:i/>
          <w:sz w:val="24"/>
          <w:szCs w:val="24"/>
        </w:rPr>
        <w:t>Business Insurance</w:t>
      </w:r>
      <w:r>
        <w:rPr>
          <w:rStyle w:val="ssl01"/>
          <w:bCs/>
          <w:sz w:val="24"/>
          <w:szCs w:val="24"/>
        </w:rPr>
        <w:t xml:space="preserve"> vol.</w:t>
      </w:r>
      <w:r w:rsidR="00370BAC">
        <w:rPr>
          <w:rStyle w:val="ssl01"/>
          <w:bCs/>
          <w:sz w:val="24"/>
          <w:szCs w:val="24"/>
        </w:rPr>
        <w:t xml:space="preserve"> </w:t>
      </w:r>
      <w:r>
        <w:rPr>
          <w:rStyle w:val="ssl01"/>
          <w:bCs/>
          <w:sz w:val="24"/>
          <w:szCs w:val="24"/>
        </w:rPr>
        <w:t>31, issue 52, 22 December 1997.</w:t>
      </w:r>
    </w:p>
    <w:p w:rsidR="006F082D" w:rsidRDefault="00064760" w:rsidP="003614CC">
      <w:pPr>
        <w:pStyle w:val="BodyTextIndent3"/>
        <w:ind w:left="0" w:firstLine="0"/>
      </w:pPr>
      <w:r w:rsidRPr="005C5A63">
        <w:t>Cathy Gunn (1993)</w:t>
      </w:r>
      <w:r w:rsidRPr="005C5A63">
        <w:rPr>
          <w:i/>
          <w:iCs/>
        </w:rPr>
        <w:t xml:space="preserve"> Nightmare on Lime Street: Whatever Happened to Lloyd's of London?</w:t>
      </w:r>
      <w:r w:rsidRPr="005C5A63">
        <w:t xml:space="preserve"> London: Smith Gryphon Publishers. </w:t>
      </w:r>
    </w:p>
    <w:p w:rsidR="00064760" w:rsidRDefault="006F082D" w:rsidP="003614CC">
      <w:pPr>
        <w:pStyle w:val="BodyTextIndent3"/>
        <w:ind w:left="0" w:firstLine="0"/>
        <w:rPr>
          <w:lang w:val="sv-SE"/>
        </w:rPr>
      </w:pPr>
      <w:r>
        <w:t xml:space="preserve">John D. Hey, Gianna Lotito and Anna Maffioletti (2010) ‘The descriptive and predictive adequacy of theories of decision making under uncertainty/ambiguity’, </w:t>
      </w:r>
      <w:r w:rsidRPr="006F082D">
        <w:rPr>
          <w:i/>
        </w:rPr>
        <w:t>Journal of Risk and Uncertainty</w:t>
      </w:r>
      <w:r>
        <w:t xml:space="preserve"> 41: 81-111. </w:t>
      </w:r>
      <w:r w:rsidR="00064760" w:rsidRPr="005C5A63">
        <w:br/>
        <w:t>Godfrey</w:t>
      </w:r>
      <w:r w:rsidR="00064760">
        <w:t xml:space="preserve"> Hodgson (1986)</w:t>
      </w:r>
      <w:r w:rsidR="00064760">
        <w:rPr>
          <w:i/>
          <w:iCs/>
        </w:rPr>
        <w:t xml:space="preserve"> Lloyd's of London: A Reputation at Risk. </w:t>
      </w:r>
      <w:r w:rsidR="00064760">
        <w:t>London: Penguin.</w:t>
      </w:r>
    </w:p>
    <w:p w:rsidR="00743399" w:rsidRPr="00367759" w:rsidRDefault="00743399" w:rsidP="00743399">
      <w:r w:rsidRPr="00743399">
        <w:t>Paula Jarzabkowski, Rebecca Bednarek and Paul Spee</w:t>
      </w:r>
      <w:r>
        <w:t xml:space="preserve"> (2015)</w:t>
      </w:r>
      <w:r w:rsidRPr="00743399">
        <w:t xml:space="preserve"> </w:t>
      </w:r>
      <w:r w:rsidRPr="00743399">
        <w:rPr>
          <w:i/>
        </w:rPr>
        <w:t>Making a Market for Acts of God: The Practice of Risk Trading in the Global Reinsurance Industry</w:t>
      </w:r>
      <w:r>
        <w:t xml:space="preserve">. </w:t>
      </w:r>
      <w:r w:rsidRPr="00743399">
        <w:t xml:space="preserve">Oxford: Oxford </w:t>
      </w:r>
      <w:r w:rsidRPr="00367759">
        <w:t>University Press.</w:t>
      </w:r>
    </w:p>
    <w:p w:rsidR="00367759" w:rsidRDefault="00367759" w:rsidP="00743399">
      <w:r w:rsidRPr="00367759">
        <w:t>Daniel Kahneman</w:t>
      </w:r>
      <w:r>
        <w:t xml:space="preserve"> (2011)</w:t>
      </w:r>
      <w:r w:rsidRPr="00367759">
        <w:t xml:space="preserve"> </w:t>
      </w:r>
      <w:r w:rsidRPr="00367759">
        <w:rPr>
          <w:i/>
        </w:rPr>
        <w:t>Thinking Fast and Slow</w:t>
      </w:r>
      <w:r>
        <w:t xml:space="preserve">. </w:t>
      </w:r>
      <w:r w:rsidRPr="00367759">
        <w:t>London: Penguin</w:t>
      </w:r>
      <w:r>
        <w:t>.</w:t>
      </w:r>
    </w:p>
    <w:p w:rsidR="00CC2E05" w:rsidRPr="00CC2E05" w:rsidRDefault="00CC2E05" w:rsidP="00743399">
      <w:r>
        <w:t xml:space="preserve">Niklas Karlsson, George Loewenstein and Duane Seppi (2009) ‘The ostrich effect: selective attention to information’, </w:t>
      </w:r>
      <w:r w:rsidRPr="006F082D">
        <w:rPr>
          <w:i/>
        </w:rPr>
        <w:t>Journal of Risk and Uncertainty</w:t>
      </w:r>
      <w:r>
        <w:rPr>
          <w:i/>
        </w:rPr>
        <w:t xml:space="preserve"> </w:t>
      </w:r>
      <w:r w:rsidRPr="00CC2E05">
        <w:t>38: 95-115.</w:t>
      </w:r>
    </w:p>
    <w:p w:rsidR="002B66E7" w:rsidRDefault="002B66E7" w:rsidP="002B66E7">
      <w:pPr>
        <w:rPr>
          <w:color w:val="000000"/>
        </w:rPr>
      </w:pPr>
      <w:r w:rsidRPr="00367759">
        <w:rPr>
          <w:color w:val="000000"/>
        </w:rPr>
        <w:lastRenderedPageBreak/>
        <w:t xml:space="preserve">Christopher Kingston (2007) </w:t>
      </w:r>
      <w:r w:rsidR="00FF642F">
        <w:rPr>
          <w:color w:val="000000"/>
        </w:rPr>
        <w:t>‘</w:t>
      </w:r>
      <w:r w:rsidRPr="00367759">
        <w:rPr>
          <w:color w:val="000000"/>
        </w:rPr>
        <w:t>Marine Insurance in Britain and America, 1720–1844: A Comparative Institutional Analysis’</w:t>
      </w:r>
      <w:r w:rsidRPr="00E34A93">
        <w:rPr>
          <w:color w:val="000000"/>
        </w:rPr>
        <w:t xml:space="preserve">, </w:t>
      </w:r>
      <w:r w:rsidRPr="00E34A93">
        <w:rPr>
          <w:i/>
          <w:color w:val="000000"/>
        </w:rPr>
        <w:t>Journal of Economic History</w:t>
      </w:r>
      <w:r w:rsidRPr="00E34A93">
        <w:rPr>
          <w:color w:val="000000"/>
        </w:rPr>
        <w:t xml:space="preserve"> 67</w:t>
      </w:r>
      <w:r>
        <w:rPr>
          <w:color w:val="000000"/>
        </w:rPr>
        <w:t>: 379-409.</w:t>
      </w:r>
    </w:p>
    <w:p w:rsidR="00F91553" w:rsidRDefault="00F91553" w:rsidP="002B66E7">
      <w:pPr>
        <w:rPr>
          <w:color w:val="000000"/>
        </w:rPr>
      </w:pPr>
      <w:r>
        <w:rPr>
          <w:color w:val="000000"/>
        </w:rPr>
        <w:t xml:space="preserve">Howard Kunreuther, Jacqueline Meszaros, Robin M. Hogarth and Mark Spranca (1995) ‘Ambiguity and underwriter decision processes’, </w:t>
      </w:r>
      <w:r w:rsidRPr="00F91553">
        <w:rPr>
          <w:i/>
          <w:color w:val="000000"/>
        </w:rPr>
        <w:t>Journal of Economic Behaviour and Organization</w:t>
      </w:r>
      <w:r>
        <w:rPr>
          <w:color w:val="000000"/>
        </w:rPr>
        <w:t xml:space="preserve"> 26: 337-52. </w:t>
      </w:r>
    </w:p>
    <w:p w:rsidR="000F7B81" w:rsidRPr="000F7B81" w:rsidRDefault="000F7B81" w:rsidP="002B66E7">
      <w:pPr>
        <w:rPr>
          <w:color w:val="000000"/>
        </w:rPr>
      </w:pPr>
      <w:r>
        <w:rPr>
          <w:color w:val="000000"/>
        </w:rPr>
        <w:t xml:space="preserve">Howard Kunreuther, Nathan Novemsky and Daniel Kahneman (2001), ‘Making low probabilities useful’, </w:t>
      </w:r>
      <w:r w:rsidRPr="006F082D">
        <w:rPr>
          <w:i/>
        </w:rPr>
        <w:t>Journal of Risk and Uncertainty</w:t>
      </w:r>
      <w:r>
        <w:t xml:space="preserve"> 23: 102-20. </w:t>
      </w:r>
    </w:p>
    <w:p w:rsidR="005733F1" w:rsidRPr="005733F1" w:rsidRDefault="005733F1" w:rsidP="002B66E7">
      <w:pPr>
        <w:rPr>
          <w:color w:val="000000"/>
        </w:rPr>
      </w:pPr>
      <w:r>
        <w:t xml:space="preserve">Susan K. </w:t>
      </w:r>
      <w:r w:rsidRPr="005733F1">
        <w:t xml:space="preserve">Laury, </w:t>
      </w:r>
      <w:r>
        <w:t xml:space="preserve">Melayne Morgan </w:t>
      </w:r>
      <w:r w:rsidRPr="005733F1">
        <w:t xml:space="preserve">McInnes and </w:t>
      </w:r>
      <w:r>
        <w:t xml:space="preserve">J. Todd </w:t>
      </w:r>
      <w:r w:rsidRPr="005733F1">
        <w:t>Swa</w:t>
      </w:r>
      <w:r>
        <w:t>r</w:t>
      </w:r>
      <w:r w:rsidRPr="005733F1">
        <w:t>thout (2009)</w:t>
      </w:r>
      <w:r>
        <w:t xml:space="preserve"> ‘Insurance decisions for low-probab</w:t>
      </w:r>
      <w:r w:rsidR="00515300">
        <w:t>i</w:t>
      </w:r>
      <w:r>
        <w:t xml:space="preserve">lity losses’, </w:t>
      </w:r>
      <w:r w:rsidRPr="006F082D">
        <w:rPr>
          <w:i/>
        </w:rPr>
        <w:t>Journal of Risk and Uncertainty</w:t>
      </w:r>
      <w:r>
        <w:t xml:space="preserve"> 39: 17-44.</w:t>
      </w:r>
    </w:p>
    <w:p w:rsidR="004C51EC" w:rsidRDefault="004C51EC" w:rsidP="002B66E7">
      <w:r>
        <w:t>Lloyd’s of London (1980)</w:t>
      </w:r>
      <w:r>
        <w:rPr>
          <w:i/>
          <w:iCs/>
        </w:rPr>
        <w:t xml:space="preserve"> Self Regulation at Lloyd’s: Report of the Fisher Working Party,</w:t>
      </w:r>
      <w:r>
        <w:t xml:space="preserve"> London.</w:t>
      </w:r>
    </w:p>
    <w:p w:rsidR="000F6F3A" w:rsidRDefault="000F6F3A" w:rsidP="002B66E7">
      <w:r w:rsidRPr="00216969">
        <w:t>Lloyd’s of London</w:t>
      </w:r>
      <w:r w:rsidR="009D1524">
        <w:t xml:space="preserve"> (1987) </w:t>
      </w:r>
      <w:r>
        <w:rPr>
          <w:i/>
          <w:iCs/>
        </w:rPr>
        <w:t>R</w:t>
      </w:r>
      <w:r w:rsidR="00B64D1C">
        <w:rPr>
          <w:i/>
          <w:iCs/>
        </w:rPr>
        <w:t>egulatory Arrangements at Lloyd’</w:t>
      </w:r>
      <w:r>
        <w:rPr>
          <w:i/>
          <w:iCs/>
        </w:rPr>
        <w:t>s: Report of the Committee of Enquiry (Neill Report)</w:t>
      </w:r>
      <w:r w:rsidR="009D1524">
        <w:rPr>
          <w:i/>
          <w:iCs/>
        </w:rPr>
        <w:t xml:space="preserve">. </w:t>
      </w:r>
      <w:r w:rsidR="009D1524">
        <w:t>London: HMSO.</w:t>
      </w:r>
    </w:p>
    <w:p w:rsidR="009D1524" w:rsidRPr="00216969" w:rsidRDefault="009D1524" w:rsidP="009D1524">
      <w:r w:rsidRPr="00216969">
        <w:t>Lloyd’s of London</w:t>
      </w:r>
      <w:r>
        <w:t xml:space="preserve"> (1992)</w:t>
      </w:r>
      <w:r w:rsidRPr="00216969">
        <w:t xml:space="preserve"> </w:t>
      </w:r>
      <w:r w:rsidRPr="00216969">
        <w:rPr>
          <w:bCs/>
          <w:i/>
          <w:iCs/>
        </w:rPr>
        <w:t>Report of an Inquiry into Lloyd’s syndicate participations and the LMX spiral</w:t>
      </w:r>
      <w:r>
        <w:rPr>
          <w:bCs/>
          <w:i/>
          <w:iCs/>
        </w:rPr>
        <w:t xml:space="preserve"> (Walker Report)</w:t>
      </w:r>
      <w:r>
        <w:t xml:space="preserve">. </w:t>
      </w:r>
      <w:r w:rsidRPr="00216969">
        <w:t>London</w:t>
      </w:r>
      <w:r>
        <w:t xml:space="preserve">, </w:t>
      </w:r>
      <w:r w:rsidRPr="00216969">
        <w:t>J</w:t>
      </w:r>
      <w:r>
        <w:t>une 1992.</w:t>
      </w:r>
    </w:p>
    <w:p w:rsidR="00CE18BF" w:rsidRDefault="007631CF" w:rsidP="002B66E7">
      <w:r>
        <w:t xml:space="preserve">Elizabeth Luessenhop (1995) </w:t>
      </w:r>
      <w:r w:rsidRPr="00064760">
        <w:rPr>
          <w:i/>
        </w:rPr>
        <w:t>Risky Business: An Insider’s Account of the Disaster at Lloyd’s of London</w:t>
      </w:r>
      <w:r>
        <w:t xml:space="preserve">. New York: Martin Mayer. </w:t>
      </w:r>
      <w:r>
        <w:br/>
      </w:r>
      <w:r w:rsidR="00CE18BF">
        <w:t xml:space="preserve">Jonathan Mantle (1992) </w:t>
      </w:r>
      <w:r w:rsidR="00CE18BF" w:rsidRPr="00600A8E">
        <w:rPr>
          <w:i/>
          <w:iCs/>
        </w:rPr>
        <w:t>For whom the Bell Tolls: Lessons of Lloyd’s of London</w:t>
      </w:r>
      <w:r w:rsidR="00CE18BF">
        <w:t xml:space="preserve">. London: Sinclair-Stevenson. </w:t>
      </w:r>
    </w:p>
    <w:p w:rsidR="001D2591" w:rsidRDefault="001D2591" w:rsidP="002B66E7">
      <w:r>
        <w:t xml:space="preserve">Lee Moerman, Sandra van der Laan and David Campbell (2014) </w:t>
      </w:r>
      <w:r w:rsidR="00FF642F">
        <w:t>‘</w:t>
      </w:r>
      <w:r>
        <w:t>A Tale of Two Asbestos Giants: Corporate Reports as (Auto)biography</w:t>
      </w:r>
      <w:r w:rsidR="00FF642F">
        <w:t>’</w:t>
      </w:r>
      <w:r>
        <w:t xml:space="preserve">, </w:t>
      </w:r>
      <w:r w:rsidRPr="009C5C51">
        <w:rPr>
          <w:i/>
        </w:rPr>
        <w:t>Business History</w:t>
      </w:r>
      <w:r>
        <w:t xml:space="preserve"> 56: 975-95.</w:t>
      </w:r>
    </w:p>
    <w:p w:rsidR="006A1DC8" w:rsidRPr="00037053" w:rsidRDefault="00486253" w:rsidP="002B66E7">
      <w:pPr>
        <w:rPr>
          <w:color w:val="000000"/>
        </w:rPr>
      </w:pPr>
      <w:r w:rsidRPr="006A1DC8">
        <w:rPr>
          <w:color w:val="000000"/>
        </w:rPr>
        <w:t>Joel Mokyr</w:t>
      </w:r>
      <w:r w:rsidR="006A1DC8">
        <w:rPr>
          <w:color w:val="000000"/>
        </w:rPr>
        <w:t xml:space="preserve"> (2002)</w:t>
      </w:r>
      <w:r w:rsidRPr="006A1DC8">
        <w:rPr>
          <w:color w:val="000000"/>
        </w:rPr>
        <w:t xml:space="preserve">, </w:t>
      </w:r>
      <w:r w:rsidRPr="006A1DC8">
        <w:rPr>
          <w:i/>
          <w:iCs/>
          <w:color w:val="000000"/>
        </w:rPr>
        <w:t>The Gifts of Athena: Historical Origins of the Knowledge Economy</w:t>
      </w:r>
      <w:r w:rsidR="00037053">
        <w:rPr>
          <w:iCs/>
          <w:color w:val="000000"/>
        </w:rPr>
        <w:t>. Princeton: Princeton University Press.</w:t>
      </w:r>
    </w:p>
    <w:p w:rsidR="00FA3CF7" w:rsidRPr="00FA3CF7" w:rsidRDefault="00FA3CF7" w:rsidP="002B66E7">
      <w:r w:rsidRPr="00FA3CF7">
        <w:t xml:space="preserve">William C. O'Neill, Nilam R. Sharma, Michael T. Carolan and Zainab Charchafchi (2009) </w:t>
      </w:r>
      <w:r w:rsidR="00FF642F">
        <w:t>‘</w:t>
      </w:r>
      <w:r w:rsidRPr="00FA3CF7">
        <w:rPr>
          <w:bCs/>
        </w:rPr>
        <w:t>Coping with the CDS Crisis: Lessons Learned from the LMX Spiral</w:t>
      </w:r>
      <w:r w:rsidR="00FF642F">
        <w:rPr>
          <w:bCs/>
        </w:rPr>
        <w:t>’</w:t>
      </w:r>
      <w:r>
        <w:rPr>
          <w:bCs/>
        </w:rPr>
        <w:t xml:space="preserve">, </w:t>
      </w:r>
      <w:r w:rsidRPr="00FA3CF7">
        <w:rPr>
          <w:rStyle w:val="Emphasis"/>
        </w:rPr>
        <w:t>Journal of Reinsurance</w:t>
      </w:r>
      <w:r>
        <w:t xml:space="preserve"> </w:t>
      </w:r>
      <w:r w:rsidRPr="00FA3CF7">
        <w:t>16</w:t>
      </w:r>
      <w:r>
        <w:t xml:space="preserve">, no. 2: </w:t>
      </w:r>
      <w:r w:rsidRPr="00FA3CF7">
        <w:t>1-34</w:t>
      </w:r>
      <w:r>
        <w:t xml:space="preserve">. </w:t>
      </w:r>
    </w:p>
    <w:p w:rsidR="002A188C" w:rsidRPr="00FA3CF7" w:rsidRDefault="002A188C" w:rsidP="002A188C">
      <w:pPr>
        <w:spacing w:line="280" w:lineRule="exact"/>
      </w:pPr>
      <w:r w:rsidRPr="00FA3CF7">
        <w:t xml:space="preserve">Robin Pearson (2004) </w:t>
      </w:r>
      <w:r w:rsidR="00FF642F">
        <w:t>‘</w:t>
      </w:r>
      <w:r w:rsidRPr="00FA3CF7">
        <w:t>Cuthbert Eden Heath (1859-1939)</w:t>
      </w:r>
      <w:r w:rsidR="00FF642F">
        <w:t>’</w:t>
      </w:r>
      <w:r w:rsidRPr="00FA3CF7">
        <w:t xml:space="preserve">, in Colin Matthew ed., </w:t>
      </w:r>
      <w:r w:rsidRPr="00FA3CF7">
        <w:rPr>
          <w:i/>
        </w:rPr>
        <w:t>The Oxford Dictionary of National Biography</w:t>
      </w:r>
      <w:r w:rsidR="00743399">
        <w:rPr>
          <w:i/>
        </w:rPr>
        <w:t xml:space="preserve">. </w:t>
      </w:r>
      <w:r w:rsidR="00743399">
        <w:t>Oxford University Press.</w:t>
      </w:r>
    </w:p>
    <w:p w:rsidR="002A188C" w:rsidRDefault="002A188C" w:rsidP="003614CC">
      <w:pPr>
        <w:pStyle w:val="BodyTextIndent3"/>
        <w:ind w:left="0" w:firstLine="0"/>
      </w:pPr>
      <w:r w:rsidRPr="00FA3CF7">
        <w:rPr>
          <w:lang w:val="sv-SE"/>
        </w:rPr>
        <w:t>Robin</w:t>
      </w:r>
      <w:r>
        <w:rPr>
          <w:lang w:val="sv-SE"/>
        </w:rPr>
        <w:t xml:space="preserve"> Pearson (2006)</w:t>
      </w:r>
      <w:r w:rsidR="00FF642F">
        <w:rPr>
          <w:lang w:val="sv-SE"/>
        </w:rPr>
        <w:t xml:space="preserve"> </w:t>
      </w:r>
      <w:r w:rsidR="00430B10">
        <w:t>‘</w:t>
      </w:r>
      <w:r w:rsidR="00FF642F">
        <w:rPr>
          <w:lang w:val="sv-SE"/>
        </w:rPr>
        <w:t>L</w:t>
      </w:r>
      <w:r>
        <w:t>loyd’s of London</w:t>
      </w:r>
      <w:r w:rsidR="00FF642F">
        <w:t>’</w:t>
      </w:r>
      <w:r>
        <w:t xml:space="preserve">, in John J. McCusker ed., </w:t>
      </w:r>
      <w:r w:rsidRPr="002A188C">
        <w:rPr>
          <w:bCs/>
          <w:i/>
          <w:iCs/>
        </w:rPr>
        <w:t>History of World Trade since 1450</w:t>
      </w:r>
      <w:r w:rsidRPr="002A188C">
        <w:rPr>
          <w:bCs/>
          <w:iCs/>
        </w:rPr>
        <w:t>,</w:t>
      </w:r>
      <w:r>
        <w:rPr>
          <w:bCs/>
          <w:iCs/>
        </w:rPr>
        <w:t xml:space="preserve"> 2 vols.</w:t>
      </w:r>
      <w:r>
        <w:t xml:space="preserve"> Farmington Hills, MI: Macmillan Reference</w:t>
      </w:r>
      <w:r w:rsidR="00743399">
        <w:t>. V</w:t>
      </w:r>
      <w:r>
        <w:t>ol. 2, pp. 466-9.</w:t>
      </w:r>
    </w:p>
    <w:p w:rsidR="001E4DED" w:rsidRDefault="001E4DED" w:rsidP="003614CC">
      <w:pPr>
        <w:pStyle w:val="BodyTextIndent3"/>
        <w:ind w:left="0" w:firstLine="0"/>
        <w:rPr>
          <w:lang w:val="sv-SE"/>
        </w:rPr>
      </w:pPr>
      <w:r>
        <w:rPr>
          <w:lang w:val="sv-SE"/>
        </w:rPr>
        <w:t>Robin Pearson and</w:t>
      </w:r>
      <w:r w:rsidRPr="00113686">
        <w:rPr>
          <w:lang w:val="sv-SE"/>
        </w:rPr>
        <w:t xml:space="preserve"> Mikael Lönnborg</w:t>
      </w:r>
      <w:r w:rsidR="003614CC">
        <w:rPr>
          <w:lang w:val="sv-SE"/>
        </w:rPr>
        <w:t xml:space="preserve"> (2005)</w:t>
      </w:r>
      <w:r w:rsidR="00430B10" w:rsidRPr="00430B10">
        <w:t xml:space="preserve"> </w:t>
      </w:r>
      <w:r w:rsidR="00430B10">
        <w:t>‘</w:t>
      </w:r>
      <w:r w:rsidRPr="006C0E3E">
        <w:rPr>
          <w:lang w:val="sv-SE"/>
        </w:rPr>
        <w:t>Natur</w:t>
      </w:r>
      <w:r>
        <w:rPr>
          <w:lang w:val="sv-SE"/>
        </w:rPr>
        <w:t>katastrofer</w:t>
      </w:r>
      <w:r w:rsidRPr="006C0E3E">
        <w:rPr>
          <w:lang w:val="sv-SE"/>
        </w:rPr>
        <w:t xml:space="preserve"> och försäkringsbolag på främmande marknader</w:t>
      </w:r>
      <w:r w:rsidR="00430B10">
        <w:rPr>
          <w:lang w:val="sv-SE"/>
        </w:rPr>
        <w:t>’</w:t>
      </w:r>
      <w:r w:rsidRPr="006C0E3E">
        <w:rPr>
          <w:lang w:val="sv-SE"/>
        </w:rPr>
        <w:t xml:space="preserve">, </w:t>
      </w:r>
      <w:r w:rsidRPr="005D6DDB">
        <w:rPr>
          <w:i/>
          <w:lang w:val="sv-SE"/>
        </w:rPr>
        <w:t>Nordisk Försäkringstidkrift</w:t>
      </w:r>
      <w:r>
        <w:rPr>
          <w:bCs/>
          <w:iCs/>
          <w:lang w:val="sv-SE"/>
        </w:rPr>
        <w:t>, 86, no.1</w:t>
      </w:r>
      <w:r w:rsidR="003614CC">
        <w:rPr>
          <w:bCs/>
          <w:iCs/>
          <w:lang w:val="sv-SE"/>
        </w:rPr>
        <w:t xml:space="preserve">: </w:t>
      </w:r>
      <w:r>
        <w:rPr>
          <w:lang w:val="sv-SE"/>
        </w:rPr>
        <w:t>77-91.</w:t>
      </w:r>
    </w:p>
    <w:p w:rsidR="00F21194" w:rsidRPr="00DB7555" w:rsidRDefault="00F21194" w:rsidP="00F21194">
      <w:r>
        <w:t xml:space="preserve">Phillips (1994) </w:t>
      </w:r>
      <w:r w:rsidRPr="00DB7555">
        <w:rPr>
          <w:i/>
        </w:rPr>
        <w:t>Deeny v Gooda Walker Ltd</w:t>
      </w:r>
      <w:r w:rsidRPr="00DB7555">
        <w:t xml:space="preserve">, before the Hon Mr Justice Phillips, Commercial Court, Queens Bench Division, Royal Courts of Justice, 4 October 1994. </w:t>
      </w:r>
    </w:p>
    <w:p w:rsidR="00064760" w:rsidRDefault="00064760" w:rsidP="00064760">
      <w:r>
        <w:t xml:space="preserve">Patrick Proctor (1995) </w:t>
      </w:r>
      <w:r>
        <w:rPr>
          <w:i/>
          <w:iCs/>
        </w:rPr>
        <w:t xml:space="preserve">For Whom the Bell Tolls. </w:t>
      </w:r>
      <w:r>
        <w:t xml:space="preserve">Harlow: Matching Press. </w:t>
      </w:r>
    </w:p>
    <w:p w:rsidR="000E2247" w:rsidRDefault="000E2247" w:rsidP="00064760">
      <w:pPr>
        <w:rPr>
          <w:lang w:val="sv-SE"/>
        </w:rPr>
      </w:pPr>
      <w:r>
        <w:rPr>
          <w:lang w:val="sv-SE"/>
        </w:rPr>
        <w:t>Adam Raphael</w:t>
      </w:r>
      <w:r w:rsidR="002A188C">
        <w:rPr>
          <w:lang w:val="sv-SE"/>
        </w:rPr>
        <w:t xml:space="preserve"> (1995)</w:t>
      </w:r>
      <w:r>
        <w:rPr>
          <w:lang w:val="sv-SE"/>
        </w:rPr>
        <w:t xml:space="preserve"> </w:t>
      </w:r>
      <w:r w:rsidRPr="000E2247">
        <w:rPr>
          <w:i/>
          <w:lang w:val="sv-SE"/>
        </w:rPr>
        <w:t>Ultimate Risk: The Inside Story of the Lloyd’s Catastrophe</w:t>
      </w:r>
      <w:r w:rsidR="00064760">
        <w:rPr>
          <w:lang w:val="sv-SE"/>
        </w:rPr>
        <w:t xml:space="preserve">. </w:t>
      </w:r>
      <w:r>
        <w:rPr>
          <w:lang w:val="sv-SE"/>
        </w:rPr>
        <w:t>New York: Four Walls Eight Windows</w:t>
      </w:r>
      <w:r w:rsidR="00064760">
        <w:rPr>
          <w:lang w:val="sv-SE"/>
        </w:rPr>
        <w:t>.</w:t>
      </w:r>
    </w:p>
    <w:p w:rsidR="007631CF" w:rsidRDefault="007631CF" w:rsidP="00743399">
      <w:pPr>
        <w:autoSpaceDE w:val="0"/>
        <w:autoSpaceDN w:val="0"/>
        <w:adjustRightInd w:val="0"/>
      </w:pPr>
      <w:r>
        <w:t xml:space="preserve">H. Rice and M.G.White (1990) ‘Reinsurance to close at Lloyd’s and related issues (GISG Convention, 10.90)’, unpublished paper. </w:t>
      </w:r>
    </w:p>
    <w:p w:rsidR="00743399" w:rsidRDefault="00743399" w:rsidP="00743399">
      <w:pPr>
        <w:autoSpaceDE w:val="0"/>
        <w:autoSpaceDN w:val="0"/>
        <w:adjustRightInd w:val="0"/>
      </w:pPr>
      <w:r w:rsidRPr="00953CD1">
        <w:t>Tilmann J</w:t>
      </w:r>
      <w:r w:rsidR="005D1470">
        <w:t>.</w:t>
      </w:r>
      <w:r w:rsidRPr="00953CD1">
        <w:t xml:space="preserve"> Röder</w:t>
      </w:r>
      <w:r>
        <w:t xml:space="preserve"> (2006)</w:t>
      </w:r>
      <w:r w:rsidRPr="00953CD1">
        <w:t xml:space="preserve"> </w:t>
      </w:r>
      <w:r w:rsidRPr="00953CD1">
        <w:rPr>
          <w:i/>
        </w:rPr>
        <w:t>Rechtsbildung im wirtschaftlichen "Weltverkehr". Das Erdbeben von San Francisco und die internationale Standardisierung von Vertragsbedingungen (1871-1914)</w:t>
      </w:r>
      <w:r>
        <w:t>. F</w:t>
      </w:r>
      <w:r w:rsidRPr="00953CD1">
        <w:t>rankfurt am Main</w:t>
      </w:r>
      <w:r>
        <w:t>.</w:t>
      </w:r>
    </w:p>
    <w:p w:rsidR="004E724F" w:rsidRDefault="004E724F" w:rsidP="00743399">
      <w:pPr>
        <w:autoSpaceDE w:val="0"/>
        <w:autoSpaceDN w:val="0"/>
        <w:adjustRightInd w:val="0"/>
      </w:pPr>
      <w:r>
        <w:t xml:space="preserve">John Southerst (1992), ‘Unnatural disasters’, </w:t>
      </w:r>
      <w:r w:rsidRPr="000A29F7">
        <w:rPr>
          <w:i/>
        </w:rPr>
        <w:t>Canadian Business</w:t>
      </w:r>
      <w:r>
        <w:t xml:space="preserve"> 65, no.3: 83-100.</w:t>
      </w:r>
    </w:p>
    <w:p w:rsidR="00CB503F" w:rsidRDefault="00CB503F" w:rsidP="00CB503F">
      <w:r w:rsidRPr="00CB503F">
        <w:t>Matthew Syed</w:t>
      </w:r>
      <w:r>
        <w:t xml:space="preserve"> (2015)</w:t>
      </w:r>
      <w:r w:rsidRPr="00CB503F">
        <w:t xml:space="preserve"> </w:t>
      </w:r>
      <w:r w:rsidRPr="00CB503F">
        <w:rPr>
          <w:i/>
        </w:rPr>
        <w:t>Black Box Thinking: Marginal Gains and the Secret of High Performance</w:t>
      </w:r>
      <w:r>
        <w:t xml:space="preserve">. </w:t>
      </w:r>
      <w:r w:rsidRPr="00CB503F">
        <w:t>London: John Murray</w:t>
      </w:r>
      <w:r>
        <w:t>.</w:t>
      </w:r>
    </w:p>
    <w:p w:rsidR="00941A43" w:rsidRPr="00941A43" w:rsidRDefault="00941A43" w:rsidP="00941A43">
      <w:r w:rsidRPr="00941A43">
        <w:t>Nassim Nicholas Taleb</w:t>
      </w:r>
      <w:r>
        <w:t xml:space="preserve"> (2007)</w:t>
      </w:r>
      <w:r w:rsidRPr="00941A43">
        <w:t xml:space="preserve"> </w:t>
      </w:r>
      <w:r w:rsidRPr="00941A43">
        <w:rPr>
          <w:i/>
        </w:rPr>
        <w:t>The Black Swan: The Impact of the Highly Improbable</w:t>
      </w:r>
      <w:r>
        <w:t>. London: Penguin</w:t>
      </w:r>
      <w:r w:rsidRPr="00941A43">
        <w:t>.</w:t>
      </w:r>
    </w:p>
    <w:p w:rsidR="00882DCE" w:rsidRPr="00953CD1" w:rsidRDefault="00882DCE" w:rsidP="00743399">
      <w:pPr>
        <w:autoSpaceDE w:val="0"/>
        <w:autoSpaceDN w:val="0"/>
        <w:adjustRightInd w:val="0"/>
      </w:pPr>
      <w:r>
        <w:t xml:space="preserve">Gillian Tett (2009) </w:t>
      </w:r>
      <w:r w:rsidRPr="00882DCE">
        <w:rPr>
          <w:i/>
        </w:rPr>
        <w:t>Fool’s gold: How unrestrained greed corrupted a dream, shattered global markets and unleashed a catastrophe</w:t>
      </w:r>
      <w:r>
        <w:t>. London: Little, Brown.</w:t>
      </w:r>
    </w:p>
    <w:p w:rsidR="003614CC" w:rsidRDefault="004E724F" w:rsidP="003614CC">
      <w:r w:rsidRPr="00486F54">
        <w:lastRenderedPageBreak/>
        <w:t xml:space="preserve">Clive </w:t>
      </w:r>
      <w:r w:rsidR="003614CC" w:rsidRPr="00486F54">
        <w:t>Trebilcock</w:t>
      </w:r>
      <w:r w:rsidR="003614CC">
        <w:t xml:space="preserve"> (1998) </w:t>
      </w:r>
      <w:r w:rsidR="003614CC" w:rsidRPr="00486F54">
        <w:rPr>
          <w:i/>
        </w:rPr>
        <w:t>Phoenix Assurance and the Development of British Insurance</w:t>
      </w:r>
      <w:r w:rsidR="003614CC">
        <w:rPr>
          <w:i/>
        </w:rPr>
        <w:t>, volume 2, 1870-1984: The Era of the Insurance Giants</w:t>
      </w:r>
      <w:r w:rsidR="003614CC">
        <w:t>.</w:t>
      </w:r>
      <w:r w:rsidR="003614CC" w:rsidRPr="00486F54">
        <w:t xml:space="preserve"> Cambridge: Cambridge University Press.</w:t>
      </w:r>
    </w:p>
    <w:p w:rsidR="005D1470" w:rsidRDefault="004E724F" w:rsidP="005D1470">
      <w:r>
        <w:t>Geoffrey Tweedale</w:t>
      </w:r>
      <w:r w:rsidR="005D1470">
        <w:t xml:space="preserve"> and </w:t>
      </w:r>
      <w:r>
        <w:t xml:space="preserve">David </w:t>
      </w:r>
      <w:r w:rsidR="005D1470">
        <w:t>Jeremy</w:t>
      </w:r>
      <w:r>
        <w:t xml:space="preserve"> </w:t>
      </w:r>
      <w:r w:rsidR="005D1470">
        <w:t xml:space="preserve">(1999) ‘Compensating the Workers: Industrial Injury and Compensation in the British Asbestos Industry, 1930s-60s’, </w:t>
      </w:r>
      <w:r w:rsidR="005D1470" w:rsidRPr="009C5C51">
        <w:rPr>
          <w:i/>
        </w:rPr>
        <w:t>Business History</w:t>
      </w:r>
      <w:r w:rsidR="005D1470">
        <w:t xml:space="preserve"> 41: 102-20.</w:t>
      </w:r>
    </w:p>
    <w:p w:rsidR="007E6680" w:rsidRDefault="007E6680" w:rsidP="005D1470">
      <w:r>
        <w:t xml:space="preserve">Geoffrey Tweedale (2000) </w:t>
      </w:r>
      <w:r w:rsidRPr="009C5C51">
        <w:rPr>
          <w:i/>
        </w:rPr>
        <w:t>Magic Mineral to Killer Dust: Turner &amp; Newall and the Asbestos Hazard</w:t>
      </w:r>
      <w:r>
        <w:t xml:space="preserve">. Oxford: Oxford University Press. </w:t>
      </w:r>
    </w:p>
    <w:p w:rsidR="006B23E4" w:rsidRDefault="006B23E4" w:rsidP="006B23E4">
      <w:r>
        <w:t>Welf Werner (</w:t>
      </w:r>
      <w:r w:rsidR="00D3416E">
        <w:t>2007</w:t>
      </w:r>
      <w:r w:rsidR="00430B10">
        <w:t>) ‘</w:t>
      </w:r>
      <w:r>
        <w:t>Hurricane Betsy and the malfunctioning of the London reinsurance market: an analysis of transatlantic reinsurance trade, 1949-89</w:t>
      </w:r>
      <w:r w:rsidR="00430B10">
        <w:t>’</w:t>
      </w:r>
      <w:r>
        <w:t xml:space="preserve">, </w:t>
      </w:r>
      <w:r w:rsidRPr="000E0111">
        <w:rPr>
          <w:i/>
        </w:rPr>
        <w:t>Financial History Review</w:t>
      </w:r>
      <w:r>
        <w:t xml:space="preserve"> 14: 7-28.</w:t>
      </w:r>
    </w:p>
    <w:p w:rsidR="004A2D9B" w:rsidRDefault="004A2D9B" w:rsidP="004A2D9B">
      <w:r>
        <w:t>Charles Wright and C.Ernest Fayle</w:t>
      </w:r>
      <w:r w:rsidR="002A188C">
        <w:t xml:space="preserve"> (1928)</w:t>
      </w:r>
      <w:r>
        <w:t xml:space="preserve"> </w:t>
      </w:r>
      <w:r w:rsidRPr="005F48CE">
        <w:rPr>
          <w:bCs/>
          <w:i/>
          <w:iCs/>
        </w:rPr>
        <w:t>A History of Lloyd’s</w:t>
      </w:r>
      <w:r w:rsidR="00487975">
        <w:t xml:space="preserve">. </w:t>
      </w:r>
    </w:p>
    <w:p w:rsidR="00487975" w:rsidRDefault="00487975" w:rsidP="004A2D9B">
      <w:r>
        <w:t xml:space="preserve">Paul Zinkewicz (1997) ‘London – The Environment has changed’, </w:t>
      </w:r>
      <w:r w:rsidRPr="00487975">
        <w:rPr>
          <w:i/>
        </w:rPr>
        <w:t>Insurance Advocate</w:t>
      </w:r>
      <w:r>
        <w:t xml:space="preserve"> vol.108, </w:t>
      </w:r>
      <w:r w:rsidR="0049503C">
        <w:t xml:space="preserve">issue </w:t>
      </w:r>
      <w:r>
        <w:t>42, 25 October 1997.</w:t>
      </w:r>
    </w:p>
    <w:p w:rsidR="001E4DED" w:rsidRDefault="001E4DED" w:rsidP="00650DCA"/>
    <w:p w:rsidR="001E4DED" w:rsidRDefault="001E4DED" w:rsidP="00650DCA"/>
    <w:p w:rsidR="001E4DED" w:rsidRDefault="001E4DED" w:rsidP="00650DCA"/>
    <w:p w:rsidR="001E4DED" w:rsidRDefault="001E4DED" w:rsidP="00650DCA"/>
    <w:p w:rsidR="001E4DED" w:rsidRDefault="001E4DED" w:rsidP="00650DCA"/>
    <w:p w:rsidR="001E4DED" w:rsidRDefault="001E4DED" w:rsidP="00650DCA"/>
    <w:p w:rsidR="001E4DED" w:rsidRDefault="001E4DED" w:rsidP="00650DCA"/>
    <w:p w:rsidR="001E4DED" w:rsidRDefault="001E4DED" w:rsidP="00650DCA"/>
    <w:p w:rsidR="001E4DED" w:rsidRDefault="001E4DED" w:rsidP="00650DCA"/>
    <w:p w:rsidR="001E4DED" w:rsidRDefault="001E4DED" w:rsidP="00650DCA"/>
    <w:p w:rsidR="001E4DED" w:rsidRDefault="001E4DED" w:rsidP="00650DCA"/>
    <w:p w:rsidR="001E4DED" w:rsidRDefault="001E4DED" w:rsidP="00650DCA"/>
    <w:p w:rsidR="001E4DED" w:rsidRDefault="001E4DED" w:rsidP="00650DCA"/>
    <w:p w:rsidR="001E4DED" w:rsidRDefault="001E4DED" w:rsidP="00650DCA"/>
    <w:p w:rsidR="007216F5" w:rsidRDefault="007216F5"/>
    <w:p w:rsidR="00650DCA" w:rsidRPr="00776D95" w:rsidRDefault="001E4DED">
      <w:pPr>
        <w:rPr>
          <w:b/>
        </w:rPr>
      </w:pPr>
      <w:r>
        <w:br w:type="column"/>
      </w:r>
      <w:r w:rsidR="00776D95" w:rsidRPr="00776D95">
        <w:rPr>
          <w:b/>
        </w:rPr>
        <w:lastRenderedPageBreak/>
        <w:t>Notes</w:t>
      </w:r>
    </w:p>
    <w:sectPr w:rsidR="00650DCA" w:rsidRPr="00776D95" w:rsidSect="001E4DED">
      <w:headerReference w:type="default" r:id="rId11"/>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0D" w:rsidRDefault="0014700D" w:rsidP="00650DCA">
      <w:r>
        <w:separator/>
      </w:r>
    </w:p>
  </w:endnote>
  <w:endnote w:type="continuationSeparator" w:id="0">
    <w:p w:rsidR="0014700D" w:rsidRDefault="0014700D" w:rsidP="00650DCA">
      <w:r>
        <w:continuationSeparator/>
      </w:r>
    </w:p>
  </w:endnote>
  <w:endnote w:id="1">
    <w:p w:rsidR="00507C32" w:rsidRPr="0004123F" w:rsidRDefault="00507C32" w:rsidP="00191440">
      <w:r w:rsidRPr="0004123F">
        <w:rPr>
          <w:rStyle w:val="EndnoteReference"/>
        </w:rPr>
        <w:endnoteRef/>
      </w:r>
      <w:r w:rsidRPr="0004123F">
        <w:t xml:space="preserve">  </w:t>
      </w:r>
      <w:r w:rsidRPr="0004123F">
        <w:tab/>
        <w:t>On the insurance market before and after the San Francisco fire, see Pearson and Lönnborg (2005); Röder (2006); Trebilcock (1998). On the longevity of modern underwriting practices in reinsurance, see Jarzubowksi (2015).</w:t>
      </w:r>
    </w:p>
  </w:endnote>
  <w:endnote w:id="2">
    <w:p w:rsidR="00507C32" w:rsidRPr="002B604F" w:rsidRDefault="00507C32" w:rsidP="00191440">
      <w:pPr>
        <w:pStyle w:val="EndnoteText"/>
        <w:rPr>
          <w:sz w:val="24"/>
          <w:szCs w:val="24"/>
        </w:rPr>
      </w:pPr>
      <w:r w:rsidRPr="002B604F">
        <w:rPr>
          <w:rStyle w:val="EndnoteReference"/>
          <w:sz w:val="24"/>
          <w:szCs w:val="24"/>
        </w:rPr>
        <w:endnoteRef/>
      </w:r>
      <w:r w:rsidRPr="002B604F">
        <w:rPr>
          <w:sz w:val="24"/>
          <w:szCs w:val="24"/>
        </w:rPr>
        <w:t xml:space="preserve"> </w:t>
      </w:r>
      <w:r w:rsidRPr="002B604F">
        <w:rPr>
          <w:sz w:val="24"/>
          <w:szCs w:val="24"/>
        </w:rPr>
        <w:tab/>
        <w:t>Hodgson (1986); Mantle (1992); Gunn (1993); Raphael (1995); Luessenhop (1995);</w:t>
      </w:r>
      <w:r>
        <w:rPr>
          <w:sz w:val="24"/>
          <w:szCs w:val="24"/>
        </w:rPr>
        <w:t xml:space="preserve"> </w:t>
      </w:r>
      <w:r w:rsidRPr="002B604F">
        <w:rPr>
          <w:sz w:val="24"/>
          <w:szCs w:val="24"/>
        </w:rPr>
        <w:t xml:space="preserve">Proctor (1996); Duguid (2014). </w:t>
      </w:r>
      <w:r w:rsidRPr="002B604F">
        <w:rPr>
          <w:iCs/>
          <w:sz w:val="24"/>
          <w:szCs w:val="24"/>
        </w:rPr>
        <w:t xml:space="preserve">The impact on direct insurers of </w:t>
      </w:r>
      <w:r w:rsidRPr="002B604F">
        <w:rPr>
          <w:rStyle w:val="ssl01"/>
          <w:bCs/>
          <w:sz w:val="24"/>
          <w:szCs w:val="24"/>
        </w:rPr>
        <w:t>the liability reinsurance crisis,</w:t>
      </w:r>
      <w:r w:rsidRPr="002B604F">
        <w:rPr>
          <w:iCs/>
          <w:sz w:val="24"/>
          <w:szCs w:val="24"/>
        </w:rPr>
        <w:t xml:space="preserve"> and of Lloyd’s financial distress, have been examined, respectively, by Berger, Cummins and Tennyson (1992), and by </w:t>
      </w:r>
      <w:r w:rsidRPr="002B604F">
        <w:rPr>
          <w:rStyle w:val="ssl01"/>
          <w:bCs/>
          <w:sz w:val="24"/>
          <w:szCs w:val="24"/>
        </w:rPr>
        <w:t>Fields, Klein and Myskowski (1998). Neither discuss the situation at Lloyd’s at any length.</w:t>
      </w:r>
    </w:p>
  </w:endnote>
  <w:endnote w:id="3">
    <w:p w:rsidR="00507C32" w:rsidRPr="002B604F" w:rsidRDefault="00507C32" w:rsidP="0060139D">
      <w:pPr>
        <w:pStyle w:val="EndnoteText"/>
        <w:rPr>
          <w:sz w:val="24"/>
          <w:szCs w:val="24"/>
        </w:rPr>
      </w:pPr>
      <w:r w:rsidRPr="002B604F">
        <w:rPr>
          <w:rStyle w:val="EndnoteReference"/>
          <w:sz w:val="24"/>
          <w:szCs w:val="24"/>
        </w:rPr>
        <w:endnoteRef/>
      </w:r>
      <w:r w:rsidRPr="002B604F">
        <w:rPr>
          <w:sz w:val="24"/>
          <w:szCs w:val="24"/>
        </w:rPr>
        <w:t xml:space="preserve"> </w:t>
      </w:r>
      <w:r w:rsidRPr="002B604F">
        <w:rPr>
          <w:sz w:val="24"/>
          <w:szCs w:val="24"/>
        </w:rPr>
        <w:tab/>
      </w:r>
      <w:r>
        <w:rPr>
          <w:sz w:val="24"/>
          <w:szCs w:val="24"/>
        </w:rPr>
        <w:t xml:space="preserve">The following is based on </w:t>
      </w:r>
      <w:r w:rsidRPr="002B604F">
        <w:rPr>
          <w:sz w:val="24"/>
          <w:szCs w:val="24"/>
        </w:rPr>
        <w:t>Wright and Fayle (1928); Kingston (2007); Pearson (2004, 2006).</w:t>
      </w:r>
    </w:p>
  </w:endnote>
  <w:endnote w:id="4">
    <w:p w:rsidR="00507C32" w:rsidRPr="002B604F" w:rsidRDefault="00507C32">
      <w:pPr>
        <w:pStyle w:val="EndnoteText"/>
        <w:rPr>
          <w:sz w:val="24"/>
          <w:szCs w:val="24"/>
        </w:rPr>
      </w:pPr>
      <w:r w:rsidRPr="002B604F">
        <w:rPr>
          <w:rStyle w:val="EndnoteReference"/>
          <w:sz w:val="24"/>
          <w:szCs w:val="24"/>
        </w:rPr>
        <w:endnoteRef/>
      </w:r>
      <w:r w:rsidRPr="002B604F">
        <w:rPr>
          <w:sz w:val="24"/>
          <w:szCs w:val="24"/>
        </w:rPr>
        <w:t xml:space="preserve"> </w:t>
      </w:r>
      <w:r w:rsidRPr="002B604F">
        <w:rPr>
          <w:sz w:val="24"/>
          <w:szCs w:val="24"/>
        </w:rPr>
        <w:tab/>
        <w:t xml:space="preserve">For an overview of RITC, see Rice and White (1990). </w:t>
      </w:r>
    </w:p>
  </w:endnote>
  <w:endnote w:id="5">
    <w:p w:rsidR="00507C32" w:rsidRPr="002B604F" w:rsidRDefault="00507C32">
      <w:pPr>
        <w:pStyle w:val="EndnoteText"/>
        <w:rPr>
          <w:sz w:val="24"/>
          <w:szCs w:val="24"/>
        </w:rPr>
      </w:pPr>
      <w:r w:rsidRPr="002B604F">
        <w:rPr>
          <w:rStyle w:val="EndnoteReference"/>
          <w:sz w:val="24"/>
          <w:szCs w:val="24"/>
        </w:rPr>
        <w:endnoteRef/>
      </w:r>
      <w:r w:rsidRPr="002B604F">
        <w:rPr>
          <w:sz w:val="24"/>
          <w:szCs w:val="24"/>
        </w:rPr>
        <w:t xml:space="preserve"> </w:t>
      </w:r>
      <w:r w:rsidRPr="002B604F">
        <w:rPr>
          <w:sz w:val="24"/>
          <w:szCs w:val="24"/>
        </w:rPr>
        <w:tab/>
        <w:t>Luessenhop (1995), pp.</w:t>
      </w:r>
      <w:r>
        <w:rPr>
          <w:sz w:val="24"/>
          <w:szCs w:val="24"/>
        </w:rPr>
        <w:t xml:space="preserve"> </w:t>
      </w:r>
      <w:r w:rsidRPr="002B604F">
        <w:rPr>
          <w:sz w:val="24"/>
          <w:szCs w:val="24"/>
        </w:rPr>
        <w:t>72, 108, 127</w:t>
      </w:r>
      <w:r>
        <w:rPr>
          <w:sz w:val="24"/>
          <w:szCs w:val="24"/>
        </w:rPr>
        <w:t>.</w:t>
      </w:r>
    </w:p>
  </w:endnote>
  <w:endnote w:id="6">
    <w:p w:rsidR="00507C32" w:rsidRPr="002B604F" w:rsidRDefault="00507C32">
      <w:pPr>
        <w:pStyle w:val="EndnoteText"/>
        <w:rPr>
          <w:sz w:val="24"/>
          <w:szCs w:val="24"/>
        </w:rPr>
      </w:pPr>
      <w:r w:rsidRPr="002B604F">
        <w:rPr>
          <w:rStyle w:val="EndnoteReference"/>
          <w:sz w:val="24"/>
          <w:szCs w:val="24"/>
        </w:rPr>
        <w:endnoteRef/>
      </w:r>
      <w:r w:rsidRPr="002B604F">
        <w:rPr>
          <w:sz w:val="24"/>
          <w:szCs w:val="24"/>
        </w:rPr>
        <w:t xml:space="preserve"> </w:t>
      </w:r>
      <w:r w:rsidRPr="002B604F">
        <w:rPr>
          <w:sz w:val="24"/>
          <w:szCs w:val="24"/>
        </w:rPr>
        <w:tab/>
        <w:t xml:space="preserve">For examples, see </w:t>
      </w:r>
      <w:r w:rsidRPr="002B604F">
        <w:rPr>
          <w:i/>
          <w:sz w:val="24"/>
          <w:szCs w:val="24"/>
        </w:rPr>
        <w:t>The Times</w:t>
      </w:r>
      <w:r w:rsidRPr="002B604F">
        <w:rPr>
          <w:sz w:val="24"/>
          <w:szCs w:val="24"/>
        </w:rPr>
        <w:t xml:space="preserve"> 23 January, 20 December 1980. </w:t>
      </w:r>
    </w:p>
  </w:endnote>
  <w:endnote w:id="7">
    <w:p w:rsidR="00507C32" w:rsidRPr="002B604F" w:rsidRDefault="00507C32">
      <w:pPr>
        <w:pStyle w:val="EndnoteText"/>
        <w:rPr>
          <w:sz w:val="24"/>
          <w:szCs w:val="24"/>
        </w:rPr>
      </w:pPr>
      <w:r w:rsidRPr="002B604F">
        <w:rPr>
          <w:rStyle w:val="EndnoteReference"/>
          <w:sz w:val="24"/>
          <w:szCs w:val="24"/>
        </w:rPr>
        <w:endnoteRef/>
      </w:r>
      <w:r w:rsidRPr="002B604F">
        <w:rPr>
          <w:sz w:val="24"/>
          <w:szCs w:val="24"/>
        </w:rPr>
        <w:t xml:space="preserve"> </w:t>
      </w:r>
      <w:r w:rsidRPr="002B604F">
        <w:rPr>
          <w:sz w:val="24"/>
          <w:szCs w:val="24"/>
        </w:rPr>
        <w:tab/>
        <w:t>Brown (1980); Pearson (1994).</w:t>
      </w:r>
    </w:p>
  </w:endnote>
  <w:endnote w:id="8">
    <w:p w:rsidR="00507C32" w:rsidRPr="00533C14" w:rsidRDefault="00507C32">
      <w:pPr>
        <w:pStyle w:val="EndnoteText"/>
        <w:rPr>
          <w:sz w:val="24"/>
          <w:szCs w:val="24"/>
        </w:rPr>
      </w:pPr>
      <w:r w:rsidRPr="00533C14">
        <w:rPr>
          <w:rStyle w:val="EndnoteReference"/>
          <w:sz w:val="24"/>
          <w:szCs w:val="24"/>
        </w:rPr>
        <w:endnoteRef/>
      </w:r>
      <w:r w:rsidRPr="00533C14">
        <w:rPr>
          <w:sz w:val="24"/>
          <w:szCs w:val="24"/>
        </w:rPr>
        <w:t xml:space="preserve"> </w:t>
      </w:r>
      <w:r w:rsidRPr="00533C14">
        <w:rPr>
          <w:sz w:val="24"/>
          <w:szCs w:val="24"/>
        </w:rPr>
        <w:tab/>
        <w:t xml:space="preserve">One example of the latter was actress Elizabeth Taylor’s Cartier diamond, which was insured for $1.2m at a cost of $66,000 premiums, on condition that it </w:t>
      </w:r>
      <w:r>
        <w:rPr>
          <w:sz w:val="24"/>
          <w:szCs w:val="24"/>
        </w:rPr>
        <w:t xml:space="preserve">was taken </w:t>
      </w:r>
      <w:r w:rsidRPr="00533C14">
        <w:rPr>
          <w:sz w:val="24"/>
          <w:szCs w:val="24"/>
        </w:rPr>
        <w:t xml:space="preserve">out of its vault for </w:t>
      </w:r>
      <w:r>
        <w:rPr>
          <w:sz w:val="24"/>
          <w:szCs w:val="24"/>
        </w:rPr>
        <w:t xml:space="preserve">no more than </w:t>
      </w:r>
      <w:r w:rsidRPr="00533C14">
        <w:rPr>
          <w:sz w:val="24"/>
          <w:szCs w:val="24"/>
        </w:rPr>
        <w:t xml:space="preserve">30 days in any one year, and under armed guard. </w:t>
      </w:r>
      <w:r w:rsidRPr="00533C14">
        <w:rPr>
          <w:i/>
          <w:sz w:val="24"/>
          <w:szCs w:val="24"/>
        </w:rPr>
        <w:t>The Times</w:t>
      </w:r>
      <w:r w:rsidRPr="00533C14">
        <w:rPr>
          <w:sz w:val="24"/>
          <w:szCs w:val="24"/>
        </w:rPr>
        <w:t xml:space="preserve"> 2 January 1970.</w:t>
      </w:r>
    </w:p>
  </w:endnote>
  <w:endnote w:id="9">
    <w:p w:rsidR="00507C32" w:rsidRPr="0004123F" w:rsidRDefault="00507C32" w:rsidP="004E2E4C">
      <w:pPr>
        <w:pStyle w:val="EndnoteText"/>
        <w:rPr>
          <w:sz w:val="24"/>
          <w:szCs w:val="24"/>
        </w:rPr>
      </w:pPr>
      <w:r w:rsidRPr="00533C14">
        <w:rPr>
          <w:rStyle w:val="EndnoteReference"/>
          <w:sz w:val="24"/>
          <w:szCs w:val="24"/>
        </w:rPr>
        <w:endnoteRef/>
      </w:r>
      <w:r w:rsidRPr="00533C14">
        <w:rPr>
          <w:sz w:val="24"/>
          <w:szCs w:val="24"/>
        </w:rPr>
        <w:t xml:space="preserve"> </w:t>
      </w:r>
      <w:r w:rsidRPr="00533C14">
        <w:rPr>
          <w:sz w:val="24"/>
          <w:szCs w:val="24"/>
        </w:rPr>
        <w:tab/>
        <w:t>Werner (2007).</w:t>
      </w:r>
      <w:r w:rsidRPr="0004123F">
        <w:rPr>
          <w:sz w:val="24"/>
          <w:szCs w:val="24"/>
        </w:rPr>
        <w:t xml:space="preserve"> </w:t>
      </w:r>
    </w:p>
  </w:endnote>
  <w:endnote w:id="10">
    <w:p w:rsidR="00507C32" w:rsidRPr="008E3001" w:rsidRDefault="00507C32">
      <w:pPr>
        <w:pStyle w:val="EndnoteText"/>
        <w:rPr>
          <w:sz w:val="24"/>
          <w:szCs w:val="24"/>
        </w:rPr>
      </w:pPr>
      <w:r w:rsidRPr="008E3001">
        <w:rPr>
          <w:rStyle w:val="EndnoteReference"/>
          <w:sz w:val="24"/>
          <w:szCs w:val="24"/>
        </w:rPr>
        <w:endnoteRef/>
      </w:r>
      <w:r w:rsidRPr="008E3001">
        <w:rPr>
          <w:sz w:val="24"/>
          <w:szCs w:val="24"/>
        </w:rPr>
        <w:t xml:space="preserve"> </w:t>
      </w:r>
      <w:r w:rsidRPr="008E3001">
        <w:rPr>
          <w:sz w:val="24"/>
          <w:szCs w:val="24"/>
        </w:rPr>
        <w:tab/>
      </w:r>
      <w:r>
        <w:rPr>
          <w:sz w:val="24"/>
          <w:szCs w:val="24"/>
        </w:rPr>
        <w:t xml:space="preserve">Bertie Hiscox, a future deputy chairman, found Lloyd’s in the 1960s frequented by ‘the thick pin-striped boy made a member by his daddy…I thought I’d come to a place for the mentally disabled’. Cited by Luessenhop (1995), p. 100. Some syndicates </w:t>
      </w:r>
      <w:r w:rsidRPr="008E3001">
        <w:rPr>
          <w:sz w:val="24"/>
          <w:szCs w:val="24"/>
        </w:rPr>
        <w:t>in the early 1970s</w:t>
      </w:r>
      <w:r>
        <w:rPr>
          <w:sz w:val="24"/>
          <w:szCs w:val="24"/>
        </w:rPr>
        <w:t xml:space="preserve"> still insisted on writing with quills. </w:t>
      </w:r>
      <w:r w:rsidRPr="008E3001">
        <w:rPr>
          <w:sz w:val="24"/>
          <w:szCs w:val="24"/>
        </w:rPr>
        <w:t>Brown (1973), p.</w:t>
      </w:r>
      <w:r>
        <w:rPr>
          <w:sz w:val="24"/>
          <w:szCs w:val="24"/>
        </w:rPr>
        <w:t xml:space="preserve"> </w:t>
      </w:r>
      <w:r w:rsidRPr="008E3001">
        <w:rPr>
          <w:sz w:val="24"/>
          <w:szCs w:val="24"/>
        </w:rPr>
        <w:t>10.</w:t>
      </w:r>
    </w:p>
  </w:endnote>
  <w:endnote w:id="11">
    <w:p w:rsidR="00507C32" w:rsidRPr="008E3001" w:rsidRDefault="00507C32">
      <w:pPr>
        <w:pStyle w:val="EndnoteText"/>
        <w:rPr>
          <w:sz w:val="24"/>
          <w:szCs w:val="24"/>
        </w:rPr>
      </w:pPr>
      <w:r w:rsidRPr="008E3001">
        <w:rPr>
          <w:rStyle w:val="EndnoteReference"/>
          <w:sz w:val="24"/>
          <w:szCs w:val="24"/>
        </w:rPr>
        <w:endnoteRef/>
      </w:r>
      <w:r w:rsidRPr="008E3001">
        <w:rPr>
          <w:sz w:val="24"/>
          <w:szCs w:val="24"/>
        </w:rPr>
        <w:t xml:space="preserve"> </w:t>
      </w:r>
      <w:r w:rsidRPr="008E3001">
        <w:rPr>
          <w:sz w:val="24"/>
          <w:szCs w:val="24"/>
        </w:rPr>
        <w:tab/>
        <w:t>For a description of the traditional underwriting process, see Brown (1973), pp.</w:t>
      </w:r>
      <w:r>
        <w:rPr>
          <w:sz w:val="24"/>
          <w:szCs w:val="24"/>
        </w:rPr>
        <w:t xml:space="preserve"> </w:t>
      </w:r>
      <w:r w:rsidRPr="008E3001">
        <w:rPr>
          <w:sz w:val="24"/>
          <w:szCs w:val="24"/>
        </w:rPr>
        <w:t>12-13. The process had similarities with that still used very recently by reinsurance companies, as described by Jarzubowksi (2015).</w:t>
      </w:r>
    </w:p>
  </w:endnote>
  <w:endnote w:id="12">
    <w:p w:rsidR="00507C32" w:rsidRPr="0075283E" w:rsidRDefault="00507C32" w:rsidP="008962D2">
      <w:pPr>
        <w:pStyle w:val="EndnoteText"/>
        <w:rPr>
          <w:sz w:val="24"/>
          <w:szCs w:val="24"/>
        </w:rPr>
      </w:pPr>
      <w:r w:rsidRPr="008E3001">
        <w:rPr>
          <w:rStyle w:val="EndnoteReference"/>
          <w:sz w:val="24"/>
          <w:szCs w:val="24"/>
        </w:rPr>
        <w:endnoteRef/>
      </w:r>
      <w:r w:rsidRPr="008E3001">
        <w:rPr>
          <w:sz w:val="24"/>
          <w:szCs w:val="24"/>
        </w:rPr>
        <w:t xml:space="preserve"> </w:t>
      </w:r>
      <w:r w:rsidRPr="008E3001">
        <w:rPr>
          <w:sz w:val="24"/>
          <w:szCs w:val="24"/>
        </w:rPr>
        <w:tab/>
      </w:r>
      <w:r w:rsidRPr="0075283E">
        <w:rPr>
          <w:rStyle w:val="HTMLCite"/>
          <w:i w:val="0"/>
          <w:sz w:val="24"/>
          <w:szCs w:val="24"/>
        </w:rPr>
        <w:t xml:space="preserve">Hurricane </w:t>
      </w:r>
      <w:r w:rsidRPr="0075283E">
        <w:rPr>
          <w:sz w:val="24"/>
          <w:szCs w:val="24"/>
        </w:rPr>
        <w:t>Betsy led to three consecutive years of losses at Lloyd’s 1965-7, and the exit of members, a decline not reversed until 1971. Davison (1987), p.</w:t>
      </w:r>
      <w:r>
        <w:rPr>
          <w:sz w:val="24"/>
          <w:szCs w:val="24"/>
        </w:rPr>
        <w:t xml:space="preserve"> </w:t>
      </w:r>
      <w:r w:rsidRPr="0075283E">
        <w:rPr>
          <w:sz w:val="24"/>
          <w:szCs w:val="24"/>
        </w:rPr>
        <w:t xml:space="preserve">43. </w:t>
      </w:r>
    </w:p>
  </w:endnote>
  <w:endnote w:id="13">
    <w:p w:rsidR="00507C32" w:rsidRPr="00D43FC1" w:rsidRDefault="00507C32" w:rsidP="0016338B">
      <w:pPr>
        <w:pStyle w:val="EndnoteText"/>
        <w:rPr>
          <w:sz w:val="24"/>
          <w:szCs w:val="24"/>
        </w:rPr>
      </w:pPr>
      <w:r w:rsidRPr="00D43FC1">
        <w:rPr>
          <w:rStyle w:val="EndnoteReference"/>
          <w:sz w:val="24"/>
          <w:szCs w:val="24"/>
        </w:rPr>
        <w:endnoteRef/>
      </w:r>
      <w:r w:rsidRPr="00D43FC1">
        <w:rPr>
          <w:sz w:val="24"/>
          <w:szCs w:val="24"/>
        </w:rPr>
        <w:t xml:space="preserve"> </w:t>
      </w:r>
      <w:r w:rsidRPr="00D43FC1">
        <w:rPr>
          <w:sz w:val="24"/>
          <w:szCs w:val="24"/>
        </w:rPr>
        <w:tab/>
      </w:r>
      <w:r w:rsidRPr="00D43FC1">
        <w:rPr>
          <w:i/>
          <w:sz w:val="24"/>
          <w:szCs w:val="24"/>
        </w:rPr>
        <w:t>The Times</w:t>
      </w:r>
      <w:r>
        <w:rPr>
          <w:sz w:val="24"/>
          <w:szCs w:val="24"/>
        </w:rPr>
        <w:t xml:space="preserve"> 9 April 1970, </w:t>
      </w:r>
      <w:r w:rsidRPr="00D43FC1">
        <w:rPr>
          <w:sz w:val="24"/>
          <w:szCs w:val="24"/>
        </w:rPr>
        <w:t>11 August, 4 November 1975. Cromer’s report also criticised the way that Lloyd’s was organised and the quality of information made available to names, but this was ignored (the report was never published).</w:t>
      </w:r>
    </w:p>
  </w:endnote>
  <w:endnote w:id="14">
    <w:p w:rsidR="00507C32" w:rsidRPr="00D17E79" w:rsidRDefault="00507C32">
      <w:pPr>
        <w:pStyle w:val="EndnoteText"/>
        <w:rPr>
          <w:sz w:val="24"/>
          <w:szCs w:val="24"/>
        </w:rPr>
      </w:pPr>
      <w:r w:rsidRPr="00D43FC1">
        <w:rPr>
          <w:rStyle w:val="EndnoteReference"/>
          <w:sz w:val="24"/>
          <w:szCs w:val="24"/>
        </w:rPr>
        <w:endnoteRef/>
      </w:r>
      <w:r w:rsidRPr="00D43FC1">
        <w:rPr>
          <w:sz w:val="24"/>
          <w:szCs w:val="24"/>
        </w:rPr>
        <w:t xml:space="preserve"> </w:t>
      </w:r>
      <w:r w:rsidRPr="00D43FC1">
        <w:rPr>
          <w:sz w:val="24"/>
          <w:szCs w:val="24"/>
        </w:rPr>
        <w:tab/>
        <w:t>There were successive years of record profits 1971-3, though much of th</w:t>
      </w:r>
      <w:r>
        <w:rPr>
          <w:sz w:val="24"/>
          <w:szCs w:val="24"/>
        </w:rPr>
        <w:t>is</w:t>
      </w:r>
      <w:r w:rsidRPr="00D43FC1">
        <w:rPr>
          <w:sz w:val="24"/>
          <w:szCs w:val="24"/>
        </w:rPr>
        <w:t xml:space="preserve"> derived from higher </w:t>
      </w:r>
      <w:r>
        <w:rPr>
          <w:sz w:val="24"/>
          <w:szCs w:val="24"/>
        </w:rPr>
        <w:t xml:space="preserve">investment </w:t>
      </w:r>
      <w:r w:rsidRPr="00D43FC1">
        <w:rPr>
          <w:sz w:val="24"/>
          <w:szCs w:val="24"/>
        </w:rPr>
        <w:t xml:space="preserve">yields and reduced expenses rather than </w:t>
      </w:r>
      <w:r w:rsidRPr="0075283E">
        <w:rPr>
          <w:sz w:val="24"/>
          <w:szCs w:val="24"/>
        </w:rPr>
        <w:t xml:space="preserve">from underwriting. </w:t>
      </w:r>
      <w:r w:rsidRPr="00B74A01">
        <w:rPr>
          <w:i/>
          <w:sz w:val="24"/>
          <w:szCs w:val="24"/>
        </w:rPr>
        <w:t xml:space="preserve">The </w:t>
      </w:r>
      <w:r w:rsidRPr="0075283E">
        <w:rPr>
          <w:i/>
          <w:sz w:val="24"/>
          <w:szCs w:val="24"/>
        </w:rPr>
        <w:t>Times</w:t>
      </w:r>
      <w:r w:rsidRPr="0075283E">
        <w:rPr>
          <w:sz w:val="24"/>
          <w:szCs w:val="24"/>
        </w:rPr>
        <w:t xml:space="preserve"> 27 August 1976. </w:t>
      </w:r>
      <w:r>
        <w:rPr>
          <w:sz w:val="24"/>
          <w:szCs w:val="24"/>
        </w:rPr>
        <w:t>Syndicate earnings</w:t>
      </w:r>
      <w:r w:rsidRPr="0075283E">
        <w:rPr>
          <w:sz w:val="24"/>
          <w:szCs w:val="24"/>
        </w:rPr>
        <w:t xml:space="preserve"> </w:t>
      </w:r>
      <w:r>
        <w:rPr>
          <w:sz w:val="24"/>
          <w:szCs w:val="24"/>
        </w:rPr>
        <w:t>went directly i</w:t>
      </w:r>
      <w:r w:rsidRPr="0075283E">
        <w:rPr>
          <w:sz w:val="24"/>
          <w:szCs w:val="24"/>
        </w:rPr>
        <w:t>nto Lloyd’s Special Reserve Fund</w:t>
      </w:r>
      <w:r>
        <w:rPr>
          <w:sz w:val="24"/>
          <w:szCs w:val="24"/>
        </w:rPr>
        <w:t xml:space="preserve">, for which names received a bond. Interest from the bond was taxed as income, but capital gains on the bond were taxed at a lower rate. This system of ‘bond washing’ helped wealthy names </w:t>
      </w:r>
      <w:r w:rsidRPr="0075283E">
        <w:rPr>
          <w:sz w:val="24"/>
          <w:szCs w:val="24"/>
        </w:rPr>
        <w:t xml:space="preserve">avoid paying the higher </w:t>
      </w:r>
      <w:r>
        <w:rPr>
          <w:sz w:val="24"/>
          <w:szCs w:val="24"/>
        </w:rPr>
        <w:t xml:space="preserve">band of UK </w:t>
      </w:r>
      <w:r w:rsidRPr="0075283E">
        <w:rPr>
          <w:sz w:val="24"/>
          <w:szCs w:val="24"/>
        </w:rPr>
        <w:t>income tax</w:t>
      </w:r>
      <w:r>
        <w:rPr>
          <w:sz w:val="24"/>
          <w:szCs w:val="24"/>
        </w:rPr>
        <w:t xml:space="preserve">, a loophole that was not closed until 1988. Luessenhop (1995), p. 112. </w:t>
      </w:r>
      <w:r w:rsidRPr="0075283E">
        <w:rPr>
          <w:sz w:val="24"/>
          <w:szCs w:val="24"/>
        </w:rPr>
        <w:t>A further attraction was that m</w:t>
      </w:r>
      <w:r>
        <w:rPr>
          <w:sz w:val="24"/>
          <w:szCs w:val="24"/>
        </w:rPr>
        <w:t>uch</w:t>
      </w:r>
      <w:r w:rsidRPr="0075283E">
        <w:rPr>
          <w:sz w:val="24"/>
          <w:szCs w:val="24"/>
        </w:rPr>
        <w:t xml:space="preserve"> of Lloyd’s </w:t>
      </w:r>
      <w:r>
        <w:rPr>
          <w:sz w:val="24"/>
          <w:szCs w:val="24"/>
        </w:rPr>
        <w:t xml:space="preserve">income was denominated in </w:t>
      </w:r>
      <w:r w:rsidRPr="0075283E">
        <w:rPr>
          <w:sz w:val="24"/>
          <w:szCs w:val="24"/>
        </w:rPr>
        <w:t xml:space="preserve">US $, which appreciated against £ sterling </w:t>
      </w:r>
      <w:r w:rsidRPr="00D17E79">
        <w:rPr>
          <w:sz w:val="24"/>
          <w:szCs w:val="24"/>
        </w:rPr>
        <w:t xml:space="preserve">throughout the period.  </w:t>
      </w:r>
    </w:p>
  </w:endnote>
  <w:endnote w:id="15">
    <w:p w:rsidR="00507C32" w:rsidRPr="00D17E79" w:rsidRDefault="00507C32">
      <w:pPr>
        <w:pStyle w:val="EndnoteText"/>
        <w:rPr>
          <w:sz w:val="24"/>
          <w:szCs w:val="24"/>
        </w:rPr>
      </w:pPr>
      <w:r w:rsidRPr="00D17E79">
        <w:rPr>
          <w:rStyle w:val="EndnoteReference"/>
          <w:sz w:val="24"/>
          <w:szCs w:val="24"/>
        </w:rPr>
        <w:endnoteRef/>
      </w:r>
      <w:r w:rsidRPr="00D17E79">
        <w:rPr>
          <w:sz w:val="24"/>
          <w:szCs w:val="24"/>
        </w:rPr>
        <w:t xml:space="preserve"> </w:t>
      </w:r>
      <w:r w:rsidRPr="00D17E79">
        <w:rPr>
          <w:sz w:val="24"/>
          <w:szCs w:val="24"/>
        </w:rPr>
        <w:tab/>
      </w:r>
      <w:r w:rsidRPr="00D17E79">
        <w:rPr>
          <w:i/>
          <w:sz w:val="24"/>
          <w:szCs w:val="24"/>
        </w:rPr>
        <w:t>The Guardian</w:t>
      </w:r>
      <w:r w:rsidRPr="00D17E79">
        <w:rPr>
          <w:sz w:val="24"/>
          <w:szCs w:val="24"/>
        </w:rPr>
        <w:t xml:space="preserve"> 21</w:t>
      </w:r>
      <w:r>
        <w:rPr>
          <w:sz w:val="24"/>
          <w:szCs w:val="24"/>
        </w:rPr>
        <w:t xml:space="preserve"> July </w:t>
      </w:r>
      <w:r w:rsidRPr="00D17E79">
        <w:rPr>
          <w:sz w:val="24"/>
          <w:szCs w:val="24"/>
        </w:rPr>
        <w:t>1990</w:t>
      </w:r>
      <w:r>
        <w:rPr>
          <w:sz w:val="24"/>
          <w:szCs w:val="24"/>
        </w:rPr>
        <w:t xml:space="preserve">. </w:t>
      </w:r>
    </w:p>
  </w:endnote>
  <w:endnote w:id="16">
    <w:p w:rsidR="00507C32" w:rsidRPr="006B1054" w:rsidRDefault="00507C32" w:rsidP="00AE6D3F">
      <w:r w:rsidRPr="006B1054">
        <w:rPr>
          <w:rStyle w:val="EndnoteReference"/>
        </w:rPr>
        <w:endnoteRef/>
      </w:r>
      <w:r w:rsidRPr="006B1054">
        <w:t xml:space="preserve"> </w:t>
      </w:r>
      <w:r w:rsidRPr="006B1054">
        <w:tab/>
        <w:t xml:space="preserve">The </w:t>
      </w:r>
      <w:r w:rsidRPr="006B1054">
        <w:rPr>
          <w:i/>
        </w:rPr>
        <w:t>Amoco Cadiz</w:t>
      </w:r>
      <w:r>
        <w:t>, for example, b</w:t>
      </w:r>
      <w:r w:rsidRPr="007859BA">
        <w:t xml:space="preserve">roke </w:t>
      </w:r>
      <w:r>
        <w:t>up</w:t>
      </w:r>
      <w:r w:rsidRPr="007859BA">
        <w:t xml:space="preserve"> in a storm in 1978, leaking 230,000 tons of oil onto the beaches of Brittany. </w:t>
      </w:r>
      <w:r>
        <w:t xml:space="preserve">This </w:t>
      </w:r>
      <w:r w:rsidRPr="006B1054">
        <w:t>cost Lloyd’s over $31m</w:t>
      </w:r>
      <w:r>
        <w:t>,</w:t>
      </w:r>
      <w:r w:rsidRPr="006B1054">
        <w:t xml:space="preserve"> including payments into a French government fund to compensate Bretons for sea pollution. </w:t>
      </w:r>
      <w:r w:rsidRPr="006B1054">
        <w:rPr>
          <w:i/>
        </w:rPr>
        <w:t>The Times</w:t>
      </w:r>
      <w:r w:rsidRPr="006B1054">
        <w:t xml:space="preserve"> 18 March, 29 April, 2 October, 13 November 1978, 5 November 1980, 21 April 1984. </w:t>
      </w:r>
    </w:p>
  </w:endnote>
  <w:endnote w:id="17">
    <w:p w:rsidR="00507C32" w:rsidRPr="004C51EC" w:rsidRDefault="00507C32" w:rsidP="001613D0">
      <w:pPr>
        <w:pStyle w:val="EndnoteText"/>
        <w:rPr>
          <w:sz w:val="24"/>
          <w:szCs w:val="24"/>
        </w:rPr>
      </w:pPr>
      <w:r w:rsidRPr="005A1E19">
        <w:rPr>
          <w:rStyle w:val="EndnoteReference"/>
          <w:sz w:val="24"/>
          <w:szCs w:val="24"/>
        </w:rPr>
        <w:endnoteRef/>
      </w:r>
      <w:r w:rsidRPr="005A1E19">
        <w:rPr>
          <w:sz w:val="24"/>
          <w:szCs w:val="24"/>
        </w:rPr>
        <w:t xml:space="preserve"> </w:t>
      </w:r>
      <w:r w:rsidRPr="005A1E19">
        <w:rPr>
          <w:sz w:val="24"/>
          <w:szCs w:val="24"/>
        </w:rPr>
        <w:tab/>
        <w:t>Davison (1987), p.</w:t>
      </w:r>
      <w:r>
        <w:rPr>
          <w:sz w:val="24"/>
          <w:szCs w:val="24"/>
        </w:rPr>
        <w:t xml:space="preserve"> </w:t>
      </w:r>
      <w:r w:rsidRPr="005A1E19">
        <w:rPr>
          <w:sz w:val="24"/>
          <w:szCs w:val="24"/>
        </w:rPr>
        <w:t xml:space="preserve">46; </w:t>
      </w:r>
      <w:r w:rsidRPr="005A1E19">
        <w:rPr>
          <w:i/>
          <w:sz w:val="24"/>
          <w:szCs w:val="24"/>
        </w:rPr>
        <w:t>The Times</w:t>
      </w:r>
      <w:r w:rsidRPr="005A1E19">
        <w:rPr>
          <w:sz w:val="24"/>
          <w:szCs w:val="24"/>
        </w:rPr>
        <w:t xml:space="preserve"> 25 July 1980. Lloyd’s recovered $7m </w:t>
      </w:r>
      <w:r>
        <w:rPr>
          <w:sz w:val="24"/>
          <w:szCs w:val="24"/>
        </w:rPr>
        <w:t xml:space="preserve">of this </w:t>
      </w:r>
      <w:r w:rsidRPr="005A1E19">
        <w:rPr>
          <w:sz w:val="24"/>
          <w:szCs w:val="24"/>
        </w:rPr>
        <w:t xml:space="preserve">from Sasse’s </w:t>
      </w:r>
      <w:r>
        <w:rPr>
          <w:sz w:val="24"/>
          <w:szCs w:val="24"/>
        </w:rPr>
        <w:t xml:space="preserve">Brazilian </w:t>
      </w:r>
      <w:r w:rsidRPr="005A1E19">
        <w:rPr>
          <w:sz w:val="24"/>
          <w:szCs w:val="24"/>
        </w:rPr>
        <w:t>reinsurers</w:t>
      </w:r>
      <w:r>
        <w:rPr>
          <w:sz w:val="24"/>
          <w:szCs w:val="24"/>
        </w:rPr>
        <w:t xml:space="preserve"> </w:t>
      </w:r>
      <w:r w:rsidRPr="005A1E19">
        <w:rPr>
          <w:sz w:val="24"/>
          <w:szCs w:val="24"/>
        </w:rPr>
        <w:t xml:space="preserve">in 1981. </w:t>
      </w:r>
      <w:r w:rsidRPr="005A1E19">
        <w:rPr>
          <w:i/>
          <w:sz w:val="24"/>
          <w:szCs w:val="24"/>
        </w:rPr>
        <w:t>The Times</w:t>
      </w:r>
      <w:r w:rsidRPr="005A1E19">
        <w:rPr>
          <w:rStyle w:val="HTMLCite"/>
          <w:sz w:val="24"/>
          <w:szCs w:val="24"/>
        </w:rPr>
        <w:t xml:space="preserve"> </w:t>
      </w:r>
      <w:r w:rsidRPr="005A1E19">
        <w:rPr>
          <w:rStyle w:val="HTMLCite"/>
          <w:i w:val="0"/>
          <w:sz w:val="24"/>
          <w:szCs w:val="24"/>
        </w:rPr>
        <w:t>18 June 1981.</w:t>
      </w:r>
      <w:r>
        <w:rPr>
          <w:sz w:val="24"/>
          <w:szCs w:val="24"/>
        </w:rPr>
        <w:t xml:space="preserve">There were suspicions that the </w:t>
      </w:r>
      <w:r w:rsidRPr="004C51EC">
        <w:rPr>
          <w:sz w:val="24"/>
          <w:szCs w:val="24"/>
        </w:rPr>
        <w:t>company owning the Bronx properties had Mafia connections. Luessenhop (1995), pp.</w:t>
      </w:r>
      <w:r>
        <w:rPr>
          <w:sz w:val="24"/>
          <w:szCs w:val="24"/>
        </w:rPr>
        <w:t xml:space="preserve"> </w:t>
      </w:r>
      <w:r w:rsidRPr="004C51EC">
        <w:rPr>
          <w:sz w:val="24"/>
          <w:szCs w:val="24"/>
        </w:rPr>
        <w:t xml:space="preserve">135-9. </w:t>
      </w:r>
    </w:p>
  </w:endnote>
  <w:endnote w:id="18">
    <w:p w:rsidR="00507C32" w:rsidRPr="004C51EC" w:rsidRDefault="00507C32">
      <w:pPr>
        <w:pStyle w:val="EndnoteText"/>
        <w:rPr>
          <w:sz w:val="24"/>
          <w:szCs w:val="24"/>
        </w:rPr>
      </w:pPr>
      <w:r w:rsidRPr="004C51EC">
        <w:rPr>
          <w:rStyle w:val="EndnoteReference"/>
          <w:sz w:val="24"/>
          <w:szCs w:val="24"/>
        </w:rPr>
        <w:endnoteRef/>
      </w:r>
      <w:r w:rsidRPr="004C51EC">
        <w:rPr>
          <w:sz w:val="24"/>
          <w:szCs w:val="24"/>
        </w:rPr>
        <w:t xml:space="preserve"> </w:t>
      </w:r>
      <w:r w:rsidRPr="004C51EC">
        <w:rPr>
          <w:sz w:val="24"/>
          <w:szCs w:val="24"/>
        </w:rPr>
        <w:tab/>
        <w:t xml:space="preserve">Lloyd’s of London (1980). </w:t>
      </w:r>
    </w:p>
  </w:endnote>
  <w:endnote w:id="19">
    <w:p w:rsidR="00507C32" w:rsidRPr="005F1A3E" w:rsidRDefault="00507C32">
      <w:pPr>
        <w:pStyle w:val="EndnoteText"/>
        <w:rPr>
          <w:i/>
          <w:sz w:val="24"/>
          <w:szCs w:val="24"/>
        </w:rPr>
      </w:pPr>
      <w:r w:rsidRPr="005F1A3E">
        <w:rPr>
          <w:rStyle w:val="EndnoteReference"/>
          <w:sz w:val="24"/>
          <w:szCs w:val="24"/>
        </w:rPr>
        <w:endnoteRef/>
      </w:r>
      <w:r w:rsidRPr="005F1A3E">
        <w:rPr>
          <w:sz w:val="24"/>
          <w:szCs w:val="24"/>
        </w:rPr>
        <w:t xml:space="preserve"> </w:t>
      </w:r>
      <w:r w:rsidRPr="005F1A3E">
        <w:rPr>
          <w:sz w:val="24"/>
          <w:szCs w:val="24"/>
        </w:rPr>
        <w:tab/>
      </w:r>
      <w:r w:rsidRPr="005F1A3E">
        <w:rPr>
          <w:rStyle w:val="HTMLCite"/>
          <w:sz w:val="24"/>
          <w:szCs w:val="24"/>
        </w:rPr>
        <w:t xml:space="preserve">House of Commons Debates </w:t>
      </w:r>
      <w:r w:rsidRPr="005F1A3E">
        <w:rPr>
          <w:rStyle w:val="HTMLCite"/>
          <w:i w:val="0"/>
          <w:sz w:val="24"/>
          <w:szCs w:val="24"/>
        </w:rPr>
        <w:t>24 March 1981 vol. 1, cc.</w:t>
      </w:r>
      <w:r>
        <w:rPr>
          <w:rStyle w:val="HTMLCite"/>
          <w:i w:val="0"/>
          <w:sz w:val="24"/>
          <w:szCs w:val="24"/>
        </w:rPr>
        <w:t xml:space="preserve"> </w:t>
      </w:r>
      <w:r w:rsidRPr="005F1A3E">
        <w:rPr>
          <w:rStyle w:val="HTMLCite"/>
          <w:i w:val="0"/>
          <w:sz w:val="24"/>
          <w:szCs w:val="24"/>
        </w:rPr>
        <w:t>859-94.</w:t>
      </w:r>
    </w:p>
  </w:endnote>
  <w:endnote w:id="20">
    <w:p w:rsidR="00507C32" w:rsidRPr="00460A4D" w:rsidRDefault="00507C32">
      <w:pPr>
        <w:pStyle w:val="EndnoteText"/>
        <w:rPr>
          <w:sz w:val="24"/>
          <w:szCs w:val="24"/>
        </w:rPr>
      </w:pPr>
      <w:r w:rsidRPr="00460A4D">
        <w:rPr>
          <w:rStyle w:val="EndnoteReference"/>
          <w:sz w:val="24"/>
          <w:szCs w:val="24"/>
        </w:rPr>
        <w:endnoteRef/>
      </w:r>
      <w:r w:rsidRPr="00460A4D">
        <w:rPr>
          <w:sz w:val="24"/>
          <w:szCs w:val="24"/>
        </w:rPr>
        <w:t xml:space="preserve"> </w:t>
      </w:r>
      <w:r w:rsidRPr="00460A4D">
        <w:rPr>
          <w:sz w:val="24"/>
          <w:szCs w:val="24"/>
        </w:rPr>
        <w:tab/>
      </w:r>
      <w:r w:rsidRPr="00460A4D">
        <w:rPr>
          <w:rStyle w:val="HTMLCite"/>
          <w:sz w:val="24"/>
          <w:szCs w:val="24"/>
        </w:rPr>
        <w:t xml:space="preserve">House of Commons Debates </w:t>
      </w:r>
      <w:r w:rsidRPr="00460A4D">
        <w:rPr>
          <w:rStyle w:val="HTMLCite"/>
          <w:i w:val="0"/>
          <w:sz w:val="24"/>
          <w:szCs w:val="24"/>
        </w:rPr>
        <w:t xml:space="preserve">24 March 1981 vol. 1, cc. </w:t>
      </w:r>
      <w:r w:rsidRPr="00460A4D">
        <w:rPr>
          <w:sz w:val="24"/>
          <w:szCs w:val="24"/>
        </w:rPr>
        <w:t>871 (Davis), 867-8 (Eyre).</w:t>
      </w:r>
      <w:r>
        <w:rPr>
          <w:rStyle w:val="HTMLCite"/>
          <w:i w:val="0"/>
          <w:sz w:val="24"/>
          <w:szCs w:val="24"/>
        </w:rPr>
        <w:t xml:space="preserve"> </w:t>
      </w:r>
    </w:p>
  </w:endnote>
  <w:endnote w:id="21">
    <w:p w:rsidR="00507C32" w:rsidRPr="005F1A3E" w:rsidRDefault="00507C32">
      <w:pPr>
        <w:pStyle w:val="EndnoteText"/>
        <w:rPr>
          <w:sz w:val="24"/>
          <w:szCs w:val="24"/>
        </w:rPr>
      </w:pPr>
      <w:r w:rsidRPr="00460A4D">
        <w:rPr>
          <w:rStyle w:val="EndnoteReference"/>
          <w:sz w:val="24"/>
          <w:szCs w:val="24"/>
        </w:rPr>
        <w:endnoteRef/>
      </w:r>
      <w:r>
        <w:t xml:space="preserve"> </w:t>
      </w:r>
      <w:r>
        <w:tab/>
      </w:r>
      <w:r w:rsidRPr="0075283E">
        <w:rPr>
          <w:rStyle w:val="HTMLCite"/>
          <w:sz w:val="24"/>
          <w:szCs w:val="24"/>
        </w:rPr>
        <w:t>House of Commons Debates</w:t>
      </w:r>
      <w:r>
        <w:rPr>
          <w:rStyle w:val="HTMLCite"/>
          <w:sz w:val="24"/>
          <w:szCs w:val="24"/>
        </w:rPr>
        <w:t xml:space="preserve"> </w:t>
      </w:r>
      <w:r w:rsidRPr="005F1A3E">
        <w:rPr>
          <w:rStyle w:val="HTMLCite"/>
          <w:i w:val="0"/>
          <w:sz w:val="24"/>
          <w:szCs w:val="24"/>
        </w:rPr>
        <w:t>24 March 1981 vol</w:t>
      </w:r>
      <w:r>
        <w:rPr>
          <w:rStyle w:val="HTMLCite"/>
          <w:i w:val="0"/>
          <w:sz w:val="24"/>
          <w:szCs w:val="24"/>
        </w:rPr>
        <w:t>.</w:t>
      </w:r>
      <w:r w:rsidRPr="005F1A3E">
        <w:rPr>
          <w:rStyle w:val="HTMLCite"/>
          <w:i w:val="0"/>
          <w:sz w:val="24"/>
          <w:szCs w:val="24"/>
        </w:rPr>
        <w:t xml:space="preserve"> 1</w:t>
      </w:r>
      <w:r>
        <w:rPr>
          <w:rStyle w:val="HTMLCite"/>
          <w:i w:val="0"/>
          <w:sz w:val="24"/>
          <w:szCs w:val="24"/>
        </w:rPr>
        <w:t>,</w:t>
      </w:r>
      <w:r w:rsidRPr="005F1A3E">
        <w:rPr>
          <w:rStyle w:val="HTMLCite"/>
          <w:i w:val="0"/>
          <w:sz w:val="24"/>
          <w:szCs w:val="24"/>
        </w:rPr>
        <w:t xml:space="preserve"> </w:t>
      </w:r>
      <w:r>
        <w:rPr>
          <w:rStyle w:val="HTMLCite"/>
          <w:i w:val="0"/>
          <w:sz w:val="24"/>
          <w:szCs w:val="24"/>
        </w:rPr>
        <w:t xml:space="preserve">cc. </w:t>
      </w:r>
      <w:r w:rsidRPr="006571E3">
        <w:rPr>
          <w:sz w:val="24"/>
          <w:szCs w:val="24"/>
        </w:rPr>
        <w:t>881-3</w:t>
      </w:r>
      <w:r>
        <w:rPr>
          <w:sz w:val="24"/>
          <w:szCs w:val="24"/>
        </w:rPr>
        <w:t xml:space="preserve"> (Cryer)</w:t>
      </w:r>
      <w:r w:rsidRPr="006571E3">
        <w:rPr>
          <w:sz w:val="24"/>
          <w:szCs w:val="24"/>
        </w:rPr>
        <w:t>.</w:t>
      </w:r>
      <w:r>
        <w:rPr>
          <w:sz w:val="24"/>
          <w:szCs w:val="24"/>
        </w:rPr>
        <w:t xml:space="preserve"> </w:t>
      </w:r>
    </w:p>
  </w:endnote>
  <w:endnote w:id="22">
    <w:p w:rsidR="00507C32" w:rsidRPr="00641434" w:rsidRDefault="00507C32">
      <w:pPr>
        <w:pStyle w:val="EndnoteText"/>
        <w:rPr>
          <w:sz w:val="24"/>
          <w:szCs w:val="24"/>
        </w:rPr>
      </w:pPr>
      <w:r w:rsidRPr="005545FE">
        <w:rPr>
          <w:rStyle w:val="EndnoteReference"/>
          <w:sz w:val="24"/>
          <w:szCs w:val="24"/>
        </w:rPr>
        <w:endnoteRef/>
      </w:r>
      <w:r w:rsidRPr="005545FE">
        <w:rPr>
          <w:sz w:val="24"/>
          <w:szCs w:val="24"/>
        </w:rPr>
        <w:t xml:space="preserve"> </w:t>
      </w:r>
      <w:r w:rsidRPr="005545FE">
        <w:rPr>
          <w:sz w:val="24"/>
          <w:szCs w:val="24"/>
        </w:rPr>
        <w:tab/>
      </w:r>
      <w:r w:rsidRPr="005545FE">
        <w:rPr>
          <w:i/>
          <w:sz w:val="24"/>
          <w:szCs w:val="24"/>
        </w:rPr>
        <w:t>The Times</w:t>
      </w:r>
      <w:r w:rsidRPr="005545FE">
        <w:rPr>
          <w:rStyle w:val="HTMLCite"/>
          <w:sz w:val="24"/>
          <w:szCs w:val="24"/>
        </w:rPr>
        <w:t xml:space="preserve"> </w:t>
      </w:r>
      <w:r w:rsidRPr="005545FE">
        <w:rPr>
          <w:sz w:val="24"/>
          <w:szCs w:val="24"/>
        </w:rPr>
        <w:t xml:space="preserve">23 February 1981. On the Association of External Names, see the letter to </w:t>
      </w:r>
      <w:r w:rsidRPr="005545FE">
        <w:rPr>
          <w:i/>
          <w:sz w:val="24"/>
          <w:szCs w:val="24"/>
        </w:rPr>
        <w:t>The Times</w:t>
      </w:r>
      <w:r w:rsidRPr="005545FE">
        <w:rPr>
          <w:sz w:val="24"/>
          <w:szCs w:val="24"/>
        </w:rPr>
        <w:t xml:space="preserve"> 16 March 1981. On oppositi</w:t>
      </w:r>
      <w:r>
        <w:rPr>
          <w:sz w:val="24"/>
          <w:szCs w:val="24"/>
        </w:rPr>
        <w:t xml:space="preserve">on to the immunity clause, see </w:t>
      </w:r>
      <w:r w:rsidRPr="005F1A3E">
        <w:rPr>
          <w:rStyle w:val="HTMLCite"/>
          <w:sz w:val="24"/>
          <w:szCs w:val="24"/>
        </w:rPr>
        <w:t xml:space="preserve">House of Commons Debates </w:t>
      </w:r>
      <w:r w:rsidRPr="005545FE">
        <w:rPr>
          <w:rStyle w:val="HTMLCite"/>
          <w:i w:val="0"/>
          <w:sz w:val="24"/>
          <w:szCs w:val="24"/>
        </w:rPr>
        <w:t>24 March 1981 vol 1 c. 880-3, 888-90</w:t>
      </w:r>
      <w:r>
        <w:rPr>
          <w:rStyle w:val="HTMLCite"/>
          <w:i w:val="0"/>
          <w:sz w:val="24"/>
          <w:szCs w:val="24"/>
        </w:rPr>
        <w:t xml:space="preserve">; </w:t>
      </w:r>
      <w:r w:rsidRPr="008F6D39">
        <w:rPr>
          <w:rStyle w:val="HTMLCite"/>
          <w:sz w:val="24"/>
          <w:szCs w:val="24"/>
        </w:rPr>
        <w:t>ibid</w:t>
      </w:r>
      <w:r>
        <w:rPr>
          <w:rStyle w:val="HTMLCite"/>
          <w:i w:val="0"/>
          <w:sz w:val="24"/>
          <w:szCs w:val="24"/>
        </w:rPr>
        <w:t xml:space="preserve">., </w:t>
      </w:r>
      <w:r w:rsidRPr="005545FE">
        <w:rPr>
          <w:rStyle w:val="HTMLCite"/>
          <w:i w:val="0"/>
          <w:sz w:val="24"/>
          <w:szCs w:val="24"/>
        </w:rPr>
        <w:t xml:space="preserve">22 </w:t>
      </w:r>
      <w:r w:rsidRPr="00641434">
        <w:rPr>
          <w:rStyle w:val="HTMLCite"/>
          <w:i w:val="0"/>
          <w:sz w:val="24"/>
          <w:szCs w:val="24"/>
        </w:rPr>
        <w:t>February 1982 vol. 18, cc. 686-720.</w:t>
      </w:r>
    </w:p>
  </w:endnote>
  <w:endnote w:id="23">
    <w:p w:rsidR="00507C32" w:rsidRPr="00C45DD7" w:rsidRDefault="00507C32" w:rsidP="0099713E">
      <w:pPr>
        <w:rPr>
          <w:i/>
        </w:rPr>
      </w:pPr>
      <w:r w:rsidRPr="00C45DD7">
        <w:rPr>
          <w:rStyle w:val="EndnoteReference"/>
        </w:rPr>
        <w:endnoteRef/>
      </w:r>
      <w:r w:rsidRPr="00C45DD7">
        <w:t xml:space="preserve"> </w:t>
      </w:r>
      <w:r w:rsidRPr="00C45DD7">
        <w:tab/>
      </w:r>
      <w:r w:rsidRPr="00C45DD7">
        <w:rPr>
          <w:i/>
        </w:rPr>
        <w:t>The Times</w:t>
      </w:r>
      <w:r w:rsidRPr="00C45DD7">
        <w:rPr>
          <w:rStyle w:val="HTMLCite"/>
        </w:rPr>
        <w:t xml:space="preserve"> </w:t>
      </w:r>
      <w:r w:rsidRPr="00C45DD7">
        <w:t>15 July 1981;</w:t>
      </w:r>
      <w:r w:rsidRPr="00C45DD7">
        <w:rPr>
          <w:rStyle w:val="HTMLCite"/>
        </w:rPr>
        <w:t xml:space="preserve"> House of Commons Debates</w:t>
      </w:r>
      <w:r w:rsidRPr="00C45DD7">
        <w:t xml:space="preserve"> </w:t>
      </w:r>
      <w:r w:rsidRPr="00C45DD7">
        <w:rPr>
          <w:rStyle w:val="HTMLCite"/>
          <w:i w:val="0"/>
        </w:rPr>
        <w:t>3 February 1982 vol. 17, c. 370 (Grant), c. 392 (Eyre);</w:t>
      </w:r>
      <w:r w:rsidRPr="00C45DD7">
        <w:rPr>
          <w:rStyle w:val="HTMLCite"/>
        </w:rPr>
        <w:t xml:space="preserve"> </w:t>
      </w:r>
      <w:r>
        <w:rPr>
          <w:rStyle w:val="HTMLCite"/>
        </w:rPr>
        <w:t>ibid.,</w:t>
      </w:r>
      <w:r w:rsidRPr="00C45DD7">
        <w:rPr>
          <w:rStyle w:val="HTMLCite"/>
          <w:i w:val="0"/>
        </w:rPr>
        <w:t xml:space="preserve"> 22 February 1982 vol. 18, c. 697 (Aitken), cc. 688-9 (Bonsor), cc. 712-14 (Grant).  </w:t>
      </w:r>
    </w:p>
  </w:endnote>
  <w:endnote w:id="24">
    <w:p w:rsidR="00507C32" w:rsidRPr="00C45DD7" w:rsidRDefault="00507C32" w:rsidP="001D1FAB">
      <w:pPr>
        <w:pStyle w:val="EndnoteText"/>
        <w:rPr>
          <w:sz w:val="24"/>
          <w:szCs w:val="24"/>
        </w:rPr>
      </w:pPr>
      <w:r w:rsidRPr="00C45DD7">
        <w:rPr>
          <w:rStyle w:val="EndnoteReference"/>
          <w:sz w:val="24"/>
          <w:szCs w:val="24"/>
        </w:rPr>
        <w:endnoteRef/>
      </w:r>
      <w:r w:rsidRPr="00C45DD7">
        <w:rPr>
          <w:sz w:val="24"/>
          <w:szCs w:val="24"/>
        </w:rPr>
        <w:t xml:space="preserve"> </w:t>
      </w:r>
      <w:r w:rsidRPr="00C45DD7">
        <w:rPr>
          <w:sz w:val="24"/>
          <w:szCs w:val="24"/>
        </w:rPr>
        <w:tab/>
        <w:t xml:space="preserve">Eliz. II (1982) chap. xiv (23 July 1982). </w:t>
      </w:r>
    </w:p>
  </w:endnote>
  <w:endnote w:id="25">
    <w:p w:rsidR="00507C32" w:rsidRPr="00C45DD7" w:rsidRDefault="00507C32">
      <w:pPr>
        <w:pStyle w:val="EndnoteText"/>
        <w:rPr>
          <w:sz w:val="24"/>
          <w:szCs w:val="24"/>
        </w:rPr>
      </w:pPr>
      <w:r w:rsidRPr="00C45DD7">
        <w:rPr>
          <w:rStyle w:val="EndnoteReference"/>
          <w:sz w:val="24"/>
          <w:szCs w:val="24"/>
        </w:rPr>
        <w:endnoteRef/>
      </w:r>
      <w:r w:rsidRPr="00C45DD7">
        <w:rPr>
          <w:sz w:val="24"/>
          <w:szCs w:val="24"/>
        </w:rPr>
        <w:t xml:space="preserve"> </w:t>
      </w:r>
      <w:r w:rsidRPr="00C45DD7">
        <w:rPr>
          <w:sz w:val="24"/>
          <w:szCs w:val="24"/>
        </w:rPr>
        <w:tab/>
      </w:r>
      <w:r w:rsidRPr="00C45DD7">
        <w:rPr>
          <w:i/>
          <w:sz w:val="24"/>
          <w:szCs w:val="24"/>
        </w:rPr>
        <w:t>The Times</w:t>
      </w:r>
      <w:r w:rsidRPr="00C45DD7">
        <w:rPr>
          <w:rStyle w:val="HTMLCite"/>
          <w:sz w:val="24"/>
          <w:szCs w:val="24"/>
        </w:rPr>
        <w:t xml:space="preserve"> </w:t>
      </w:r>
      <w:r>
        <w:rPr>
          <w:sz w:val="24"/>
          <w:szCs w:val="24"/>
        </w:rPr>
        <w:t>6</w:t>
      </w:r>
      <w:r w:rsidRPr="00C45DD7">
        <w:rPr>
          <w:sz w:val="24"/>
          <w:szCs w:val="24"/>
        </w:rPr>
        <w:t xml:space="preserve"> January 1983. </w:t>
      </w:r>
    </w:p>
  </w:endnote>
  <w:endnote w:id="26">
    <w:p w:rsidR="00507C32" w:rsidRPr="00C45DD7" w:rsidRDefault="00507C32">
      <w:pPr>
        <w:pStyle w:val="EndnoteText"/>
        <w:rPr>
          <w:sz w:val="24"/>
          <w:szCs w:val="24"/>
        </w:rPr>
      </w:pPr>
      <w:r w:rsidRPr="00C45DD7">
        <w:rPr>
          <w:rStyle w:val="EndnoteReference"/>
          <w:sz w:val="24"/>
          <w:szCs w:val="24"/>
        </w:rPr>
        <w:endnoteRef/>
      </w:r>
      <w:r w:rsidRPr="00C45DD7">
        <w:rPr>
          <w:sz w:val="24"/>
          <w:szCs w:val="24"/>
        </w:rPr>
        <w:t xml:space="preserve"> </w:t>
      </w:r>
      <w:r w:rsidRPr="00C45DD7">
        <w:rPr>
          <w:sz w:val="24"/>
          <w:szCs w:val="24"/>
        </w:rPr>
        <w:tab/>
        <w:t>Davison (1987), pp. 6-7.</w:t>
      </w:r>
    </w:p>
  </w:endnote>
  <w:endnote w:id="27">
    <w:p w:rsidR="00507C32" w:rsidRPr="00B13116" w:rsidRDefault="00507C32" w:rsidP="005E0551">
      <w:r w:rsidRPr="00B13116">
        <w:rPr>
          <w:rStyle w:val="EndnoteReference"/>
        </w:rPr>
        <w:endnoteRef/>
      </w:r>
      <w:r w:rsidRPr="00B13116">
        <w:t xml:space="preserve"> </w:t>
      </w:r>
      <w:r w:rsidRPr="00B13116">
        <w:tab/>
        <w:t xml:space="preserve">Posgate (1932-2017) </w:t>
      </w:r>
      <w:r>
        <w:t>had been</w:t>
      </w:r>
      <w:r w:rsidRPr="00B13116">
        <w:t xml:space="preserve"> elected to the old Lloyd’s committee in 1982 on a ticket of ‘free trade for underwriters’. </w:t>
      </w:r>
      <w:r>
        <w:t>H</w:t>
      </w:r>
      <w:r w:rsidRPr="00B13116">
        <w:t xml:space="preserve">e was reported to </w:t>
      </w:r>
      <w:r>
        <w:t xml:space="preserve">have </w:t>
      </w:r>
      <w:r w:rsidRPr="00B13116">
        <w:t xml:space="preserve">annual </w:t>
      </w:r>
      <w:r>
        <w:t>earnings of</w:t>
      </w:r>
      <w:r w:rsidRPr="00B13116">
        <w:t xml:space="preserve"> £600,000. The </w:t>
      </w:r>
      <w:r>
        <w:t xml:space="preserve">marine </w:t>
      </w:r>
      <w:r w:rsidRPr="00B13116">
        <w:t xml:space="preserve">syndicates that he ran for Howden were the </w:t>
      </w:r>
      <w:r>
        <w:t xml:space="preserve">largest and </w:t>
      </w:r>
      <w:r w:rsidRPr="00B13116">
        <w:t>most successful</w:t>
      </w:r>
      <w:r>
        <w:t xml:space="preserve"> </w:t>
      </w:r>
      <w:r w:rsidRPr="00B13116">
        <w:t>at Lloyd’s</w:t>
      </w:r>
      <w:r>
        <w:t xml:space="preserve">. </w:t>
      </w:r>
      <w:r w:rsidRPr="00B13116">
        <w:rPr>
          <w:i/>
        </w:rPr>
        <w:t>The Times</w:t>
      </w:r>
      <w:r w:rsidRPr="00B13116">
        <w:rPr>
          <w:rStyle w:val="HTMLCite"/>
        </w:rPr>
        <w:t xml:space="preserve"> </w:t>
      </w:r>
      <w:r w:rsidRPr="00B13116">
        <w:t xml:space="preserve">14 January 1982, 12 January 1983. </w:t>
      </w:r>
      <w:r>
        <w:t>O</w:t>
      </w:r>
      <w:r w:rsidRPr="00B13116">
        <w:t xml:space="preserve">bituaries include </w:t>
      </w:r>
      <w:r w:rsidRPr="00B13116">
        <w:rPr>
          <w:i/>
        </w:rPr>
        <w:t xml:space="preserve">The Times </w:t>
      </w:r>
      <w:r w:rsidRPr="00B13116">
        <w:t>3 Aug 2017</w:t>
      </w:r>
      <w:r w:rsidRPr="00B13116">
        <w:rPr>
          <w:i/>
        </w:rPr>
        <w:t xml:space="preserve">, The Telegraph </w:t>
      </w:r>
      <w:r w:rsidRPr="00B13116">
        <w:t>12 July 2017</w:t>
      </w:r>
      <w:r w:rsidRPr="00B13116">
        <w:rPr>
          <w:i/>
        </w:rPr>
        <w:t xml:space="preserve">, The Insurance Post </w:t>
      </w:r>
      <w:r w:rsidRPr="00B13116">
        <w:t>14 July 2017</w:t>
      </w:r>
      <w:r w:rsidRPr="00B13116">
        <w:rPr>
          <w:i/>
        </w:rPr>
        <w:t xml:space="preserve">. </w:t>
      </w:r>
    </w:p>
  </w:endnote>
  <w:endnote w:id="28">
    <w:p w:rsidR="00507C32" w:rsidRPr="00445EC7" w:rsidRDefault="00507C32">
      <w:pPr>
        <w:pStyle w:val="EndnoteText"/>
        <w:rPr>
          <w:sz w:val="24"/>
          <w:szCs w:val="24"/>
        </w:rPr>
      </w:pPr>
      <w:r w:rsidRPr="00445EC7">
        <w:rPr>
          <w:rStyle w:val="EndnoteReference"/>
          <w:sz w:val="24"/>
          <w:szCs w:val="24"/>
        </w:rPr>
        <w:endnoteRef/>
      </w:r>
      <w:r w:rsidRPr="00445EC7">
        <w:rPr>
          <w:sz w:val="24"/>
          <w:szCs w:val="24"/>
        </w:rPr>
        <w:t xml:space="preserve"> </w:t>
      </w:r>
      <w:r w:rsidRPr="00445EC7">
        <w:rPr>
          <w:sz w:val="24"/>
          <w:szCs w:val="24"/>
        </w:rPr>
        <w:tab/>
      </w:r>
      <w:r w:rsidRPr="00445EC7">
        <w:rPr>
          <w:i/>
          <w:sz w:val="24"/>
          <w:szCs w:val="24"/>
        </w:rPr>
        <w:t>The Times</w:t>
      </w:r>
      <w:r w:rsidRPr="00445EC7">
        <w:rPr>
          <w:sz w:val="24"/>
          <w:szCs w:val="24"/>
        </w:rPr>
        <w:t xml:space="preserve"> 12 October 1982. </w:t>
      </w:r>
    </w:p>
  </w:endnote>
  <w:endnote w:id="29">
    <w:p w:rsidR="00507C32" w:rsidRPr="00445EC7" w:rsidRDefault="00507C32">
      <w:pPr>
        <w:pStyle w:val="EndnoteText"/>
        <w:rPr>
          <w:sz w:val="24"/>
          <w:szCs w:val="24"/>
        </w:rPr>
      </w:pPr>
      <w:r w:rsidRPr="00445EC7">
        <w:rPr>
          <w:rStyle w:val="EndnoteReference"/>
          <w:sz w:val="24"/>
          <w:szCs w:val="24"/>
        </w:rPr>
        <w:endnoteRef/>
      </w:r>
      <w:r w:rsidRPr="00445EC7">
        <w:rPr>
          <w:sz w:val="24"/>
          <w:szCs w:val="24"/>
        </w:rPr>
        <w:t xml:space="preserve"> </w:t>
      </w:r>
      <w:r w:rsidRPr="00445EC7">
        <w:rPr>
          <w:sz w:val="24"/>
          <w:szCs w:val="24"/>
        </w:rPr>
        <w:tab/>
      </w:r>
      <w:r w:rsidRPr="00445EC7">
        <w:rPr>
          <w:i/>
          <w:sz w:val="24"/>
          <w:szCs w:val="24"/>
        </w:rPr>
        <w:t xml:space="preserve">The Times </w:t>
      </w:r>
      <w:r w:rsidRPr="00445EC7">
        <w:rPr>
          <w:sz w:val="24"/>
          <w:szCs w:val="24"/>
        </w:rPr>
        <w:t>24 September (editorial), 9 October 1982.</w:t>
      </w:r>
    </w:p>
  </w:endnote>
  <w:endnote w:id="30">
    <w:p w:rsidR="00507C32" w:rsidRPr="00694ED1" w:rsidRDefault="00507C32">
      <w:pPr>
        <w:pStyle w:val="EndnoteText"/>
        <w:rPr>
          <w:sz w:val="24"/>
          <w:szCs w:val="24"/>
        </w:rPr>
      </w:pPr>
      <w:r w:rsidRPr="00694ED1">
        <w:rPr>
          <w:rStyle w:val="EndnoteReference"/>
          <w:sz w:val="24"/>
          <w:szCs w:val="24"/>
        </w:rPr>
        <w:endnoteRef/>
      </w:r>
      <w:r w:rsidRPr="00694ED1">
        <w:rPr>
          <w:sz w:val="24"/>
          <w:szCs w:val="24"/>
        </w:rPr>
        <w:t xml:space="preserve"> </w:t>
      </w:r>
      <w:r w:rsidRPr="00694ED1">
        <w:rPr>
          <w:sz w:val="24"/>
          <w:szCs w:val="24"/>
        </w:rPr>
        <w:tab/>
        <w:t xml:space="preserve">This can be followed in </w:t>
      </w:r>
      <w:r w:rsidRPr="00694ED1">
        <w:rPr>
          <w:i/>
          <w:sz w:val="24"/>
          <w:szCs w:val="24"/>
        </w:rPr>
        <w:t xml:space="preserve">The Times </w:t>
      </w:r>
      <w:r w:rsidRPr="00694ED1">
        <w:rPr>
          <w:sz w:val="24"/>
          <w:szCs w:val="24"/>
        </w:rPr>
        <w:t>12 January, 27 January, 7 February, 8 February, 1 March, 22 March, 15 December 1983. In 1985 Lloyd’s reprimanded Posgate for ‘discreditable conduct’ and ‘negligence’</w:t>
      </w:r>
      <w:r>
        <w:rPr>
          <w:sz w:val="24"/>
          <w:szCs w:val="24"/>
        </w:rPr>
        <w:t xml:space="preserve"> </w:t>
      </w:r>
      <w:r w:rsidRPr="00694ED1">
        <w:rPr>
          <w:sz w:val="24"/>
          <w:szCs w:val="24"/>
        </w:rPr>
        <w:t>and expel</w:t>
      </w:r>
      <w:r>
        <w:rPr>
          <w:sz w:val="24"/>
          <w:szCs w:val="24"/>
        </w:rPr>
        <w:t>led</w:t>
      </w:r>
      <w:r w:rsidRPr="00694ED1">
        <w:rPr>
          <w:sz w:val="24"/>
          <w:szCs w:val="24"/>
        </w:rPr>
        <w:t xml:space="preserve"> him for life, but upon appeal this was reduced to another temporary suspension.</w:t>
      </w:r>
      <w:r w:rsidRPr="00694ED1">
        <w:rPr>
          <w:i/>
          <w:sz w:val="24"/>
          <w:szCs w:val="24"/>
        </w:rPr>
        <w:t xml:space="preserve"> The </w:t>
      </w:r>
      <w:r w:rsidRPr="00694ED1">
        <w:rPr>
          <w:i/>
          <w:color w:val="000000"/>
          <w:sz w:val="24"/>
          <w:szCs w:val="24"/>
        </w:rPr>
        <w:t>Guardian</w:t>
      </w:r>
      <w:r w:rsidRPr="00694ED1">
        <w:rPr>
          <w:color w:val="000000"/>
          <w:sz w:val="24"/>
          <w:szCs w:val="24"/>
        </w:rPr>
        <w:t xml:space="preserve"> 13 February, 9 May, 10 May, 10 July 1985, 15 January 1986</w:t>
      </w:r>
    </w:p>
  </w:endnote>
  <w:endnote w:id="31">
    <w:p w:rsidR="00507C32" w:rsidRPr="001300BB" w:rsidRDefault="00507C32">
      <w:pPr>
        <w:pStyle w:val="EndnoteText"/>
        <w:rPr>
          <w:sz w:val="24"/>
          <w:szCs w:val="24"/>
        </w:rPr>
      </w:pPr>
      <w:r w:rsidRPr="001300BB">
        <w:rPr>
          <w:rStyle w:val="EndnoteReference"/>
          <w:sz w:val="24"/>
          <w:szCs w:val="24"/>
        </w:rPr>
        <w:endnoteRef/>
      </w:r>
      <w:r w:rsidRPr="001300BB">
        <w:rPr>
          <w:sz w:val="24"/>
          <w:szCs w:val="24"/>
        </w:rPr>
        <w:t xml:space="preserve"> </w:t>
      </w:r>
      <w:r w:rsidRPr="001300BB">
        <w:rPr>
          <w:sz w:val="24"/>
          <w:szCs w:val="24"/>
        </w:rPr>
        <w:tab/>
        <w:t xml:space="preserve">On the DTI inquiry and the 72 charges levied against Posgate and the </w:t>
      </w:r>
      <w:r>
        <w:rPr>
          <w:sz w:val="24"/>
          <w:szCs w:val="24"/>
        </w:rPr>
        <w:t xml:space="preserve">Howden </w:t>
      </w:r>
      <w:r w:rsidRPr="001300BB">
        <w:rPr>
          <w:sz w:val="24"/>
          <w:szCs w:val="24"/>
        </w:rPr>
        <w:t>‘gang of four’</w:t>
      </w:r>
      <w:r>
        <w:rPr>
          <w:sz w:val="24"/>
          <w:szCs w:val="24"/>
        </w:rPr>
        <w:t>,</w:t>
      </w:r>
      <w:r w:rsidRPr="001300BB">
        <w:rPr>
          <w:sz w:val="24"/>
          <w:szCs w:val="24"/>
        </w:rPr>
        <w:t xml:space="preserve"> see </w:t>
      </w:r>
      <w:r w:rsidRPr="001300BB">
        <w:rPr>
          <w:i/>
          <w:sz w:val="24"/>
          <w:szCs w:val="24"/>
        </w:rPr>
        <w:t>The Guardian</w:t>
      </w:r>
      <w:r w:rsidRPr="001300BB">
        <w:rPr>
          <w:sz w:val="24"/>
          <w:szCs w:val="24"/>
        </w:rPr>
        <w:t xml:space="preserve"> 7 June, 3 September 1988, 30 August 1990. </w:t>
      </w:r>
    </w:p>
  </w:endnote>
  <w:endnote w:id="32">
    <w:p w:rsidR="00507C32" w:rsidRPr="00B80DB9" w:rsidRDefault="00507C32">
      <w:pPr>
        <w:pStyle w:val="EndnoteText"/>
        <w:rPr>
          <w:sz w:val="24"/>
          <w:szCs w:val="24"/>
        </w:rPr>
      </w:pPr>
      <w:r w:rsidRPr="00B80DB9">
        <w:rPr>
          <w:rStyle w:val="EndnoteReference"/>
          <w:sz w:val="24"/>
          <w:szCs w:val="24"/>
        </w:rPr>
        <w:endnoteRef/>
      </w:r>
      <w:r w:rsidRPr="00B80DB9">
        <w:rPr>
          <w:sz w:val="24"/>
          <w:szCs w:val="24"/>
        </w:rPr>
        <w:t xml:space="preserve"> </w:t>
      </w:r>
      <w:r w:rsidRPr="00B80DB9">
        <w:rPr>
          <w:sz w:val="24"/>
          <w:szCs w:val="24"/>
        </w:rPr>
        <w:tab/>
      </w:r>
      <w:r w:rsidRPr="00B80DB9">
        <w:rPr>
          <w:i/>
          <w:sz w:val="24"/>
          <w:szCs w:val="24"/>
        </w:rPr>
        <w:t xml:space="preserve">The Times </w:t>
      </w:r>
      <w:r w:rsidRPr="00B80DB9">
        <w:rPr>
          <w:sz w:val="24"/>
          <w:szCs w:val="24"/>
        </w:rPr>
        <w:t xml:space="preserve">21 April, 9 August 1983; </w:t>
      </w:r>
      <w:r w:rsidRPr="00B80DB9">
        <w:rPr>
          <w:i/>
          <w:sz w:val="24"/>
          <w:szCs w:val="24"/>
        </w:rPr>
        <w:t xml:space="preserve">The </w:t>
      </w:r>
      <w:r w:rsidRPr="00B80DB9">
        <w:rPr>
          <w:i/>
          <w:color w:val="000000"/>
          <w:sz w:val="24"/>
          <w:szCs w:val="24"/>
        </w:rPr>
        <w:t>Guardian</w:t>
      </w:r>
      <w:r w:rsidRPr="00B80DB9">
        <w:rPr>
          <w:color w:val="000000"/>
          <w:sz w:val="24"/>
          <w:szCs w:val="24"/>
        </w:rPr>
        <w:t xml:space="preserve"> 27 June 1985. </w:t>
      </w:r>
    </w:p>
  </w:endnote>
  <w:endnote w:id="33">
    <w:p w:rsidR="00507C32" w:rsidRPr="00DE44C8" w:rsidRDefault="00507C32">
      <w:pPr>
        <w:pStyle w:val="EndnoteText"/>
        <w:rPr>
          <w:sz w:val="24"/>
          <w:szCs w:val="24"/>
        </w:rPr>
      </w:pPr>
      <w:r w:rsidRPr="00DE44C8">
        <w:rPr>
          <w:rStyle w:val="EndnoteReference"/>
          <w:sz w:val="24"/>
          <w:szCs w:val="24"/>
        </w:rPr>
        <w:endnoteRef/>
      </w:r>
      <w:r w:rsidRPr="00DE44C8">
        <w:rPr>
          <w:sz w:val="24"/>
          <w:szCs w:val="24"/>
        </w:rPr>
        <w:t xml:space="preserve"> </w:t>
      </w:r>
      <w:r w:rsidRPr="00DE44C8">
        <w:rPr>
          <w:sz w:val="24"/>
          <w:szCs w:val="24"/>
        </w:rPr>
        <w:tab/>
      </w:r>
      <w:r w:rsidRPr="00DE44C8">
        <w:rPr>
          <w:i/>
          <w:sz w:val="24"/>
          <w:szCs w:val="24"/>
        </w:rPr>
        <w:t xml:space="preserve">The </w:t>
      </w:r>
      <w:r w:rsidRPr="00DE44C8">
        <w:rPr>
          <w:i/>
          <w:color w:val="000000"/>
          <w:sz w:val="24"/>
          <w:szCs w:val="24"/>
        </w:rPr>
        <w:t>Guardian</w:t>
      </w:r>
      <w:r w:rsidRPr="00DE44C8">
        <w:rPr>
          <w:sz w:val="24"/>
          <w:szCs w:val="24"/>
        </w:rPr>
        <w:t xml:space="preserve"> 16 July 1984.</w:t>
      </w:r>
    </w:p>
  </w:endnote>
  <w:endnote w:id="34">
    <w:p w:rsidR="00507C32" w:rsidRPr="00B71977" w:rsidRDefault="00507C32">
      <w:pPr>
        <w:pStyle w:val="EndnoteText"/>
        <w:rPr>
          <w:sz w:val="24"/>
          <w:szCs w:val="24"/>
        </w:rPr>
      </w:pPr>
      <w:r w:rsidRPr="00B71977">
        <w:rPr>
          <w:rStyle w:val="EndnoteReference"/>
          <w:sz w:val="24"/>
          <w:szCs w:val="24"/>
        </w:rPr>
        <w:endnoteRef/>
      </w:r>
      <w:r w:rsidRPr="00B71977">
        <w:rPr>
          <w:sz w:val="24"/>
          <w:szCs w:val="24"/>
        </w:rPr>
        <w:t xml:space="preserve"> </w:t>
      </w:r>
      <w:r w:rsidRPr="00B71977">
        <w:rPr>
          <w:sz w:val="24"/>
          <w:szCs w:val="24"/>
        </w:rPr>
        <w:tab/>
      </w:r>
      <w:r w:rsidRPr="00B71977">
        <w:rPr>
          <w:i/>
          <w:sz w:val="24"/>
          <w:szCs w:val="24"/>
        </w:rPr>
        <w:t xml:space="preserve">The </w:t>
      </w:r>
      <w:r w:rsidRPr="00B71977">
        <w:rPr>
          <w:i/>
          <w:color w:val="000000"/>
          <w:sz w:val="24"/>
          <w:szCs w:val="24"/>
        </w:rPr>
        <w:t>Guardian</w:t>
      </w:r>
      <w:r w:rsidRPr="00B71977">
        <w:rPr>
          <w:sz w:val="24"/>
          <w:szCs w:val="24"/>
        </w:rPr>
        <w:t xml:space="preserve"> </w:t>
      </w:r>
      <w:r w:rsidRPr="00B71977">
        <w:rPr>
          <w:color w:val="000000"/>
          <w:sz w:val="24"/>
          <w:szCs w:val="24"/>
        </w:rPr>
        <w:t xml:space="preserve">14 May 1985; </w:t>
      </w:r>
      <w:r w:rsidRPr="00B71977">
        <w:rPr>
          <w:i/>
          <w:sz w:val="24"/>
          <w:szCs w:val="24"/>
        </w:rPr>
        <w:t xml:space="preserve">The Times </w:t>
      </w:r>
      <w:r w:rsidRPr="00B71977">
        <w:rPr>
          <w:color w:val="000000"/>
          <w:sz w:val="24"/>
          <w:szCs w:val="24"/>
        </w:rPr>
        <w:t>14 May, 18 May 1985.</w:t>
      </w:r>
    </w:p>
  </w:endnote>
  <w:endnote w:id="35">
    <w:p w:rsidR="00507C32" w:rsidRPr="00E0715C" w:rsidRDefault="00507C32">
      <w:pPr>
        <w:pStyle w:val="EndnoteText"/>
        <w:rPr>
          <w:i/>
          <w:sz w:val="24"/>
          <w:szCs w:val="24"/>
        </w:rPr>
      </w:pPr>
      <w:r w:rsidRPr="00E0715C">
        <w:rPr>
          <w:rStyle w:val="EndnoteReference"/>
          <w:sz w:val="24"/>
          <w:szCs w:val="24"/>
        </w:rPr>
        <w:endnoteRef/>
      </w:r>
      <w:r w:rsidRPr="00E0715C">
        <w:rPr>
          <w:sz w:val="24"/>
          <w:szCs w:val="24"/>
        </w:rPr>
        <w:t xml:space="preserve"> </w:t>
      </w:r>
      <w:r w:rsidRPr="00E0715C">
        <w:rPr>
          <w:sz w:val="24"/>
          <w:szCs w:val="24"/>
        </w:rPr>
        <w:tab/>
      </w:r>
      <w:r w:rsidRPr="00E0715C">
        <w:rPr>
          <w:i/>
          <w:sz w:val="24"/>
          <w:szCs w:val="24"/>
        </w:rPr>
        <w:t xml:space="preserve">The </w:t>
      </w:r>
      <w:r w:rsidRPr="00E0715C">
        <w:rPr>
          <w:i/>
          <w:color w:val="000000"/>
          <w:sz w:val="24"/>
          <w:szCs w:val="24"/>
        </w:rPr>
        <w:t>Guardian</w:t>
      </w:r>
      <w:r w:rsidRPr="00E0715C">
        <w:rPr>
          <w:sz w:val="24"/>
          <w:szCs w:val="24"/>
        </w:rPr>
        <w:t xml:space="preserve"> 17 July, 29 July 1985; </w:t>
      </w:r>
      <w:r w:rsidRPr="00E0715C">
        <w:rPr>
          <w:rStyle w:val="HTMLCite"/>
          <w:sz w:val="24"/>
          <w:szCs w:val="24"/>
        </w:rPr>
        <w:t>House of Commons Debates</w:t>
      </w:r>
      <w:r w:rsidRPr="00E0715C">
        <w:rPr>
          <w:rStyle w:val="HTMLCite"/>
          <w:i w:val="0"/>
          <w:sz w:val="24"/>
          <w:szCs w:val="24"/>
        </w:rPr>
        <w:t xml:space="preserve"> 16 July 1985 vol. 83, cc. 289-96.</w:t>
      </w:r>
    </w:p>
  </w:endnote>
  <w:endnote w:id="36">
    <w:p w:rsidR="00507C32" w:rsidRPr="00E0715C" w:rsidRDefault="00507C32">
      <w:pPr>
        <w:pStyle w:val="EndnoteText"/>
        <w:rPr>
          <w:sz w:val="24"/>
          <w:szCs w:val="24"/>
        </w:rPr>
      </w:pPr>
      <w:r w:rsidRPr="00E0715C">
        <w:rPr>
          <w:rStyle w:val="EndnoteReference"/>
          <w:sz w:val="24"/>
          <w:szCs w:val="24"/>
        </w:rPr>
        <w:endnoteRef/>
      </w:r>
      <w:r w:rsidRPr="00E0715C">
        <w:rPr>
          <w:sz w:val="24"/>
          <w:szCs w:val="24"/>
        </w:rPr>
        <w:t xml:space="preserve"> </w:t>
      </w:r>
      <w:r w:rsidRPr="00E0715C">
        <w:rPr>
          <w:sz w:val="24"/>
          <w:szCs w:val="24"/>
        </w:rPr>
        <w:tab/>
        <w:t xml:space="preserve">Dixon had spent £6 million on a villa in the south of France, £1.7 million on investing in films, and had filched £1.6 million as petty cash. Other monies went into a diamond syndicate, a Spanish orange juice company, a yacht, an aeroplane and real estate, all charged to the PCW syndicates. </w:t>
      </w:r>
      <w:r w:rsidRPr="00E0715C">
        <w:rPr>
          <w:i/>
          <w:sz w:val="24"/>
          <w:szCs w:val="24"/>
        </w:rPr>
        <w:t xml:space="preserve">The </w:t>
      </w:r>
      <w:r w:rsidRPr="00E0715C">
        <w:rPr>
          <w:i/>
          <w:color w:val="000000"/>
          <w:sz w:val="24"/>
          <w:szCs w:val="24"/>
        </w:rPr>
        <w:t>Guardian</w:t>
      </w:r>
      <w:r w:rsidRPr="00E0715C">
        <w:rPr>
          <w:sz w:val="24"/>
          <w:szCs w:val="24"/>
        </w:rPr>
        <w:t xml:space="preserve"> 13 November 1985.</w:t>
      </w:r>
    </w:p>
  </w:endnote>
  <w:endnote w:id="37">
    <w:p w:rsidR="00507C32" w:rsidRPr="00327CBB" w:rsidRDefault="00507C32">
      <w:pPr>
        <w:pStyle w:val="EndnoteText"/>
        <w:rPr>
          <w:sz w:val="24"/>
          <w:szCs w:val="24"/>
        </w:rPr>
      </w:pPr>
      <w:r w:rsidRPr="00E0715C">
        <w:rPr>
          <w:rStyle w:val="EndnoteReference"/>
          <w:sz w:val="24"/>
          <w:szCs w:val="24"/>
        </w:rPr>
        <w:endnoteRef/>
      </w:r>
      <w:r w:rsidRPr="00E0715C">
        <w:rPr>
          <w:sz w:val="24"/>
          <w:szCs w:val="24"/>
        </w:rPr>
        <w:t xml:space="preserve"> </w:t>
      </w:r>
      <w:r w:rsidRPr="00E0715C">
        <w:rPr>
          <w:sz w:val="24"/>
          <w:szCs w:val="24"/>
        </w:rPr>
        <w:tab/>
      </w:r>
      <w:r w:rsidRPr="00E0715C">
        <w:rPr>
          <w:i/>
          <w:sz w:val="24"/>
          <w:szCs w:val="24"/>
        </w:rPr>
        <w:t xml:space="preserve">The </w:t>
      </w:r>
      <w:r w:rsidRPr="00E0715C">
        <w:rPr>
          <w:i/>
          <w:color w:val="000000"/>
          <w:sz w:val="24"/>
          <w:szCs w:val="24"/>
        </w:rPr>
        <w:t>Guardian</w:t>
      </w:r>
      <w:r w:rsidRPr="00327CBB">
        <w:rPr>
          <w:sz w:val="24"/>
          <w:szCs w:val="24"/>
        </w:rPr>
        <w:t xml:space="preserve"> </w:t>
      </w:r>
      <w:r w:rsidRPr="000D709E">
        <w:rPr>
          <w:sz w:val="24"/>
          <w:szCs w:val="24"/>
        </w:rPr>
        <w:t>14</w:t>
      </w:r>
      <w:r>
        <w:rPr>
          <w:sz w:val="24"/>
          <w:szCs w:val="24"/>
        </w:rPr>
        <w:t xml:space="preserve"> January, </w:t>
      </w:r>
      <w:r w:rsidRPr="00327CBB">
        <w:rPr>
          <w:sz w:val="24"/>
          <w:szCs w:val="24"/>
        </w:rPr>
        <w:t>17 July 1986.</w:t>
      </w:r>
      <w:r>
        <w:rPr>
          <w:sz w:val="24"/>
          <w:szCs w:val="24"/>
        </w:rPr>
        <w:t xml:space="preserve"> Cameron-Webb died in California in 2004.</w:t>
      </w:r>
    </w:p>
  </w:endnote>
  <w:endnote w:id="38">
    <w:p w:rsidR="00507C32" w:rsidRPr="0087426A" w:rsidRDefault="00507C32" w:rsidP="00865AFD">
      <w:r w:rsidRPr="0087426A">
        <w:rPr>
          <w:rStyle w:val="EndnoteReference"/>
        </w:rPr>
        <w:endnoteRef/>
      </w:r>
      <w:r w:rsidRPr="0087426A">
        <w:t xml:space="preserve"> </w:t>
      </w:r>
      <w:r w:rsidRPr="0087426A">
        <w:tab/>
      </w:r>
      <w:r w:rsidRPr="0087426A">
        <w:rPr>
          <w:i/>
        </w:rPr>
        <w:t>The Economist</w:t>
      </w:r>
      <w:r w:rsidRPr="0087426A">
        <w:t xml:space="preserve"> 29 June 1991.</w:t>
      </w:r>
    </w:p>
  </w:endnote>
  <w:endnote w:id="39">
    <w:p w:rsidR="00507C32" w:rsidRPr="0087426A" w:rsidRDefault="00507C32">
      <w:pPr>
        <w:pStyle w:val="EndnoteText"/>
        <w:rPr>
          <w:sz w:val="24"/>
          <w:szCs w:val="24"/>
        </w:rPr>
      </w:pPr>
      <w:r w:rsidRPr="0087426A">
        <w:rPr>
          <w:rStyle w:val="EndnoteReference"/>
          <w:sz w:val="24"/>
          <w:szCs w:val="24"/>
        </w:rPr>
        <w:endnoteRef/>
      </w:r>
      <w:r w:rsidRPr="0087426A">
        <w:rPr>
          <w:sz w:val="24"/>
          <w:szCs w:val="24"/>
        </w:rPr>
        <w:t xml:space="preserve"> </w:t>
      </w:r>
      <w:r w:rsidRPr="0087426A">
        <w:rPr>
          <w:sz w:val="24"/>
          <w:szCs w:val="24"/>
        </w:rPr>
        <w:tab/>
      </w:r>
      <w:r w:rsidRPr="0087426A">
        <w:rPr>
          <w:i/>
          <w:sz w:val="24"/>
          <w:szCs w:val="24"/>
        </w:rPr>
        <w:t xml:space="preserve">The Economist </w:t>
      </w:r>
      <w:r w:rsidRPr="0087426A">
        <w:rPr>
          <w:sz w:val="24"/>
          <w:szCs w:val="24"/>
        </w:rPr>
        <w:t xml:space="preserve">15 February 1992. </w:t>
      </w:r>
    </w:p>
  </w:endnote>
  <w:endnote w:id="40">
    <w:p w:rsidR="00507C32" w:rsidRPr="003061DB" w:rsidRDefault="00507C32" w:rsidP="0087426A">
      <w:pPr>
        <w:pStyle w:val="EndnoteText"/>
        <w:rPr>
          <w:sz w:val="24"/>
          <w:szCs w:val="24"/>
        </w:rPr>
      </w:pPr>
      <w:r w:rsidRPr="003061DB">
        <w:rPr>
          <w:rStyle w:val="EndnoteReference"/>
          <w:sz w:val="24"/>
          <w:szCs w:val="24"/>
        </w:rPr>
        <w:endnoteRef/>
      </w:r>
      <w:r w:rsidRPr="003061DB">
        <w:rPr>
          <w:sz w:val="24"/>
          <w:szCs w:val="24"/>
        </w:rPr>
        <w:t xml:space="preserve"> </w:t>
      </w:r>
      <w:r w:rsidRPr="003061DB">
        <w:rPr>
          <w:sz w:val="24"/>
          <w:szCs w:val="24"/>
        </w:rPr>
        <w:tab/>
      </w:r>
      <w:r w:rsidRPr="003061DB">
        <w:rPr>
          <w:i/>
          <w:sz w:val="24"/>
          <w:szCs w:val="24"/>
        </w:rPr>
        <w:t xml:space="preserve">The </w:t>
      </w:r>
      <w:r w:rsidRPr="003061DB">
        <w:rPr>
          <w:i/>
          <w:color w:val="000000"/>
          <w:sz w:val="24"/>
          <w:szCs w:val="24"/>
        </w:rPr>
        <w:t>Guardian</w:t>
      </w:r>
      <w:r w:rsidRPr="003061DB">
        <w:rPr>
          <w:sz w:val="24"/>
          <w:szCs w:val="24"/>
        </w:rPr>
        <w:t xml:space="preserve"> 17 June 1988, 8 Octobe</w:t>
      </w:r>
      <w:r>
        <w:rPr>
          <w:sz w:val="24"/>
          <w:szCs w:val="24"/>
        </w:rPr>
        <w:t>r 1991, 13 January 1992.</w:t>
      </w:r>
    </w:p>
  </w:endnote>
  <w:endnote w:id="41">
    <w:p w:rsidR="00507C32" w:rsidRPr="00A846DE" w:rsidRDefault="00507C32">
      <w:pPr>
        <w:pStyle w:val="EndnoteText"/>
        <w:rPr>
          <w:sz w:val="24"/>
          <w:szCs w:val="24"/>
        </w:rPr>
      </w:pPr>
      <w:r w:rsidRPr="00A846DE">
        <w:rPr>
          <w:rStyle w:val="EndnoteReference"/>
          <w:sz w:val="24"/>
          <w:szCs w:val="24"/>
        </w:rPr>
        <w:endnoteRef/>
      </w:r>
      <w:r w:rsidRPr="00A846DE">
        <w:rPr>
          <w:sz w:val="24"/>
          <w:szCs w:val="24"/>
        </w:rPr>
        <w:t xml:space="preserve"> </w:t>
      </w:r>
      <w:r w:rsidRPr="00A846DE">
        <w:rPr>
          <w:sz w:val="24"/>
          <w:szCs w:val="24"/>
        </w:rPr>
        <w:tab/>
      </w:r>
      <w:r w:rsidRPr="00A846DE">
        <w:rPr>
          <w:i/>
          <w:sz w:val="24"/>
          <w:szCs w:val="24"/>
        </w:rPr>
        <w:t xml:space="preserve">The </w:t>
      </w:r>
      <w:r w:rsidRPr="00A846DE">
        <w:rPr>
          <w:i/>
          <w:color w:val="000000"/>
          <w:sz w:val="24"/>
          <w:szCs w:val="24"/>
        </w:rPr>
        <w:t>Guardian</w:t>
      </w:r>
      <w:r w:rsidRPr="00A846DE">
        <w:rPr>
          <w:sz w:val="24"/>
          <w:szCs w:val="24"/>
        </w:rPr>
        <w:t xml:space="preserve"> 23 February 1990, </w:t>
      </w:r>
      <w:r w:rsidRPr="00A846DE">
        <w:rPr>
          <w:color w:val="000000"/>
          <w:sz w:val="24"/>
          <w:szCs w:val="24"/>
        </w:rPr>
        <w:t xml:space="preserve">29 March, </w:t>
      </w:r>
      <w:r w:rsidRPr="00A846DE">
        <w:rPr>
          <w:sz w:val="24"/>
          <w:szCs w:val="24"/>
        </w:rPr>
        <w:t xml:space="preserve">3 September 1991; </w:t>
      </w:r>
      <w:r w:rsidRPr="00A846DE">
        <w:rPr>
          <w:i/>
          <w:sz w:val="24"/>
          <w:szCs w:val="24"/>
        </w:rPr>
        <w:t xml:space="preserve">The Economist </w:t>
      </w:r>
      <w:r w:rsidRPr="00A846DE">
        <w:rPr>
          <w:sz w:val="24"/>
          <w:szCs w:val="24"/>
        </w:rPr>
        <w:t>19 October 1991.</w:t>
      </w:r>
    </w:p>
  </w:endnote>
  <w:endnote w:id="42">
    <w:p w:rsidR="00507C32" w:rsidRPr="00A846DE" w:rsidRDefault="00507C32">
      <w:pPr>
        <w:pStyle w:val="EndnoteText"/>
        <w:rPr>
          <w:sz w:val="24"/>
          <w:szCs w:val="24"/>
        </w:rPr>
      </w:pPr>
      <w:r w:rsidRPr="00A846DE">
        <w:rPr>
          <w:rStyle w:val="EndnoteReference"/>
          <w:sz w:val="24"/>
          <w:szCs w:val="24"/>
        </w:rPr>
        <w:endnoteRef/>
      </w:r>
      <w:r w:rsidRPr="00A846DE">
        <w:rPr>
          <w:sz w:val="24"/>
          <w:szCs w:val="24"/>
        </w:rPr>
        <w:t xml:space="preserve"> </w:t>
      </w:r>
      <w:r w:rsidRPr="00A846DE">
        <w:rPr>
          <w:sz w:val="24"/>
          <w:szCs w:val="24"/>
        </w:rPr>
        <w:tab/>
        <w:t xml:space="preserve">Ironically the E&amp;O policies had been purchased from other Lloyd’s syndicates, whose names included some of those involved in the Outhwaite suit, and who thus ended up paying for part of their own settlement. </w:t>
      </w:r>
      <w:r w:rsidRPr="00A846DE">
        <w:rPr>
          <w:i/>
          <w:sz w:val="24"/>
          <w:szCs w:val="24"/>
        </w:rPr>
        <w:t>The Economist</w:t>
      </w:r>
      <w:r w:rsidRPr="00A846DE">
        <w:rPr>
          <w:sz w:val="24"/>
          <w:szCs w:val="24"/>
        </w:rPr>
        <w:t xml:space="preserve"> 15 February 1992; </w:t>
      </w:r>
      <w:r w:rsidRPr="00A846DE">
        <w:rPr>
          <w:i/>
          <w:sz w:val="24"/>
          <w:szCs w:val="24"/>
        </w:rPr>
        <w:t xml:space="preserve">The </w:t>
      </w:r>
      <w:r w:rsidRPr="00A846DE">
        <w:rPr>
          <w:i/>
          <w:color w:val="000000"/>
          <w:sz w:val="24"/>
          <w:szCs w:val="24"/>
        </w:rPr>
        <w:t>Guardian</w:t>
      </w:r>
      <w:r w:rsidRPr="00A846DE">
        <w:rPr>
          <w:color w:val="000000"/>
          <w:sz w:val="24"/>
          <w:szCs w:val="24"/>
        </w:rPr>
        <w:t xml:space="preserve"> 25 February 1992.</w:t>
      </w:r>
      <w:r w:rsidRPr="00A846DE">
        <w:rPr>
          <w:sz w:val="24"/>
          <w:szCs w:val="24"/>
        </w:rPr>
        <w:t xml:space="preserve"> </w:t>
      </w:r>
    </w:p>
  </w:endnote>
  <w:endnote w:id="43">
    <w:p w:rsidR="00507C32" w:rsidRPr="00A846DE" w:rsidRDefault="00507C32">
      <w:pPr>
        <w:pStyle w:val="EndnoteText"/>
        <w:rPr>
          <w:sz w:val="24"/>
          <w:szCs w:val="24"/>
        </w:rPr>
      </w:pPr>
      <w:r w:rsidRPr="00A846DE">
        <w:rPr>
          <w:rStyle w:val="EndnoteReference"/>
          <w:sz w:val="24"/>
          <w:szCs w:val="24"/>
        </w:rPr>
        <w:endnoteRef/>
      </w:r>
      <w:r w:rsidRPr="00A846DE">
        <w:rPr>
          <w:sz w:val="24"/>
          <w:szCs w:val="24"/>
        </w:rPr>
        <w:t xml:space="preserve"> </w:t>
      </w:r>
      <w:r w:rsidRPr="00A846DE">
        <w:rPr>
          <w:sz w:val="24"/>
          <w:szCs w:val="24"/>
        </w:rPr>
        <w:tab/>
      </w:r>
      <w:r w:rsidRPr="00A846DE">
        <w:rPr>
          <w:i/>
          <w:sz w:val="24"/>
          <w:szCs w:val="24"/>
        </w:rPr>
        <w:t xml:space="preserve">The Economist </w:t>
      </w:r>
      <w:r w:rsidRPr="00A846DE">
        <w:rPr>
          <w:sz w:val="24"/>
          <w:szCs w:val="24"/>
        </w:rPr>
        <w:t xml:space="preserve">26 January 1991. </w:t>
      </w:r>
    </w:p>
  </w:endnote>
  <w:endnote w:id="44">
    <w:p w:rsidR="00507C32" w:rsidRPr="00217B67" w:rsidRDefault="00507C32">
      <w:pPr>
        <w:pStyle w:val="EndnoteText"/>
        <w:rPr>
          <w:sz w:val="24"/>
          <w:szCs w:val="24"/>
        </w:rPr>
      </w:pPr>
      <w:r w:rsidRPr="00217B67">
        <w:rPr>
          <w:rStyle w:val="EndnoteReference"/>
          <w:sz w:val="24"/>
          <w:szCs w:val="24"/>
        </w:rPr>
        <w:endnoteRef/>
      </w:r>
      <w:r w:rsidRPr="00217B67">
        <w:rPr>
          <w:sz w:val="24"/>
          <w:szCs w:val="24"/>
        </w:rPr>
        <w:t xml:space="preserve"> </w:t>
      </w:r>
      <w:r w:rsidRPr="00217B67">
        <w:rPr>
          <w:sz w:val="24"/>
          <w:szCs w:val="24"/>
        </w:rPr>
        <w:tab/>
      </w:r>
      <w:r w:rsidRPr="00217B67">
        <w:rPr>
          <w:i/>
          <w:sz w:val="24"/>
          <w:szCs w:val="24"/>
        </w:rPr>
        <w:t>The Economist</w:t>
      </w:r>
      <w:r w:rsidRPr="00217B67">
        <w:rPr>
          <w:sz w:val="24"/>
          <w:szCs w:val="24"/>
        </w:rPr>
        <w:t xml:space="preserve"> 11 May 1991.</w:t>
      </w:r>
    </w:p>
  </w:endnote>
  <w:endnote w:id="45">
    <w:p w:rsidR="00507C32" w:rsidRPr="00217B67" w:rsidRDefault="00507C32">
      <w:pPr>
        <w:pStyle w:val="EndnoteText"/>
        <w:rPr>
          <w:sz w:val="24"/>
          <w:szCs w:val="24"/>
        </w:rPr>
      </w:pPr>
      <w:r w:rsidRPr="00217B67">
        <w:rPr>
          <w:rStyle w:val="EndnoteReference"/>
          <w:sz w:val="24"/>
          <w:szCs w:val="24"/>
        </w:rPr>
        <w:endnoteRef/>
      </w:r>
      <w:r w:rsidRPr="00217B67">
        <w:rPr>
          <w:sz w:val="24"/>
          <w:szCs w:val="24"/>
        </w:rPr>
        <w:t xml:space="preserve"> </w:t>
      </w:r>
      <w:r w:rsidRPr="00217B67">
        <w:rPr>
          <w:sz w:val="24"/>
          <w:szCs w:val="24"/>
        </w:rPr>
        <w:tab/>
        <w:t>Southerst (1992).</w:t>
      </w:r>
    </w:p>
  </w:endnote>
  <w:endnote w:id="46">
    <w:p w:rsidR="00507C32" w:rsidRPr="00847AEE" w:rsidRDefault="00507C32" w:rsidP="00CA67AC">
      <w:pPr>
        <w:pStyle w:val="EndnoteText"/>
        <w:rPr>
          <w:sz w:val="24"/>
          <w:szCs w:val="24"/>
        </w:rPr>
      </w:pPr>
      <w:r w:rsidRPr="00847AEE">
        <w:rPr>
          <w:rStyle w:val="EndnoteReference"/>
          <w:sz w:val="24"/>
          <w:szCs w:val="24"/>
        </w:rPr>
        <w:endnoteRef/>
      </w:r>
      <w:r w:rsidRPr="00847AEE">
        <w:rPr>
          <w:sz w:val="24"/>
          <w:szCs w:val="24"/>
        </w:rPr>
        <w:t xml:space="preserve"> </w:t>
      </w:r>
      <w:r w:rsidRPr="00847AEE">
        <w:rPr>
          <w:sz w:val="24"/>
          <w:szCs w:val="24"/>
        </w:rPr>
        <w:tab/>
      </w:r>
      <w:r w:rsidRPr="00847AEE">
        <w:rPr>
          <w:i/>
          <w:sz w:val="24"/>
          <w:szCs w:val="24"/>
        </w:rPr>
        <w:t xml:space="preserve">The </w:t>
      </w:r>
      <w:r w:rsidRPr="00847AEE">
        <w:rPr>
          <w:i/>
          <w:color w:val="000000"/>
          <w:sz w:val="24"/>
          <w:szCs w:val="24"/>
        </w:rPr>
        <w:t>Guardian</w:t>
      </w:r>
      <w:r w:rsidRPr="00847AEE">
        <w:rPr>
          <w:sz w:val="24"/>
          <w:szCs w:val="24"/>
        </w:rPr>
        <w:t xml:space="preserve"> </w:t>
      </w:r>
      <w:r w:rsidRPr="00847AEE">
        <w:rPr>
          <w:rStyle w:val="verdana1"/>
          <w:rFonts w:ascii="Times New Roman" w:hAnsi="Times New Roman"/>
          <w:color w:val="000000"/>
          <w:sz w:val="24"/>
          <w:szCs w:val="24"/>
        </w:rPr>
        <w:t xml:space="preserve">22 October 1991, </w:t>
      </w:r>
      <w:r w:rsidRPr="00847AEE">
        <w:rPr>
          <w:sz w:val="24"/>
          <w:szCs w:val="24"/>
        </w:rPr>
        <w:t xml:space="preserve">3 April, 6 April 1992. </w:t>
      </w:r>
    </w:p>
  </w:endnote>
  <w:endnote w:id="47">
    <w:p w:rsidR="00507C32" w:rsidRPr="00C04EED" w:rsidRDefault="00507C32">
      <w:pPr>
        <w:pStyle w:val="EndnoteText"/>
        <w:rPr>
          <w:sz w:val="24"/>
          <w:szCs w:val="24"/>
        </w:rPr>
      </w:pPr>
      <w:r w:rsidRPr="00C04EED">
        <w:rPr>
          <w:rStyle w:val="EndnoteReference"/>
          <w:sz w:val="24"/>
          <w:szCs w:val="24"/>
        </w:rPr>
        <w:endnoteRef/>
      </w:r>
      <w:r w:rsidRPr="00C04EED">
        <w:rPr>
          <w:sz w:val="24"/>
          <w:szCs w:val="24"/>
        </w:rPr>
        <w:t xml:space="preserve"> </w:t>
      </w:r>
      <w:r w:rsidRPr="00C04EED">
        <w:rPr>
          <w:sz w:val="24"/>
          <w:szCs w:val="24"/>
        </w:rPr>
        <w:tab/>
      </w:r>
      <w:r w:rsidRPr="00C04EED">
        <w:rPr>
          <w:i/>
          <w:sz w:val="24"/>
          <w:szCs w:val="24"/>
        </w:rPr>
        <w:t xml:space="preserve">The Economist </w:t>
      </w:r>
      <w:r w:rsidRPr="00C04EED">
        <w:rPr>
          <w:sz w:val="24"/>
          <w:szCs w:val="24"/>
        </w:rPr>
        <w:t xml:space="preserve">17 October 1992. </w:t>
      </w:r>
    </w:p>
  </w:endnote>
  <w:endnote w:id="48">
    <w:p w:rsidR="00507C32" w:rsidRPr="003F02AE" w:rsidRDefault="00507C32" w:rsidP="003F02AE">
      <w:pPr>
        <w:pStyle w:val="EndnoteText"/>
        <w:rPr>
          <w:sz w:val="24"/>
          <w:szCs w:val="24"/>
        </w:rPr>
      </w:pPr>
      <w:r w:rsidRPr="007319F6">
        <w:rPr>
          <w:rStyle w:val="EndnoteReference"/>
          <w:sz w:val="24"/>
          <w:szCs w:val="24"/>
        </w:rPr>
        <w:endnoteRef/>
      </w:r>
      <w:r w:rsidRPr="007319F6">
        <w:rPr>
          <w:sz w:val="24"/>
          <w:szCs w:val="24"/>
        </w:rPr>
        <w:t xml:space="preserve"> </w:t>
      </w:r>
      <w:r w:rsidRPr="007319F6">
        <w:rPr>
          <w:sz w:val="24"/>
          <w:szCs w:val="24"/>
        </w:rPr>
        <w:tab/>
      </w:r>
      <w:r w:rsidRPr="007319F6">
        <w:rPr>
          <w:i/>
          <w:sz w:val="24"/>
          <w:szCs w:val="24"/>
        </w:rPr>
        <w:t xml:space="preserve">The </w:t>
      </w:r>
      <w:r w:rsidRPr="007319F6">
        <w:rPr>
          <w:i/>
          <w:color w:val="000000"/>
          <w:sz w:val="24"/>
          <w:szCs w:val="24"/>
        </w:rPr>
        <w:t>Guardian</w:t>
      </w:r>
      <w:r w:rsidRPr="007319F6">
        <w:rPr>
          <w:sz w:val="24"/>
          <w:szCs w:val="24"/>
        </w:rPr>
        <w:t xml:space="preserve"> 13 April 1994. A year earlier the Serious Fraud Office had begun an investigation, but </w:t>
      </w:r>
      <w:r>
        <w:rPr>
          <w:sz w:val="24"/>
          <w:szCs w:val="24"/>
        </w:rPr>
        <w:t>this</w:t>
      </w:r>
      <w:r w:rsidRPr="007319F6">
        <w:rPr>
          <w:sz w:val="24"/>
          <w:szCs w:val="24"/>
        </w:rPr>
        <w:t xml:space="preserve"> was </w:t>
      </w:r>
      <w:r>
        <w:rPr>
          <w:sz w:val="24"/>
          <w:szCs w:val="24"/>
        </w:rPr>
        <w:t>quickly</w:t>
      </w:r>
      <w:r w:rsidRPr="007319F6">
        <w:rPr>
          <w:sz w:val="24"/>
          <w:szCs w:val="24"/>
        </w:rPr>
        <w:t xml:space="preserve"> aborted</w:t>
      </w:r>
      <w:r>
        <w:rPr>
          <w:sz w:val="24"/>
          <w:szCs w:val="24"/>
        </w:rPr>
        <w:t xml:space="preserve"> for unknown reasons</w:t>
      </w:r>
      <w:r w:rsidRPr="007319F6">
        <w:rPr>
          <w:sz w:val="24"/>
          <w:szCs w:val="24"/>
        </w:rPr>
        <w:t>.</w:t>
      </w:r>
    </w:p>
  </w:endnote>
  <w:endnote w:id="49">
    <w:p w:rsidR="00507C32" w:rsidRPr="00F37E6F" w:rsidRDefault="00507C32">
      <w:pPr>
        <w:pStyle w:val="EndnoteText"/>
        <w:rPr>
          <w:sz w:val="24"/>
          <w:szCs w:val="24"/>
        </w:rPr>
      </w:pPr>
      <w:r w:rsidRPr="00F37E6F">
        <w:rPr>
          <w:rStyle w:val="EndnoteReference"/>
          <w:sz w:val="24"/>
          <w:szCs w:val="24"/>
        </w:rPr>
        <w:endnoteRef/>
      </w:r>
      <w:r w:rsidRPr="00F37E6F">
        <w:rPr>
          <w:sz w:val="24"/>
          <w:szCs w:val="24"/>
        </w:rPr>
        <w:t xml:space="preserve"> </w:t>
      </w:r>
      <w:r w:rsidRPr="00F37E6F">
        <w:rPr>
          <w:sz w:val="24"/>
          <w:szCs w:val="24"/>
        </w:rPr>
        <w:tab/>
      </w:r>
      <w:r w:rsidRPr="00F37E6F">
        <w:rPr>
          <w:i/>
          <w:sz w:val="24"/>
          <w:szCs w:val="24"/>
        </w:rPr>
        <w:t xml:space="preserve">The Economist </w:t>
      </w:r>
      <w:r w:rsidRPr="00F37E6F">
        <w:rPr>
          <w:sz w:val="24"/>
          <w:szCs w:val="24"/>
        </w:rPr>
        <w:t xml:space="preserve">30 April 1994. Some found it ironic that the Gooda Walker defence lawyers called in Richard Outhwaite as their expert witness. </w:t>
      </w:r>
    </w:p>
  </w:endnote>
  <w:endnote w:id="50">
    <w:p w:rsidR="00507C32" w:rsidRPr="00F37E6F" w:rsidRDefault="00507C32">
      <w:pPr>
        <w:pStyle w:val="EndnoteText"/>
        <w:rPr>
          <w:sz w:val="24"/>
          <w:szCs w:val="24"/>
        </w:rPr>
      </w:pPr>
      <w:r w:rsidRPr="00F37E6F">
        <w:rPr>
          <w:rStyle w:val="EndnoteReference"/>
          <w:sz w:val="24"/>
          <w:szCs w:val="24"/>
        </w:rPr>
        <w:endnoteRef/>
      </w:r>
      <w:r w:rsidRPr="00F37E6F">
        <w:rPr>
          <w:sz w:val="24"/>
          <w:szCs w:val="24"/>
        </w:rPr>
        <w:t xml:space="preserve"> </w:t>
      </w:r>
      <w:r w:rsidRPr="00F37E6F">
        <w:rPr>
          <w:sz w:val="24"/>
          <w:szCs w:val="24"/>
        </w:rPr>
        <w:tab/>
      </w:r>
      <w:r w:rsidRPr="00F37E6F">
        <w:rPr>
          <w:i/>
          <w:sz w:val="24"/>
          <w:szCs w:val="24"/>
        </w:rPr>
        <w:t xml:space="preserve">The </w:t>
      </w:r>
      <w:r w:rsidRPr="00F37E6F">
        <w:rPr>
          <w:i/>
          <w:color w:val="000000"/>
          <w:sz w:val="24"/>
          <w:szCs w:val="24"/>
        </w:rPr>
        <w:t>Guardian</w:t>
      </w:r>
      <w:r w:rsidRPr="00F37E6F">
        <w:rPr>
          <w:color w:val="000000"/>
          <w:sz w:val="24"/>
          <w:szCs w:val="24"/>
        </w:rPr>
        <w:t xml:space="preserve"> 20 May 1994. </w:t>
      </w:r>
    </w:p>
  </w:endnote>
  <w:endnote w:id="51">
    <w:p w:rsidR="00507C32" w:rsidRPr="00DB7555" w:rsidRDefault="00507C32" w:rsidP="00F37E6F">
      <w:pPr>
        <w:pStyle w:val="EndnoteText"/>
        <w:rPr>
          <w:sz w:val="24"/>
          <w:szCs w:val="24"/>
        </w:rPr>
      </w:pPr>
      <w:r w:rsidRPr="00F37E6F">
        <w:rPr>
          <w:rStyle w:val="EndnoteReference"/>
          <w:sz w:val="24"/>
          <w:szCs w:val="24"/>
        </w:rPr>
        <w:endnoteRef/>
      </w:r>
      <w:r w:rsidRPr="00F37E6F">
        <w:rPr>
          <w:sz w:val="24"/>
          <w:szCs w:val="24"/>
        </w:rPr>
        <w:t xml:space="preserve"> </w:t>
      </w:r>
      <w:r>
        <w:rPr>
          <w:sz w:val="24"/>
          <w:szCs w:val="24"/>
        </w:rPr>
        <w:tab/>
      </w:r>
      <w:r w:rsidRPr="00F37E6F">
        <w:rPr>
          <w:i/>
          <w:sz w:val="24"/>
          <w:szCs w:val="24"/>
        </w:rPr>
        <w:t>The Economist</w:t>
      </w:r>
      <w:r>
        <w:rPr>
          <w:i/>
          <w:sz w:val="24"/>
          <w:szCs w:val="24"/>
        </w:rPr>
        <w:t xml:space="preserve"> </w:t>
      </w:r>
      <w:r w:rsidRPr="00F37E6F">
        <w:rPr>
          <w:sz w:val="24"/>
          <w:szCs w:val="24"/>
        </w:rPr>
        <w:t xml:space="preserve"> 8</w:t>
      </w:r>
      <w:r>
        <w:rPr>
          <w:sz w:val="24"/>
          <w:szCs w:val="24"/>
        </w:rPr>
        <w:t xml:space="preserve"> October </w:t>
      </w:r>
      <w:r w:rsidRPr="00F37E6F">
        <w:rPr>
          <w:sz w:val="24"/>
          <w:szCs w:val="24"/>
        </w:rPr>
        <w:t>1994</w:t>
      </w:r>
      <w:r>
        <w:rPr>
          <w:sz w:val="24"/>
          <w:szCs w:val="24"/>
        </w:rPr>
        <w:t xml:space="preserve">. By </w:t>
      </w:r>
      <w:r w:rsidRPr="00F37E6F">
        <w:rPr>
          <w:sz w:val="24"/>
          <w:szCs w:val="24"/>
        </w:rPr>
        <w:t>a balanced book</w:t>
      </w:r>
      <w:r>
        <w:rPr>
          <w:sz w:val="24"/>
          <w:szCs w:val="24"/>
        </w:rPr>
        <w:t xml:space="preserve">, Von Eicken meant (i) </w:t>
      </w:r>
      <w:r w:rsidRPr="00F37E6F">
        <w:rPr>
          <w:sz w:val="24"/>
          <w:szCs w:val="24"/>
        </w:rPr>
        <w:t>spread</w:t>
      </w:r>
      <w:r>
        <w:rPr>
          <w:sz w:val="24"/>
          <w:szCs w:val="24"/>
        </w:rPr>
        <w:t>ing</w:t>
      </w:r>
      <w:r w:rsidRPr="00F37E6F">
        <w:rPr>
          <w:sz w:val="24"/>
          <w:szCs w:val="24"/>
        </w:rPr>
        <w:t xml:space="preserve"> risks and premiums over several classes of risk to limit exposure to a single event; </w:t>
      </w:r>
      <w:r>
        <w:rPr>
          <w:sz w:val="24"/>
          <w:szCs w:val="24"/>
        </w:rPr>
        <w:t xml:space="preserve">(ii) </w:t>
      </w:r>
      <w:r w:rsidRPr="00F37E6F">
        <w:rPr>
          <w:sz w:val="24"/>
          <w:szCs w:val="24"/>
        </w:rPr>
        <w:t>estimat</w:t>
      </w:r>
      <w:r>
        <w:rPr>
          <w:sz w:val="24"/>
          <w:szCs w:val="24"/>
        </w:rPr>
        <w:t>ing</w:t>
      </w:r>
      <w:r w:rsidRPr="00F37E6F">
        <w:rPr>
          <w:sz w:val="24"/>
          <w:szCs w:val="24"/>
        </w:rPr>
        <w:t xml:space="preserve"> the most serious catastrophic loss that c</w:t>
      </w:r>
      <w:r>
        <w:rPr>
          <w:sz w:val="24"/>
          <w:szCs w:val="24"/>
        </w:rPr>
        <w:t>ould</w:t>
      </w:r>
      <w:r w:rsidRPr="00F37E6F">
        <w:rPr>
          <w:sz w:val="24"/>
          <w:szCs w:val="24"/>
        </w:rPr>
        <w:t xml:space="preserve"> afflict </w:t>
      </w:r>
      <w:r>
        <w:rPr>
          <w:sz w:val="24"/>
          <w:szCs w:val="24"/>
        </w:rPr>
        <w:t>the</w:t>
      </w:r>
      <w:r w:rsidRPr="00F37E6F">
        <w:rPr>
          <w:sz w:val="24"/>
          <w:szCs w:val="24"/>
        </w:rPr>
        <w:t xml:space="preserve"> portfolio</w:t>
      </w:r>
      <w:r>
        <w:rPr>
          <w:sz w:val="24"/>
          <w:szCs w:val="24"/>
        </w:rPr>
        <w:t>, termed the ‘</w:t>
      </w:r>
      <w:r w:rsidRPr="00F37E6F">
        <w:rPr>
          <w:sz w:val="24"/>
          <w:szCs w:val="24"/>
        </w:rPr>
        <w:t>Probable Maximum Loss</w:t>
      </w:r>
      <w:r>
        <w:rPr>
          <w:sz w:val="24"/>
          <w:szCs w:val="24"/>
        </w:rPr>
        <w:t>’ (PML)</w:t>
      </w:r>
      <w:r w:rsidRPr="00F37E6F">
        <w:rPr>
          <w:sz w:val="24"/>
          <w:szCs w:val="24"/>
        </w:rPr>
        <w:t xml:space="preserve">; </w:t>
      </w:r>
      <w:r>
        <w:rPr>
          <w:sz w:val="24"/>
          <w:szCs w:val="24"/>
        </w:rPr>
        <w:t xml:space="preserve">(iii) </w:t>
      </w:r>
      <w:r w:rsidRPr="00F37E6F">
        <w:rPr>
          <w:sz w:val="24"/>
          <w:szCs w:val="24"/>
        </w:rPr>
        <w:t>reinsur</w:t>
      </w:r>
      <w:r>
        <w:rPr>
          <w:sz w:val="24"/>
          <w:szCs w:val="24"/>
        </w:rPr>
        <w:t>ing</w:t>
      </w:r>
      <w:r w:rsidRPr="00F37E6F">
        <w:rPr>
          <w:sz w:val="24"/>
          <w:szCs w:val="24"/>
        </w:rPr>
        <w:t xml:space="preserve"> up to the PML. </w:t>
      </w:r>
      <w:r>
        <w:rPr>
          <w:sz w:val="24"/>
          <w:szCs w:val="24"/>
        </w:rPr>
        <w:t>T</w:t>
      </w:r>
      <w:r w:rsidRPr="00F37E6F">
        <w:rPr>
          <w:sz w:val="24"/>
          <w:szCs w:val="24"/>
        </w:rPr>
        <w:t>his procedure</w:t>
      </w:r>
      <w:r>
        <w:rPr>
          <w:sz w:val="24"/>
          <w:szCs w:val="24"/>
        </w:rPr>
        <w:t xml:space="preserve">, according </w:t>
      </w:r>
      <w:r w:rsidRPr="00DB7555">
        <w:rPr>
          <w:sz w:val="24"/>
          <w:szCs w:val="24"/>
        </w:rPr>
        <w:t xml:space="preserve">to Von Eicken, should be followed by reinsurance underwriters for each year of account. </w:t>
      </w:r>
    </w:p>
  </w:endnote>
  <w:endnote w:id="52">
    <w:p w:rsidR="00507C32" w:rsidRPr="00DB7555" w:rsidRDefault="00507C32" w:rsidP="00F87D7D">
      <w:r w:rsidRPr="00DB7555">
        <w:rPr>
          <w:rStyle w:val="EndnoteReference"/>
        </w:rPr>
        <w:endnoteRef/>
      </w:r>
      <w:r w:rsidRPr="00DB7555">
        <w:t xml:space="preserve"> </w:t>
      </w:r>
      <w:r w:rsidRPr="00DB7555">
        <w:tab/>
      </w:r>
      <w:r>
        <w:t>Phillips (1994)</w:t>
      </w:r>
      <w:r w:rsidRPr="00DB7555">
        <w:t xml:space="preserve">. </w:t>
      </w:r>
    </w:p>
  </w:endnote>
  <w:endnote w:id="53">
    <w:p w:rsidR="00507C32" w:rsidRPr="0030144E" w:rsidRDefault="00507C32" w:rsidP="00837105">
      <w:r w:rsidRPr="00837105">
        <w:rPr>
          <w:rStyle w:val="EndnoteReference"/>
        </w:rPr>
        <w:endnoteRef/>
      </w:r>
      <w:r w:rsidRPr="00837105">
        <w:t xml:space="preserve"> </w:t>
      </w:r>
      <w:r w:rsidRPr="00837105">
        <w:tab/>
        <w:t xml:space="preserve">For evidence that this concern was kept well hidden from newcomers entering the market see ‘The decline and fall of Lloyds of London’, </w:t>
      </w:r>
      <w:r w:rsidRPr="00837105">
        <w:rPr>
          <w:i/>
        </w:rPr>
        <w:t>Time Europe Special Report</w:t>
      </w:r>
      <w:r w:rsidRPr="00837105">
        <w:t>, 21</w:t>
      </w:r>
      <w:r>
        <w:t xml:space="preserve"> February </w:t>
      </w:r>
      <w:r w:rsidRPr="00837105">
        <w:t>2000</w:t>
      </w:r>
      <w:r>
        <w:t xml:space="preserve">, </w:t>
      </w:r>
      <w:hyperlink r:id="rId1" w:history="1">
        <w:r w:rsidRPr="002B51E1">
          <w:rPr>
            <w:rStyle w:val="Hyperlink"/>
          </w:rPr>
          <w:t>www.time.com/time/europe/lloydsfile</w:t>
        </w:r>
      </w:hyperlink>
      <w:r>
        <w:t xml:space="preserve">, accessed 10 June 2011; </w:t>
      </w:r>
      <w:r w:rsidRPr="00BB3AFB">
        <w:t>Luessenhop (1995),</w:t>
      </w:r>
      <w:r>
        <w:t xml:space="preserve"> pp.163-72. </w:t>
      </w:r>
    </w:p>
  </w:endnote>
  <w:endnote w:id="54">
    <w:p w:rsidR="00507C32" w:rsidRPr="00DB7555" w:rsidRDefault="00507C32">
      <w:pPr>
        <w:pStyle w:val="EndnoteText"/>
        <w:rPr>
          <w:sz w:val="24"/>
          <w:szCs w:val="24"/>
        </w:rPr>
      </w:pPr>
      <w:r w:rsidRPr="00DB7555">
        <w:rPr>
          <w:rStyle w:val="EndnoteReference"/>
          <w:sz w:val="24"/>
          <w:szCs w:val="24"/>
        </w:rPr>
        <w:endnoteRef/>
      </w:r>
      <w:r w:rsidRPr="00DB7555">
        <w:rPr>
          <w:sz w:val="24"/>
          <w:szCs w:val="24"/>
        </w:rPr>
        <w:t xml:space="preserve"> </w:t>
      </w:r>
      <w:r w:rsidRPr="00DB7555">
        <w:rPr>
          <w:sz w:val="24"/>
          <w:szCs w:val="24"/>
        </w:rPr>
        <w:tab/>
      </w:r>
      <w:r w:rsidRPr="00DB7555">
        <w:rPr>
          <w:i/>
          <w:sz w:val="24"/>
          <w:szCs w:val="24"/>
        </w:rPr>
        <w:t>The Times</w:t>
      </w:r>
      <w:r w:rsidRPr="00DB7555">
        <w:rPr>
          <w:sz w:val="24"/>
          <w:szCs w:val="24"/>
        </w:rPr>
        <w:t xml:space="preserve"> 27 August 1982. </w:t>
      </w:r>
      <w:r>
        <w:rPr>
          <w:sz w:val="24"/>
          <w:szCs w:val="24"/>
        </w:rPr>
        <w:t>The leading Australian manufacturer of asbestos, James Hardie, experienced a seven-fold increase in legal actions 1983-89. Moerman et.al. (2014), 985-6.</w:t>
      </w:r>
    </w:p>
  </w:endnote>
  <w:endnote w:id="55">
    <w:p w:rsidR="00507C32" w:rsidRPr="00DB7555" w:rsidRDefault="00507C32">
      <w:pPr>
        <w:pStyle w:val="EndnoteText"/>
        <w:rPr>
          <w:sz w:val="24"/>
          <w:szCs w:val="24"/>
        </w:rPr>
      </w:pPr>
      <w:r w:rsidRPr="00DB7555">
        <w:rPr>
          <w:rStyle w:val="EndnoteReference"/>
          <w:sz w:val="24"/>
          <w:szCs w:val="24"/>
        </w:rPr>
        <w:endnoteRef/>
      </w:r>
      <w:r w:rsidRPr="00DB7555">
        <w:rPr>
          <w:sz w:val="24"/>
          <w:szCs w:val="24"/>
        </w:rPr>
        <w:t xml:space="preserve"> </w:t>
      </w:r>
      <w:r w:rsidRPr="00DB7555">
        <w:rPr>
          <w:sz w:val="24"/>
          <w:szCs w:val="24"/>
        </w:rPr>
        <w:tab/>
      </w:r>
      <w:r w:rsidRPr="00DB7555">
        <w:rPr>
          <w:i/>
          <w:sz w:val="24"/>
          <w:szCs w:val="24"/>
        </w:rPr>
        <w:t>The Times</w:t>
      </w:r>
      <w:r w:rsidRPr="00DB7555">
        <w:rPr>
          <w:sz w:val="24"/>
          <w:szCs w:val="24"/>
        </w:rPr>
        <w:t xml:space="preserve"> 28 August 1982. Average Turner &amp; Newell settlements were only £600 per </w:t>
      </w:r>
      <w:r>
        <w:rPr>
          <w:sz w:val="24"/>
          <w:szCs w:val="24"/>
        </w:rPr>
        <w:t>claimant</w:t>
      </w:r>
      <w:r w:rsidRPr="00DB7555">
        <w:rPr>
          <w:sz w:val="24"/>
          <w:szCs w:val="24"/>
        </w:rPr>
        <w:t xml:space="preserve">. </w:t>
      </w:r>
    </w:p>
  </w:endnote>
  <w:endnote w:id="56">
    <w:p w:rsidR="00507C32" w:rsidRPr="003242D8" w:rsidRDefault="00507C32" w:rsidP="005E6B67">
      <w:r w:rsidRPr="00DB7555">
        <w:rPr>
          <w:rStyle w:val="EndnoteReference"/>
        </w:rPr>
        <w:endnoteRef/>
      </w:r>
      <w:r w:rsidRPr="00DB7555">
        <w:t xml:space="preserve"> </w:t>
      </w:r>
      <w:r w:rsidRPr="00DB7555">
        <w:tab/>
        <w:t>The first inquest in the UK to cite asbestosis as a cause of death occurred in 1924.</w:t>
      </w:r>
      <w:r w:rsidRPr="005E6B67">
        <w:t xml:space="preserve">Turner &amp; Newell established an asbestosis compensation fund for its workers </w:t>
      </w:r>
      <w:r>
        <w:t xml:space="preserve">in </w:t>
      </w:r>
      <w:r w:rsidRPr="003242D8">
        <w:t>1931, and the UK government launched a similar scheme that ye</w:t>
      </w:r>
      <w:r>
        <w:t>ar. Tweedale and Jeremy (1999); Tweedale (2000).</w:t>
      </w:r>
    </w:p>
  </w:endnote>
  <w:endnote w:id="57">
    <w:p w:rsidR="00507C32" w:rsidRPr="00F21194" w:rsidRDefault="00507C32">
      <w:pPr>
        <w:pStyle w:val="EndnoteText"/>
        <w:rPr>
          <w:sz w:val="24"/>
          <w:szCs w:val="24"/>
        </w:rPr>
      </w:pPr>
      <w:r w:rsidRPr="00F21194">
        <w:rPr>
          <w:rStyle w:val="EndnoteReference"/>
          <w:sz w:val="24"/>
          <w:szCs w:val="24"/>
        </w:rPr>
        <w:endnoteRef/>
      </w:r>
      <w:r w:rsidRPr="00F21194">
        <w:rPr>
          <w:sz w:val="24"/>
          <w:szCs w:val="24"/>
        </w:rPr>
        <w:t xml:space="preserve"> </w:t>
      </w:r>
      <w:r w:rsidRPr="00F21194">
        <w:rPr>
          <w:sz w:val="24"/>
          <w:szCs w:val="24"/>
        </w:rPr>
        <w:tab/>
      </w:r>
      <w:r w:rsidRPr="00F21194">
        <w:rPr>
          <w:i/>
          <w:sz w:val="24"/>
          <w:szCs w:val="24"/>
        </w:rPr>
        <w:t xml:space="preserve">The </w:t>
      </w:r>
      <w:r w:rsidRPr="00F21194">
        <w:rPr>
          <w:i/>
          <w:color w:val="000000"/>
          <w:sz w:val="24"/>
          <w:szCs w:val="24"/>
        </w:rPr>
        <w:t>Guardian</w:t>
      </w:r>
      <w:r w:rsidRPr="00F21194">
        <w:rPr>
          <w:color w:val="000000"/>
          <w:sz w:val="24"/>
          <w:szCs w:val="24"/>
        </w:rPr>
        <w:t xml:space="preserve"> 15 January, 21 January 1991. </w:t>
      </w:r>
    </w:p>
  </w:endnote>
  <w:endnote w:id="58">
    <w:p w:rsidR="00507C32" w:rsidRPr="00F21194" w:rsidRDefault="00507C32">
      <w:pPr>
        <w:pStyle w:val="EndnoteText"/>
        <w:rPr>
          <w:sz w:val="24"/>
          <w:szCs w:val="24"/>
        </w:rPr>
      </w:pPr>
      <w:r w:rsidRPr="00F21194">
        <w:rPr>
          <w:rStyle w:val="EndnoteReference"/>
          <w:sz w:val="24"/>
          <w:szCs w:val="24"/>
        </w:rPr>
        <w:endnoteRef/>
      </w:r>
      <w:r w:rsidRPr="00F21194">
        <w:rPr>
          <w:sz w:val="24"/>
          <w:szCs w:val="24"/>
        </w:rPr>
        <w:t xml:space="preserve"> </w:t>
      </w:r>
      <w:r w:rsidRPr="00F21194">
        <w:rPr>
          <w:sz w:val="24"/>
          <w:szCs w:val="24"/>
        </w:rPr>
        <w:tab/>
        <w:t xml:space="preserve">A full analysis of the </w:t>
      </w:r>
      <w:r>
        <w:rPr>
          <w:sz w:val="24"/>
          <w:szCs w:val="24"/>
        </w:rPr>
        <w:t xml:space="preserve">effects of the </w:t>
      </w:r>
      <w:r w:rsidRPr="00F21194">
        <w:rPr>
          <w:sz w:val="24"/>
          <w:szCs w:val="24"/>
        </w:rPr>
        <w:t xml:space="preserve">spiral </w:t>
      </w:r>
      <w:r>
        <w:rPr>
          <w:sz w:val="24"/>
          <w:szCs w:val="24"/>
        </w:rPr>
        <w:t>on individual syndicates was</w:t>
      </w:r>
      <w:r w:rsidRPr="00F21194">
        <w:rPr>
          <w:sz w:val="24"/>
          <w:szCs w:val="24"/>
        </w:rPr>
        <w:t xml:space="preserve"> given by the Lloyd’s inquiry, chaired by Sir David Walker, Lloyd’s of London (1992). </w:t>
      </w:r>
      <w:r>
        <w:rPr>
          <w:sz w:val="24"/>
          <w:szCs w:val="24"/>
        </w:rPr>
        <w:t>The spiral has been modelled</w:t>
      </w:r>
      <w:r w:rsidRPr="00F21194">
        <w:rPr>
          <w:sz w:val="24"/>
          <w:szCs w:val="24"/>
        </w:rPr>
        <w:t xml:space="preserve"> econometric</w:t>
      </w:r>
      <w:r>
        <w:rPr>
          <w:sz w:val="24"/>
          <w:szCs w:val="24"/>
        </w:rPr>
        <w:t>ally</w:t>
      </w:r>
      <w:r w:rsidRPr="00F21194">
        <w:rPr>
          <w:sz w:val="24"/>
          <w:szCs w:val="24"/>
        </w:rPr>
        <w:t xml:space="preserve"> by Bain (n.d.).</w:t>
      </w:r>
    </w:p>
  </w:endnote>
  <w:endnote w:id="59">
    <w:p w:rsidR="00507C32" w:rsidRPr="00BB3AFB" w:rsidRDefault="00507C32">
      <w:pPr>
        <w:pStyle w:val="EndnoteText"/>
        <w:rPr>
          <w:sz w:val="24"/>
          <w:szCs w:val="24"/>
        </w:rPr>
      </w:pPr>
      <w:r w:rsidRPr="00BB3AFB">
        <w:rPr>
          <w:rStyle w:val="EndnoteReference"/>
          <w:sz w:val="24"/>
          <w:szCs w:val="24"/>
        </w:rPr>
        <w:endnoteRef/>
      </w:r>
      <w:r w:rsidRPr="00BB3AFB">
        <w:rPr>
          <w:sz w:val="24"/>
          <w:szCs w:val="24"/>
        </w:rPr>
        <w:t xml:space="preserve"> </w:t>
      </w:r>
      <w:r w:rsidRPr="00BB3AFB">
        <w:rPr>
          <w:sz w:val="24"/>
          <w:szCs w:val="24"/>
        </w:rPr>
        <w:tab/>
        <w:t>Luessenhop (1995), p.128.</w:t>
      </w:r>
    </w:p>
  </w:endnote>
  <w:endnote w:id="60">
    <w:p w:rsidR="00507C32" w:rsidRPr="00BB3AFB" w:rsidRDefault="00507C32">
      <w:pPr>
        <w:pStyle w:val="EndnoteText"/>
        <w:rPr>
          <w:sz w:val="24"/>
          <w:szCs w:val="24"/>
        </w:rPr>
      </w:pPr>
      <w:r w:rsidRPr="00BB3AFB">
        <w:rPr>
          <w:rStyle w:val="EndnoteReference"/>
          <w:sz w:val="24"/>
          <w:szCs w:val="24"/>
        </w:rPr>
        <w:endnoteRef/>
      </w:r>
      <w:r w:rsidRPr="00BB3AFB">
        <w:rPr>
          <w:sz w:val="24"/>
          <w:szCs w:val="24"/>
        </w:rPr>
        <w:t xml:space="preserve"> </w:t>
      </w:r>
      <w:r>
        <w:rPr>
          <w:sz w:val="24"/>
          <w:szCs w:val="24"/>
        </w:rPr>
        <w:tab/>
      </w:r>
      <w:r w:rsidRPr="00BB3AFB">
        <w:rPr>
          <w:sz w:val="24"/>
          <w:szCs w:val="24"/>
        </w:rPr>
        <w:t>Phillips (1994)</w:t>
      </w:r>
      <w:r>
        <w:rPr>
          <w:sz w:val="24"/>
          <w:szCs w:val="24"/>
        </w:rPr>
        <w:t>.</w:t>
      </w:r>
    </w:p>
  </w:endnote>
  <w:endnote w:id="61">
    <w:p w:rsidR="00507C32" w:rsidRPr="00EC4951" w:rsidRDefault="00507C32">
      <w:pPr>
        <w:pStyle w:val="EndnoteText"/>
        <w:rPr>
          <w:sz w:val="24"/>
          <w:szCs w:val="24"/>
        </w:rPr>
      </w:pPr>
      <w:r w:rsidRPr="00EC4951">
        <w:rPr>
          <w:rStyle w:val="EndnoteReference"/>
          <w:sz w:val="24"/>
          <w:szCs w:val="24"/>
        </w:rPr>
        <w:endnoteRef/>
      </w:r>
      <w:r w:rsidRPr="00EC4951">
        <w:rPr>
          <w:sz w:val="24"/>
          <w:szCs w:val="24"/>
        </w:rPr>
        <w:t xml:space="preserve"> </w:t>
      </w:r>
      <w:r w:rsidRPr="00EC4951">
        <w:rPr>
          <w:sz w:val="24"/>
          <w:szCs w:val="24"/>
        </w:rPr>
        <w:tab/>
        <w:t xml:space="preserve">The total value of claims arising from the Piper Alpha disaster, including those on insurers, reinsurers and retrocedents, are said to have amounted to over ten times the insured loss. Lloyd’s of London (1992), para. 2.14. </w:t>
      </w:r>
    </w:p>
  </w:endnote>
  <w:endnote w:id="62">
    <w:p w:rsidR="00507C32" w:rsidRPr="00EC4951" w:rsidRDefault="00507C32">
      <w:pPr>
        <w:pStyle w:val="EndnoteText"/>
        <w:rPr>
          <w:sz w:val="24"/>
          <w:szCs w:val="24"/>
        </w:rPr>
      </w:pPr>
      <w:r w:rsidRPr="00EC4951">
        <w:rPr>
          <w:rStyle w:val="EndnoteReference"/>
          <w:sz w:val="24"/>
          <w:szCs w:val="24"/>
        </w:rPr>
        <w:endnoteRef/>
      </w:r>
      <w:r w:rsidRPr="00EC4951">
        <w:rPr>
          <w:sz w:val="24"/>
          <w:szCs w:val="24"/>
        </w:rPr>
        <w:t xml:space="preserve"> </w:t>
      </w:r>
      <w:r w:rsidRPr="00EC4951">
        <w:rPr>
          <w:sz w:val="24"/>
          <w:szCs w:val="24"/>
        </w:rPr>
        <w:tab/>
        <w:t>Lloyd’s of London (1992), paras. 2.10, 2.19.</w:t>
      </w:r>
    </w:p>
  </w:endnote>
  <w:endnote w:id="63">
    <w:p w:rsidR="00507C32" w:rsidRPr="00EC4951" w:rsidRDefault="00507C32">
      <w:pPr>
        <w:pStyle w:val="EndnoteText"/>
        <w:rPr>
          <w:sz w:val="24"/>
          <w:szCs w:val="24"/>
        </w:rPr>
      </w:pPr>
      <w:r w:rsidRPr="00EC4951">
        <w:rPr>
          <w:rStyle w:val="EndnoteReference"/>
          <w:sz w:val="24"/>
          <w:szCs w:val="24"/>
        </w:rPr>
        <w:endnoteRef/>
      </w:r>
      <w:r w:rsidRPr="00EC4951">
        <w:rPr>
          <w:sz w:val="24"/>
          <w:szCs w:val="24"/>
        </w:rPr>
        <w:t xml:space="preserve"> </w:t>
      </w:r>
      <w:r w:rsidRPr="00EC4951">
        <w:rPr>
          <w:sz w:val="24"/>
          <w:szCs w:val="24"/>
        </w:rPr>
        <w:tab/>
        <w:t>It had been 13 per cent in 1983, Lloyd’s of London (1992), para. 2.19</w:t>
      </w:r>
      <w:r>
        <w:rPr>
          <w:sz w:val="24"/>
          <w:szCs w:val="24"/>
        </w:rPr>
        <w:t>.</w:t>
      </w:r>
    </w:p>
  </w:endnote>
  <w:endnote w:id="64">
    <w:p w:rsidR="00507C32" w:rsidRPr="001B18C2" w:rsidRDefault="00507C32">
      <w:pPr>
        <w:pStyle w:val="EndnoteText"/>
        <w:rPr>
          <w:sz w:val="24"/>
          <w:szCs w:val="24"/>
        </w:rPr>
      </w:pPr>
      <w:r w:rsidRPr="00EC4951">
        <w:rPr>
          <w:rStyle w:val="EndnoteReference"/>
          <w:sz w:val="24"/>
          <w:szCs w:val="24"/>
        </w:rPr>
        <w:endnoteRef/>
      </w:r>
      <w:r w:rsidRPr="001B18C2">
        <w:rPr>
          <w:sz w:val="24"/>
          <w:szCs w:val="24"/>
        </w:rPr>
        <w:t xml:space="preserve"> </w:t>
      </w:r>
      <w:r w:rsidRPr="001B18C2">
        <w:rPr>
          <w:sz w:val="24"/>
          <w:szCs w:val="24"/>
        </w:rPr>
        <w:tab/>
        <w:t>Luessenhop (1995), p.129.</w:t>
      </w:r>
    </w:p>
  </w:endnote>
  <w:endnote w:id="65">
    <w:p w:rsidR="00507C32" w:rsidRPr="00057E7F" w:rsidRDefault="00507C32">
      <w:pPr>
        <w:pStyle w:val="EndnoteText"/>
        <w:rPr>
          <w:sz w:val="24"/>
          <w:szCs w:val="24"/>
        </w:rPr>
      </w:pPr>
      <w:r w:rsidRPr="00057E7F">
        <w:rPr>
          <w:rStyle w:val="EndnoteReference"/>
          <w:sz w:val="24"/>
          <w:szCs w:val="24"/>
        </w:rPr>
        <w:endnoteRef/>
      </w:r>
      <w:r w:rsidRPr="00057E7F">
        <w:rPr>
          <w:sz w:val="24"/>
          <w:szCs w:val="24"/>
        </w:rPr>
        <w:t xml:space="preserve"> </w:t>
      </w:r>
      <w:r w:rsidRPr="00057E7F">
        <w:rPr>
          <w:sz w:val="24"/>
          <w:szCs w:val="24"/>
        </w:rPr>
        <w:tab/>
        <w:t>Luessenhop (1995), pp. 39, 64; Bain (n.d.), p.15; Lloyd’s of London (1992), para. 2.20.</w:t>
      </w:r>
    </w:p>
  </w:endnote>
  <w:endnote w:id="66">
    <w:p w:rsidR="00507C32" w:rsidRPr="002853C4" w:rsidRDefault="00507C32">
      <w:pPr>
        <w:pStyle w:val="EndnoteText"/>
        <w:rPr>
          <w:sz w:val="24"/>
          <w:szCs w:val="24"/>
        </w:rPr>
      </w:pPr>
      <w:r w:rsidRPr="00057E7F">
        <w:rPr>
          <w:rStyle w:val="EndnoteReference"/>
          <w:sz w:val="24"/>
          <w:szCs w:val="24"/>
        </w:rPr>
        <w:endnoteRef/>
      </w:r>
      <w:r w:rsidRPr="00057E7F">
        <w:rPr>
          <w:sz w:val="24"/>
          <w:szCs w:val="24"/>
        </w:rPr>
        <w:t xml:space="preserve"> </w:t>
      </w:r>
      <w:r w:rsidRPr="00057E7F">
        <w:rPr>
          <w:sz w:val="24"/>
          <w:szCs w:val="24"/>
        </w:rPr>
        <w:tab/>
      </w:r>
      <w:r w:rsidRPr="00057E7F">
        <w:rPr>
          <w:i/>
          <w:sz w:val="24"/>
          <w:szCs w:val="24"/>
        </w:rPr>
        <w:t xml:space="preserve">The </w:t>
      </w:r>
      <w:r w:rsidRPr="00057E7F">
        <w:rPr>
          <w:i/>
          <w:color w:val="000000"/>
          <w:sz w:val="24"/>
          <w:szCs w:val="24"/>
        </w:rPr>
        <w:t>Guardian</w:t>
      </w:r>
      <w:r w:rsidRPr="00057E7F">
        <w:rPr>
          <w:sz w:val="24"/>
          <w:szCs w:val="24"/>
        </w:rPr>
        <w:t xml:space="preserve"> 14 February 1992; Luessenhop (1995), pp.121-2, 154-5. ‘Baby’ syndicates typically </w:t>
      </w:r>
      <w:r>
        <w:rPr>
          <w:sz w:val="24"/>
          <w:szCs w:val="24"/>
        </w:rPr>
        <w:t>had</w:t>
      </w:r>
      <w:r w:rsidRPr="00057E7F">
        <w:rPr>
          <w:sz w:val="24"/>
          <w:szCs w:val="24"/>
        </w:rPr>
        <w:t xml:space="preserve"> a small number</w:t>
      </w:r>
      <w:r w:rsidRPr="002853C4">
        <w:rPr>
          <w:sz w:val="24"/>
          <w:szCs w:val="24"/>
        </w:rPr>
        <w:t xml:space="preserve"> of </w:t>
      </w:r>
      <w:r>
        <w:rPr>
          <w:sz w:val="24"/>
          <w:szCs w:val="24"/>
        </w:rPr>
        <w:t>names</w:t>
      </w:r>
      <w:r w:rsidRPr="002853C4">
        <w:rPr>
          <w:sz w:val="24"/>
          <w:szCs w:val="24"/>
        </w:rPr>
        <w:t xml:space="preserve">. </w:t>
      </w:r>
      <w:r>
        <w:rPr>
          <w:sz w:val="24"/>
          <w:szCs w:val="24"/>
        </w:rPr>
        <w:t>For</w:t>
      </w:r>
      <w:r w:rsidRPr="002853C4">
        <w:rPr>
          <w:sz w:val="24"/>
          <w:szCs w:val="24"/>
        </w:rPr>
        <w:t xml:space="preserve"> baby syndicates in the PCW scandal, see </w:t>
      </w:r>
      <w:r w:rsidRPr="002853C4">
        <w:rPr>
          <w:i/>
          <w:sz w:val="24"/>
          <w:szCs w:val="24"/>
        </w:rPr>
        <w:t xml:space="preserve">The </w:t>
      </w:r>
      <w:r w:rsidRPr="002853C4">
        <w:rPr>
          <w:i/>
          <w:color w:val="000000"/>
          <w:sz w:val="24"/>
          <w:szCs w:val="24"/>
        </w:rPr>
        <w:t>Guardian</w:t>
      </w:r>
      <w:r w:rsidRPr="002853C4">
        <w:rPr>
          <w:color w:val="000000"/>
          <w:sz w:val="24"/>
          <w:szCs w:val="24"/>
        </w:rPr>
        <w:t xml:space="preserve"> 13 November 1985, and </w:t>
      </w:r>
      <w:r w:rsidRPr="002853C4">
        <w:rPr>
          <w:rStyle w:val="HTMLCite"/>
          <w:sz w:val="24"/>
          <w:szCs w:val="24"/>
        </w:rPr>
        <w:t xml:space="preserve">House of Commons Debates </w:t>
      </w:r>
      <w:r w:rsidRPr="002853C4">
        <w:rPr>
          <w:rStyle w:val="HTMLCite"/>
          <w:i w:val="0"/>
          <w:sz w:val="24"/>
          <w:szCs w:val="24"/>
        </w:rPr>
        <w:t>16 July 1985 vol</w:t>
      </w:r>
      <w:r>
        <w:rPr>
          <w:rStyle w:val="HTMLCite"/>
          <w:i w:val="0"/>
          <w:sz w:val="24"/>
          <w:szCs w:val="24"/>
        </w:rPr>
        <w:t>.</w:t>
      </w:r>
      <w:r w:rsidRPr="002853C4">
        <w:rPr>
          <w:rStyle w:val="HTMLCite"/>
          <w:i w:val="0"/>
          <w:sz w:val="24"/>
          <w:szCs w:val="24"/>
        </w:rPr>
        <w:t xml:space="preserve"> 83</w:t>
      </w:r>
      <w:r>
        <w:rPr>
          <w:rStyle w:val="HTMLCite"/>
          <w:i w:val="0"/>
          <w:sz w:val="24"/>
          <w:szCs w:val="24"/>
        </w:rPr>
        <w:t>,</w:t>
      </w:r>
      <w:r w:rsidRPr="002853C4">
        <w:rPr>
          <w:rStyle w:val="HTMLCite"/>
          <w:i w:val="0"/>
          <w:sz w:val="24"/>
          <w:szCs w:val="24"/>
        </w:rPr>
        <w:t xml:space="preserve"> cc.289-96</w:t>
      </w:r>
      <w:r>
        <w:rPr>
          <w:rStyle w:val="HTMLCite"/>
          <w:i w:val="0"/>
          <w:sz w:val="24"/>
          <w:szCs w:val="24"/>
        </w:rPr>
        <w:t xml:space="preserve"> (Gould)</w:t>
      </w:r>
      <w:r w:rsidRPr="002853C4">
        <w:rPr>
          <w:i/>
          <w:sz w:val="24"/>
          <w:szCs w:val="24"/>
        </w:rPr>
        <w:t>.</w:t>
      </w:r>
      <w:r w:rsidRPr="002853C4">
        <w:rPr>
          <w:sz w:val="24"/>
          <w:szCs w:val="24"/>
        </w:rPr>
        <w:t xml:space="preserve"> Even while these scandals were being investigated Lloyd’s council decided against banning baby syndicates and opted for a </w:t>
      </w:r>
      <w:r>
        <w:rPr>
          <w:sz w:val="24"/>
          <w:szCs w:val="24"/>
        </w:rPr>
        <w:t xml:space="preserve">voluntary </w:t>
      </w:r>
      <w:r w:rsidRPr="002853C4">
        <w:rPr>
          <w:sz w:val="24"/>
          <w:szCs w:val="24"/>
        </w:rPr>
        <w:t xml:space="preserve">code of practice, </w:t>
      </w:r>
      <w:r w:rsidRPr="002853C4">
        <w:rPr>
          <w:i/>
          <w:sz w:val="24"/>
          <w:szCs w:val="24"/>
        </w:rPr>
        <w:t xml:space="preserve">The </w:t>
      </w:r>
      <w:r w:rsidRPr="002853C4">
        <w:rPr>
          <w:i/>
          <w:color w:val="000000"/>
          <w:sz w:val="24"/>
          <w:szCs w:val="24"/>
        </w:rPr>
        <w:t>Guardian</w:t>
      </w:r>
      <w:r w:rsidRPr="002853C4">
        <w:rPr>
          <w:sz w:val="24"/>
          <w:szCs w:val="24"/>
        </w:rPr>
        <w:t xml:space="preserve"> 10 July 1985</w:t>
      </w:r>
      <w:r>
        <w:rPr>
          <w:sz w:val="24"/>
          <w:szCs w:val="24"/>
        </w:rPr>
        <w:t>; Davison (1987), p</w:t>
      </w:r>
      <w:r w:rsidRPr="002853C4">
        <w:rPr>
          <w:sz w:val="24"/>
          <w:szCs w:val="24"/>
        </w:rPr>
        <w:t>.</w:t>
      </w:r>
      <w:r>
        <w:rPr>
          <w:sz w:val="24"/>
          <w:szCs w:val="24"/>
        </w:rPr>
        <w:t xml:space="preserve"> 144.</w:t>
      </w:r>
      <w:r>
        <w:t xml:space="preserve"> </w:t>
      </w:r>
    </w:p>
  </w:endnote>
  <w:endnote w:id="67">
    <w:p w:rsidR="00507C32" w:rsidRPr="00847AEE" w:rsidRDefault="00507C32" w:rsidP="00870F46">
      <w:pPr>
        <w:pStyle w:val="EndnoteText"/>
        <w:rPr>
          <w:sz w:val="24"/>
          <w:szCs w:val="24"/>
        </w:rPr>
      </w:pPr>
      <w:r w:rsidRPr="00847AEE">
        <w:rPr>
          <w:rStyle w:val="EndnoteReference"/>
          <w:sz w:val="24"/>
          <w:szCs w:val="24"/>
        </w:rPr>
        <w:endnoteRef/>
      </w:r>
      <w:r w:rsidRPr="00847AEE">
        <w:rPr>
          <w:sz w:val="24"/>
          <w:szCs w:val="24"/>
        </w:rPr>
        <w:t xml:space="preserve"> </w:t>
      </w:r>
      <w:r w:rsidRPr="00847AEE">
        <w:rPr>
          <w:sz w:val="24"/>
          <w:szCs w:val="24"/>
        </w:rPr>
        <w:tab/>
      </w:r>
      <w:r>
        <w:rPr>
          <w:sz w:val="24"/>
          <w:szCs w:val="24"/>
        </w:rPr>
        <w:t xml:space="preserve">Lloyds of London (1992), para. 5.16; </w:t>
      </w:r>
      <w:r w:rsidRPr="00847AEE">
        <w:rPr>
          <w:sz w:val="24"/>
          <w:szCs w:val="24"/>
        </w:rPr>
        <w:t xml:space="preserve">Southerst (1992). </w:t>
      </w:r>
      <w:r>
        <w:rPr>
          <w:sz w:val="24"/>
          <w:szCs w:val="24"/>
        </w:rPr>
        <w:t xml:space="preserve">For further evidence of the skewed distribution of losses, see the data collected by the American Names Association on its website </w:t>
      </w:r>
      <w:hyperlink r:id="rId2" w:history="1">
        <w:r w:rsidRPr="002B51E1">
          <w:rPr>
            <w:rStyle w:val="Hyperlink"/>
            <w:sz w:val="24"/>
            <w:szCs w:val="24"/>
          </w:rPr>
          <w:t>www.truthaboutlloyds.com</w:t>
        </w:r>
      </w:hyperlink>
      <w:r>
        <w:rPr>
          <w:sz w:val="24"/>
          <w:szCs w:val="24"/>
        </w:rPr>
        <w:t>.</w:t>
      </w:r>
    </w:p>
  </w:endnote>
  <w:endnote w:id="68">
    <w:p w:rsidR="00507C32" w:rsidRDefault="00507C32" w:rsidP="00B37A70">
      <w:r>
        <w:rPr>
          <w:rStyle w:val="EndnoteReference"/>
        </w:rPr>
        <w:endnoteRef/>
      </w:r>
      <w:r>
        <w:t xml:space="preserve"> </w:t>
      </w:r>
      <w:r>
        <w:tab/>
      </w:r>
      <w:r w:rsidRPr="002853C4">
        <w:t>Luessenhop (1995)</w:t>
      </w:r>
      <w:r>
        <w:t>, pp.26-7, 48-9, 72.</w:t>
      </w:r>
    </w:p>
  </w:endnote>
  <w:endnote w:id="69">
    <w:p w:rsidR="00507C32" w:rsidRPr="008060D3" w:rsidRDefault="00507C32">
      <w:pPr>
        <w:pStyle w:val="EndnoteText"/>
        <w:rPr>
          <w:sz w:val="24"/>
          <w:szCs w:val="24"/>
        </w:rPr>
      </w:pPr>
      <w:r w:rsidRPr="008060D3">
        <w:rPr>
          <w:rStyle w:val="EndnoteReference"/>
          <w:sz w:val="24"/>
          <w:szCs w:val="24"/>
        </w:rPr>
        <w:endnoteRef/>
      </w:r>
      <w:r w:rsidRPr="008060D3">
        <w:rPr>
          <w:sz w:val="24"/>
          <w:szCs w:val="24"/>
        </w:rPr>
        <w:t xml:space="preserve"> </w:t>
      </w:r>
      <w:r w:rsidRPr="008060D3">
        <w:rPr>
          <w:sz w:val="24"/>
          <w:szCs w:val="24"/>
        </w:rPr>
        <w:tab/>
        <w:t xml:space="preserve">Lloyd’s of London (1992), para. 2.1. </w:t>
      </w:r>
    </w:p>
  </w:endnote>
  <w:endnote w:id="70">
    <w:p w:rsidR="00507C32" w:rsidRPr="008060D3" w:rsidRDefault="00507C32">
      <w:pPr>
        <w:pStyle w:val="EndnoteText"/>
        <w:rPr>
          <w:sz w:val="24"/>
          <w:szCs w:val="24"/>
        </w:rPr>
      </w:pPr>
      <w:r w:rsidRPr="008060D3">
        <w:rPr>
          <w:rStyle w:val="EndnoteReference"/>
          <w:sz w:val="24"/>
          <w:szCs w:val="24"/>
        </w:rPr>
        <w:endnoteRef/>
      </w:r>
      <w:r w:rsidRPr="008060D3">
        <w:rPr>
          <w:sz w:val="24"/>
          <w:szCs w:val="24"/>
        </w:rPr>
        <w:t xml:space="preserve"> </w:t>
      </w:r>
      <w:r w:rsidRPr="008060D3">
        <w:rPr>
          <w:sz w:val="24"/>
          <w:szCs w:val="24"/>
        </w:rPr>
        <w:tab/>
        <w:t xml:space="preserve">All the LMX syndicates together </w:t>
      </w:r>
      <w:r w:rsidR="00E965BE">
        <w:rPr>
          <w:sz w:val="24"/>
          <w:szCs w:val="24"/>
        </w:rPr>
        <w:t>accounted for</w:t>
      </w:r>
      <w:r w:rsidRPr="008060D3">
        <w:rPr>
          <w:sz w:val="24"/>
          <w:szCs w:val="24"/>
        </w:rPr>
        <w:t xml:space="preserve"> over 60 per cent of Lloyd’s </w:t>
      </w:r>
      <w:r w:rsidR="00E965BE">
        <w:rPr>
          <w:sz w:val="24"/>
          <w:szCs w:val="24"/>
        </w:rPr>
        <w:t xml:space="preserve">(negative) </w:t>
      </w:r>
      <w:r w:rsidRPr="008060D3">
        <w:rPr>
          <w:sz w:val="24"/>
          <w:szCs w:val="24"/>
        </w:rPr>
        <w:t>result</w:t>
      </w:r>
      <w:r w:rsidR="00E965BE">
        <w:rPr>
          <w:sz w:val="24"/>
          <w:szCs w:val="24"/>
        </w:rPr>
        <w:t>s</w:t>
      </w:r>
      <w:r w:rsidRPr="008060D3">
        <w:rPr>
          <w:sz w:val="24"/>
          <w:szCs w:val="24"/>
        </w:rPr>
        <w:t xml:space="preserve"> in the accounting years 1988 and 1989. </w:t>
      </w:r>
      <w:r w:rsidRPr="00E965BE">
        <w:rPr>
          <w:i/>
          <w:sz w:val="24"/>
          <w:szCs w:val="24"/>
        </w:rPr>
        <w:t>Ibid</w:t>
      </w:r>
      <w:r w:rsidRPr="008060D3">
        <w:rPr>
          <w:sz w:val="24"/>
          <w:szCs w:val="24"/>
        </w:rPr>
        <w:t>.</w:t>
      </w:r>
    </w:p>
  </w:endnote>
  <w:endnote w:id="71">
    <w:p w:rsidR="00507C32" w:rsidRPr="00D77B24" w:rsidRDefault="00507C32" w:rsidP="00FF7055">
      <w:r w:rsidRPr="008060D3">
        <w:rPr>
          <w:rStyle w:val="EndnoteReference"/>
        </w:rPr>
        <w:endnoteRef/>
      </w:r>
      <w:r w:rsidRPr="008060D3">
        <w:t xml:space="preserve"> </w:t>
      </w:r>
      <w:r w:rsidRPr="008060D3">
        <w:tab/>
      </w:r>
      <w:r w:rsidRPr="008060D3">
        <w:rPr>
          <w:i/>
        </w:rPr>
        <w:t xml:space="preserve">The Times </w:t>
      </w:r>
      <w:r w:rsidRPr="008060D3">
        <w:t>13 November</w:t>
      </w:r>
      <w:r w:rsidRPr="00507C32">
        <w:t xml:space="preserve"> 1985; </w:t>
      </w:r>
      <w:r w:rsidRPr="00507C32">
        <w:rPr>
          <w:i/>
        </w:rPr>
        <w:t xml:space="preserve">The </w:t>
      </w:r>
      <w:r w:rsidRPr="00507C32">
        <w:rPr>
          <w:i/>
          <w:color w:val="000000"/>
        </w:rPr>
        <w:t>Guardian</w:t>
      </w:r>
      <w:r w:rsidRPr="00507C32">
        <w:t xml:space="preserve"> 12 November, 13 November, 20 December</w:t>
      </w:r>
      <w:r w:rsidRPr="00D77B24">
        <w:t xml:space="preserve"> 1985; Davison (1987), pp. 2, 34-5, 155-7, 165-6. Davison’s resignation letter is reproduced in Davison (1987), appendix II.  </w:t>
      </w:r>
    </w:p>
  </w:endnote>
  <w:endnote w:id="72">
    <w:p w:rsidR="00507C32" w:rsidRPr="00D77B24" w:rsidRDefault="00507C32" w:rsidP="00D77B24">
      <w:pPr>
        <w:rPr>
          <w:iCs/>
        </w:rPr>
      </w:pPr>
      <w:r w:rsidRPr="00D77B24">
        <w:rPr>
          <w:rStyle w:val="EndnoteReference"/>
        </w:rPr>
        <w:endnoteRef/>
      </w:r>
      <w:r w:rsidRPr="00D77B24">
        <w:t xml:space="preserve"> </w:t>
      </w:r>
      <w:r w:rsidRPr="00D77B24">
        <w:tab/>
      </w:r>
      <w:r>
        <w:t xml:space="preserve">The allusion was to Richard Brinsley Sheridan’s play, </w:t>
      </w:r>
      <w:r w:rsidRPr="00E74B9C">
        <w:rPr>
          <w:i/>
        </w:rPr>
        <w:t xml:space="preserve">The School for Scandal </w:t>
      </w:r>
      <w:r>
        <w:t xml:space="preserve">(1777). </w:t>
      </w:r>
      <w:r w:rsidRPr="00D77B24">
        <w:rPr>
          <w:rStyle w:val="HTMLCite"/>
        </w:rPr>
        <w:t xml:space="preserve">House of Commons Debates </w:t>
      </w:r>
      <w:r w:rsidRPr="00D77B24">
        <w:rPr>
          <w:rStyle w:val="HTMLCite"/>
          <w:i w:val="0"/>
        </w:rPr>
        <w:t>14 January 1986 vol. 89, cc. 974-7 (Mitchell)</w:t>
      </w:r>
      <w:r>
        <w:rPr>
          <w:rStyle w:val="HTMLCite"/>
          <w:i w:val="0"/>
        </w:rPr>
        <w:t xml:space="preserve">, </w:t>
      </w:r>
      <w:r w:rsidRPr="00DF23D8">
        <w:rPr>
          <w:rStyle w:val="HTMLCite"/>
          <w:i w:val="0"/>
        </w:rPr>
        <w:t xml:space="preserve">c. 949 (Smith). See also </w:t>
      </w:r>
      <w:r w:rsidRPr="00DF23D8">
        <w:rPr>
          <w:i/>
        </w:rPr>
        <w:t xml:space="preserve">The </w:t>
      </w:r>
      <w:r w:rsidRPr="00DF23D8">
        <w:rPr>
          <w:i/>
          <w:color w:val="000000"/>
        </w:rPr>
        <w:t>Guardian</w:t>
      </w:r>
      <w:r w:rsidRPr="00DF23D8">
        <w:rPr>
          <w:color w:val="000000"/>
        </w:rPr>
        <w:t xml:space="preserve"> 11 January 1986</w:t>
      </w:r>
      <w:r>
        <w:rPr>
          <w:color w:val="000000"/>
        </w:rPr>
        <w:t>.</w:t>
      </w:r>
    </w:p>
  </w:endnote>
  <w:endnote w:id="73">
    <w:p w:rsidR="00507C32" w:rsidRPr="004F6BE8" w:rsidRDefault="00507C32" w:rsidP="0089438E">
      <w:r w:rsidRPr="004F6BE8">
        <w:rPr>
          <w:rStyle w:val="EndnoteReference"/>
        </w:rPr>
        <w:endnoteRef/>
      </w:r>
      <w:r w:rsidRPr="004F6BE8">
        <w:t xml:space="preserve"> </w:t>
      </w:r>
      <w:r w:rsidRPr="004F6BE8">
        <w:tab/>
      </w:r>
      <w:r w:rsidRPr="00BB2C4E">
        <w:rPr>
          <w:i/>
        </w:rPr>
        <w:t>Ibid</w:t>
      </w:r>
      <w:r>
        <w:t>., c.</w:t>
      </w:r>
      <w:r w:rsidRPr="00BB2C4E">
        <w:t xml:space="preserve"> </w:t>
      </w:r>
      <w:r>
        <w:t xml:space="preserve">1015 (Howard). </w:t>
      </w:r>
      <w:r w:rsidRPr="004F6BE8">
        <w:t>Neill was Vice-Chancellor of Oxford University and had chaired the Council for the Securities Industry from 1978 to 1985.</w:t>
      </w:r>
    </w:p>
  </w:endnote>
  <w:endnote w:id="74">
    <w:p w:rsidR="00507C32" w:rsidRPr="00DF23D8" w:rsidRDefault="00507C32" w:rsidP="002B3480">
      <w:r w:rsidRPr="00DF23D8">
        <w:rPr>
          <w:rStyle w:val="EndnoteReference"/>
        </w:rPr>
        <w:endnoteRef/>
      </w:r>
      <w:r w:rsidRPr="00DF23D8">
        <w:t xml:space="preserve"> </w:t>
      </w:r>
      <w:r w:rsidRPr="00DF23D8">
        <w:tab/>
      </w:r>
      <w:r w:rsidRPr="00DF23D8">
        <w:rPr>
          <w:rStyle w:val="HTMLCite"/>
        </w:rPr>
        <w:t xml:space="preserve">House of Commons Debates </w:t>
      </w:r>
      <w:r w:rsidRPr="00DF23D8">
        <w:rPr>
          <w:rStyle w:val="HTMLCite"/>
          <w:i w:val="0"/>
        </w:rPr>
        <w:t xml:space="preserve">12 June 1986 vol. 99, </w:t>
      </w:r>
      <w:r>
        <w:rPr>
          <w:rStyle w:val="HTMLCite"/>
          <w:i w:val="0"/>
        </w:rPr>
        <w:t xml:space="preserve">cc. 570-1 (Gould), </w:t>
      </w:r>
      <w:r w:rsidRPr="00DF23D8">
        <w:rPr>
          <w:rStyle w:val="HTMLCite"/>
          <w:i w:val="0"/>
        </w:rPr>
        <w:t>574-5 (Ashdown).</w:t>
      </w:r>
    </w:p>
  </w:endnote>
  <w:endnote w:id="75">
    <w:p w:rsidR="00507C32" w:rsidRPr="000E2EDD" w:rsidRDefault="00507C32">
      <w:pPr>
        <w:pStyle w:val="EndnoteText"/>
        <w:rPr>
          <w:sz w:val="24"/>
          <w:szCs w:val="24"/>
        </w:rPr>
      </w:pPr>
      <w:r w:rsidRPr="000E2EDD">
        <w:rPr>
          <w:rStyle w:val="EndnoteReference"/>
          <w:sz w:val="24"/>
          <w:szCs w:val="24"/>
        </w:rPr>
        <w:endnoteRef/>
      </w:r>
      <w:r w:rsidRPr="000E2EDD">
        <w:rPr>
          <w:sz w:val="24"/>
          <w:szCs w:val="24"/>
        </w:rPr>
        <w:t xml:space="preserve"> </w:t>
      </w:r>
      <w:r w:rsidRPr="000E2EDD">
        <w:rPr>
          <w:sz w:val="24"/>
          <w:szCs w:val="24"/>
        </w:rPr>
        <w:tab/>
      </w:r>
      <w:r w:rsidRPr="000E2EDD">
        <w:rPr>
          <w:i/>
          <w:sz w:val="24"/>
          <w:szCs w:val="24"/>
        </w:rPr>
        <w:t xml:space="preserve">The </w:t>
      </w:r>
      <w:r w:rsidRPr="000E2EDD">
        <w:rPr>
          <w:i/>
          <w:color w:val="000000"/>
          <w:sz w:val="24"/>
          <w:szCs w:val="24"/>
        </w:rPr>
        <w:t xml:space="preserve">Guardian </w:t>
      </w:r>
      <w:r w:rsidRPr="000E2EDD">
        <w:rPr>
          <w:color w:val="000000"/>
          <w:sz w:val="24"/>
          <w:szCs w:val="24"/>
        </w:rPr>
        <w:t>28 July 1986</w:t>
      </w:r>
      <w:r w:rsidRPr="000E2EDD">
        <w:rPr>
          <w:i/>
          <w:color w:val="000000"/>
          <w:sz w:val="24"/>
          <w:szCs w:val="24"/>
        </w:rPr>
        <w:t xml:space="preserve">. </w:t>
      </w:r>
    </w:p>
  </w:endnote>
  <w:endnote w:id="76">
    <w:p w:rsidR="00507C32" w:rsidRPr="000E2EDD" w:rsidRDefault="00507C32">
      <w:pPr>
        <w:pStyle w:val="EndnoteText"/>
        <w:rPr>
          <w:sz w:val="24"/>
          <w:szCs w:val="24"/>
        </w:rPr>
      </w:pPr>
      <w:r w:rsidRPr="000E2EDD">
        <w:rPr>
          <w:rStyle w:val="EndnoteReference"/>
          <w:sz w:val="24"/>
          <w:szCs w:val="24"/>
        </w:rPr>
        <w:endnoteRef/>
      </w:r>
      <w:r w:rsidRPr="000E2EDD">
        <w:rPr>
          <w:sz w:val="24"/>
          <w:szCs w:val="24"/>
        </w:rPr>
        <w:t xml:space="preserve"> </w:t>
      </w:r>
      <w:r w:rsidRPr="000E2EDD">
        <w:rPr>
          <w:sz w:val="24"/>
          <w:szCs w:val="24"/>
        </w:rPr>
        <w:tab/>
        <w:t>On a private visit in 1991 Margaret Thatcher praised Lloyd’s as standing for the ‘very best business ethics and the very highest of standards…’</w:t>
      </w:r>
      <w:r>
        <w:rPr>
          <w:sz w:val="24"/>
          <w:szCs w:val="24"/>
        </w:rPr>
        <w:t>, c</w:t>
      </w:r>
      <w:r w:rsidRPr="000E2EDD">
        <w:rPr>
          <w:sz w:val="24"/>
          <w:szCs w:val="24"/>
        </w:rPr>
        <w:t xml:space="preserve">ited by Duguid (2014), p.72. </w:t>
      </w:r>
    </w:p>
  </w:endnote>
  <w:endnote w:id="77">
    <w:p w:rsidR="00507C32" w:rsidRPr="00327536" w:rsidRDefault="00507C32">
      <w:pPr>
        <w:pStyle w:val="EndnoteText"/>
        <w:rPr>
          <w:sz w:val="24"/>
          <w:szCs w:val="24"/>
        </w:rPr>
      </w:pPr>
      <w:r w:rsidRPr="000E2EDD">
        <w:rPr>
          <w:rStyle w:val="EndnoteReference"/>
          <w:sz w:val="24"/>
          <w:szCs w:val="24"/>
        </w:rPr>
        <w:endnoteRef/>
      </w:r>
      <w:r w:rsidRPr="000E2EDD">
        <w:rPr>
          <w:sz w:val="24"/>
          <w:szCs w:val="24"/>
        </w:rPr>
        <w:t xml:space="preserve"> </w:t>
      </w:r>
      <w:r w:rsidRPr="000E2EDD">
        <w:rPr>
          <w:sz w:val="24"/>
          <w:szCs w:val="24"/>
        </w:rPr>
        <w:tab/>
        <w:t>Lloyd’s of London (1987). Writing just after the Neill report</w:t>
      </w:r>
      <w:r w:rsidRPr="00327536">
        <w:rPr>
          <w:sz w:val="24"/>
          <w:szCs w:val="24"/>
        </w:rPr>
        <w:t xml:space="preserve"> was completed, Davison believed the</w:t>
      </w:r>
      <w:r>
        <w:rPr>
          <w:sz w:val="24"/>
          <w:szCs w:val="24"/>
        </w:rPr>
        <w:t>se</w:t>
      </w:r>
      <w:r w:rsidRPr="00327536">
        <w:rPr>
          <w:sz w:val="24"/>
          <w:szCs w:val="24"/>
        </w:rPr>
        <w:t xml:space="preserve"> re</w:t>
      </w:r>
      <w:r>
        <w:rPr>
          <w:sz w:val="24"/>
          <w:szCs w:val="24"/>
        </w:rPr>
        <w:t>forms provided the solution to the problems at</w:t>
      </w:r>
      <w:r w:rsidRPr="00327536">
        <w:rPr>
          <w:sz w:val="24"/>
          <w:szCs w:val="24"/>
        </w:rPr>
        <w:t xml:space="preserve"> Lloyd’s. Davison (1987), pp. 189-92</w:t>
      </w:r>
      <w:r>
        <w:rPr>
          <w:sz w:val="24"/>
          <w:szCs w:val="24"/>
        </w:rPr>
        <w:t>.</w:t>
      </w:r>
    </w:p>
  </w:endnote>
  <w:endnote w:id="78">
    <w:p w:rsidR="00507C32" w:rsidRPr="00560239" w:rsidRDefault="00507C32" w:rsidP="00DA15E1">
      <w:pPr>
        <w:pStyle w:val="EndnoteText"/>
        <w:rPr>
          <w:sz w:val="24"/>
          <w:szCs w:val="24"/>
        </w:rPr>
      </w:pPr>
      <w:r w:rsidRPr="00560239">
        <w:rPr>
          <w:rStyle w:val="EndnoteReference"/>
          <w:sz w:val="24"/>
          <w:szCs w:val="24"/>
        </w:rPr>
        <w:endnoteRef/>
      </w:r>
      <w:r w:rsidRPr="00560239">
        <w:rPr>
          <w:sz w:val="24"/>
          <w:szCs w:val="24"/>
        </w:rPr>
        <w:t xml:space="preserve"> </w:t>
      </w:r>
      <w:r w:rsidRPr="00560239">
        <w:rPr>
          <w:sz w:val="24"/>
          <w:szCs w:val="24"/>
        </w:rPr>
        <w:tab/>
      </w:r>
      <w:r w:rsidRPr="00560239">
        <w:rPr>
          <w:i/>
          <w:sz w:val="24"/>
          <w:szCs w:val="24"/>
        </w:rPr>
        <w:t xml:space="preserve">The Economist </w:t>
      </w:r>
      <w:r w:rsidRPr="00560239">
        <w:rPr>
          <w:sz w:val="24"/>
          <w:szCs w:val="24"/>
        </w:rPr>
        <w:t xml:space="preserve"> 11 December 1993.</w:t>
      </w:r>
    </w:p>
  </w:endnote>
  <w:endnote w:id="79">
    <w:p w:rsidR="00507C32" w:rsidRPr="00560239" w:rsidRDefault="00507C32" w:rsidP="00DA15E1">
      <w:pPr>
        <w:pStyle w:val="EndnoteText"/>
        <w:rPr>
          <w:sz w:val="24"/>
          <w:szCs w:val="24"/>
        </w:rPr>
      </w:pPr>
      <w:r w:rsidRPr="00560239">
        <w:rPr>
          <w:rStyle w:val="EndnoteReference"/>
          <w:sz w:val="24"/>
          <w:szCs w:val="24"/>
        </w:rPr>
        <w:endnoteRef/>
      </w:r>
      <w:r w:rsidRPr="00560239">
        <w:rPr>
          <w:sz w:val="24"/>
          <w:szCs w:val="24"/>
        </w:rPr>
        <w:t xml:space="preserve"> </w:t>
      </w:r>
      <w:r w:rsidRPr="00560239">
        <w:rPr>
          <w:sz w:val="24"/>
          <w:szCs w:val="24"/>
        </w:rPr>
        <w:tab/>
      </w:r>
      <w:r w:rsidRPr="00560239">
        <w:rPr>
          <w:i/>
          <w:sz w:val="24"/>
          <w:szCs w:val="24"/>
        </w:rPr>
        <w:t xml:space="preserve">The Economist </w:t>
      </w:r>
      <w:r w:rsidRPr="00560239">
        <w:rPr>
          <w:sz w:val="24"/>
          <w:szCs w:val="24"/>
        </w:rPr>
        <w:t xml:space="preserve"> 22 January 1994.</w:t>
      </w:r>
    </w:p>
  </w:endnote>
  <w:endnote w:id="80">
    <w:p w:rsidR="00507C32" w:rsidRDefault="00507C32" w:rsidP="00A9526C">
      <w:r>
        <w:rPr>
          <w:rStyle w:val="EndnoteReference"/>
        </w:rPr>
        <w:endnoteRef/>
      </w:r>
      <w:r>
        <w:t xml:space="preserve"> </w:t>
      </w:r>
      <w:r>
        <w:tab/>
      </w:r>
      <w:r w:rsidRPr="008E7BE9">
        <w:t xml:space="preserve">Luessenhop (1995), </w:t>
      </w:r>
      <w:r>
        <w:t>pp. 254-64. Rowland was head of the giant Sedgwick broking firm and a member of council. His nomination by Coleridge was denounced by angry names who demanded that the entire council resign</w:t>
      </w:r>
      <w:r w:rsidR="00207ECE">
        <w:t xml:space="preserve">. </w:t>
      </w:r>
      <w:r w:rsidRPr="00327536">
        <w:rPr>
          <w:i/>
        </w:rPr>
        <w:t xml:space="preserve">The </w:t>
      </w:r>
      <w:r w:rsidRPr="00327536">
        <w:rPr>
          <w:i/>
          <w:color w:val="000000"/>
        </w:rPr>
        <w:t>Guardian</w:t>
      </w:r>
      <w:r>
        <w:rPr>
          <w:i/>
          <w:color w:val="000000"/>
        </w:rPr>
        <w:t xml:space="preserve"> </w:t>
      </w:r>
      <w:r>
        <w:rPr>
          <w:color w:val="000000"/>
        </w:rPr>
        <w:t>28 July 1992.</w:t>
      </w:r>
    </w:p>
  </w:endnote>
  <w:endnote w:id="81">
    <w:p w:rsidR="00507C32" w:rsidRPr="00560239" w:rsidRDefault="00507C32">
      <w:pPr>
        <w:pStyle w:val="EndnoteText"/>
        <w:rPr>
          <w:sz w:val="24"/>
          <w:szCs w:val="24"/>
        </w:rPr>
      </w:pPr>
      <w:r w:rsidRPr="00560239">
        <w:rPr>
          <w:rStyle w:val="EndnoteReference"/>
          <w:sz w:val="24"/>
          <w:szCs w:val="24"/>
        </w:rPr>
        <w:endnoteRef/>
      </w:r>
      <w:r w:rsidRPr="00560239">
        <w:rPr>
          <w:sz w:val="24"/>
          <w:szCs w:val="24"/>
        </w:rPr>
        <w:t xml:space="preserve"> </w:t>
      </w:r>
      <w:r w:rsidRPr="00560239">
        <w:rPr>
          <w:sz w:val="24"/>
          <w:szCs w:val="24"/>
        </w:rPr>
        <w:tab/>
      </w:r>
      <w:r w:rsidRPr="00560239">
        <w:rPr>
          <w:i/>
          <w:sz w:val="24"/>
          <w:szCs w:val="24"/>
        </w:rPr>
        <w:t xml:space="preserve">The Economist </w:t>
      </w:r>
      <w:r w:rsidRPr="00560239">
        <w:rPr>
          <w:sz w:val="24"/>
          <w:szCs w:val="24"/>
        </w:rPr>
        <w:t xml:space="preserve"> 4 July, 25 July 1992.</w:t>
      </w:r>
    </w:p>
  </w:endnote>
  <w:endnote w:id="82">
    <w:p w:rsidR="00507C32" w:rsidRPr="00EA7BD8" w:rsidRDefault="00507C32" w:rsidP="00D6295D">
      <w:r w:rsidRPr="00BA7C31">
        <w:rPr>
          <w:rStyle w:val="EndnoteReference"/>
        </w:rPr>
        <w:endnoteRef/>
      </w:r>
      <w:r w:rsidRPr="00BA7C31">
        <w:t xml:space="preserve"> </w:t>
      </w:r>
      <w:r w:rsidRPr="00BA7C31">
        <w:tab/>
      </w:r>
      <w:r w:rsidRPr="00BA7C31">
        <w:rPr>
          <w:i/>
        </w:rPr>
        <w:t xml:space="preserve">The </w:t>
      </w:r>
      <w:r w:rsidRPr="00BA7C31">
        <w:rPr>
          <w:i/>
          <w:color w:val="000000"/>
        </w:rPr>
        <w:t xml:space="preserve">Guardian </w:t>
      </w:r>
      <w:r w:rsidRPr="00BA7C31">
        <w:rPr>
          <w:color w:val="000000"/>
        </w:rPr>
        <w:t xml:space="preserve"> 28 July 1992; </w:t>
      </w:r>
      <w:r w:rsidRPr="00BA7C31">
        <w:rPr>
          <w:i/>
        </w:rPr>
        <w:t xml:space="preserve">The Economist </w:t>
      </w:r>
      <w:r w:rsidRPr="00BA7C31">
        <w:t>13 August 1994; Luessenhop (1995), p.254. Under Lloyd’s three year accounting system the profits of 1993 w</w:t>
      </w:r>
      <w:r>
        <w:t xml:space="preserve">ere </w:t>
      </w:r>
      <w:r w:rsidRPr="00BA7C31">
        <w:t xml:space="preserve">not </w:t>
      </w:r>
      <w:r>
        <w:t xml:space="preserve">due to be </w:t>
      </w:r>
      <w:r w:rsidRPr="00EA7BD8">
        <w:t>paid out until 1996.</w:t>
      </w:r>
    </w:p>
  </w:endnote>
  <w:endnote w:id="83">
    <w:p w:rsidR="00507C32" w:rsidRPr="00EA7BD8" w:rsidRDefault="00507C32">
      <w:pPr>
        <w:pStyle w:val="EndnoteText"/>
        <w:rPr>
          <w:sz w:val="24"/>
          <w:szCs w:val="24"/>
        </w:rPr>
      </w:pPr>
      <w:r w:rsidRPr="00EA7BD8">
        <w:rPr>
          <w:rStyle w:val="EndnoteReference"/>
          <w:sz w:val="24"/>
          <w:szCs w:val="24"/>
        </w:rPr>
        <w:endnoteRef/>
      </w:r>
      <w:r w:rsidRPr="00EA7BD8">
        <w:rPr>
          <w:sz w:val="24"/>
          <w:szCs w:val="24"/>
        </w:rPr>
        <w:t xml:space="preserve"> </w:t>
      </w:r>
      <w:r w:rsidRPr="00EA7BD8">
        <w:rPr>
          <w:sz w:val="24"/>
          <w:szCs w:val="24"/>
        </w:rPr>
        <w:tab/>
        <w:t xml:space="preserve">Coleridge had little sympathy for </w:t>
      </w:r>
      <w:r w:rsidR="00384378">
        <w:rPr>
          <w:sz w:val="24"/>
          <w:szCs w:val="24"/>
        </w:rPr>
        <w:t>those</w:t>
      </w:r>
      <w:r w:rsidRPr="00EA7BD8">
        <w:rPr>
          <w:sz w:val="24"/>
          <w:szCs w:val="24"/>
        </w:rPr>
        <w:t xml:space="preserve"> in difficulty. </w:t>
      </w:r>
      <w:r>
        <w:rPr>
          <w:sz w:val="24"/>
          <w:szCs w:val="24"/>
        </w:rPr>
        <w:t xml:space="preserve">He </w:t>
      </w:r>
      <w:r w:rsidRPr="00EA7BD8">
        <w:rPr>
          <w:sz w:val="24"/>
          <w:szCs w:val="24"/>
        </w:rPr>
        <w:t>told a name in 1994 that ‘they went into a risk business, insurance isn’t selling baked beans</w:t>
      </w:r>
      <w:r>
        <w:rPr>
          <w:sz w:val="24"/>
          <w:szCs w:val="24"/>
        </w:rPr>
        <w:t>’</w:t>
      </w:r>
      <w:r w:rsidRPr="00EA7BD8">
        <w:rPr>
          <w:sz w:val="24"/>
          <w:szCs w:val="24"/>
        </w:rPr>
        <w:t>. Cited by Luessenhop (1995), p.78.</w:t>
      </w:r>
    </w:p>
  </w:endnote>
  <w:endnote w:id="84">
    <w:p w:rsidR="00507C32" w:rsidRPr="0049503C" w:rsidRDefault="00507C32">
      <w:pPr>
        <w:pStyle w:val="EndnoteText"/>
        <w:rPr>
          <w:sz w:val="24"/>
          <w:szCs w:val="24"/>
        </w:rPr>
      </w:pPr>
      <w:r w:rsidRPr="0049503C">
        <w:rPr>
          <w:rStyle w:val="EndnoteReference"/>
          <w:sz w:val="24"/>
          <w:szCs w:val="24"/>
        </w:rPr>
        <w:endnoteRef/>
      </w:r>
      <w:r w:rsidRPr="0049503C">
        <w:rPr>
          <w:sz w:val="24"/>
          <w:szCs w:val="24"/>
        </w:rPr>
        <w:t xml:space="preserve"> </w:t>
      </w:r>
      <w:r w:rsidRPr="0049503C">
        <w:rPr>
          <w:sz w:val="24"/>
          <w:szCs w:val="24"/>
        </w:rPr>
        <w:tab/>
        <w:t xml:space="preserve">Luessenhop (1995), pp. 280-300. </w:t>
      </w:r>
    </w:p>
  </w:endnote>
  <w:endnote w:id="85">
    <w:p w:rsidR="00507C32" w:rsidRPr="0049503C" w:rsidRDefault="00507C32" w:rsidP="00370BAC">
      <w:pPr>
        <w:pStyle w:val="EndnoteText"/>
        <w:rPr>
          <w:sz w:val="24"/>
          <w:szCs w:val="24"/>
        </w:rPr>
      </w:pPr>
      <w:r w:rsidRPr="0049503C">
        <w:rPr>
          <w:rStyle w:val="EndnoteReference"/>
          <w:sz w:val="24"/>
          <w:szCs w:val="24"/>
        </w:rPr>
        <w:endnoteRef/>
      </w:r>
      <w:r w:rsidRPr="0049503C">
        <w:rPr>
          <w:sz w:val="24"/>
          <w:szCs w:val="24"/>
        </w:rPr>
        <w:t xml:space="preserve"> </w:t>
      </w:r>
      <w:r w:rsidRPr="0049503C">
        <w:rPr>
          <w:sz w:val="24"/>
          <w:szCs w:val="24"/>
        </w:rPr>
        <w:tab/>
        <w:t xml:space="preserve">Zinkewicz (1997). </w:t>
      </w:r>
      <w:r w:rsidR="00FA36B0" w:rsidRPr="00370BAC">
        <w:rPr>
          <w:sz w:val="24"/>
          <w:szCs w:val="24"/>
        </w:rPr>
        <w:t>By 2012 only three per cent of capacity was still written on an unlimited liability basis</w:t>
      </w:r>
      <w:r w:rsidR="00FA36B0">
        <w:rPr>
          <w:sz w:val="24"/>
          <w:szCs w:val="24"/>
        </w:rPr>
        <w:t>.</w:t>
      </w:r>
      <w:r w:rsidR="00FA36B0" w:rsidRPr="00370BAC">
        <w:rPr>
          <w:sz w:val="24"/>
          <w:szCs w:val="24"/>
        </w:rPr>
        <w:t xml:space="preserve"> Duguid (2014), p. 292</w:t>
      </w:r>
      <w:r w:rsidR="00FA36B0">
        <w:rPr>
          <w:sz w:val="24"/>
          <w:szCs w:val="24"/>
        </w:rPr>
        <w:t>.</w:t>
      </w:r>
    </w:p>
  </w:endnote>
  <w:endnote w:id="86">
    <w:p w:rsidR="00507C32" w:rsidRDefault="00507C32" w:rsidP="00F505AB">
      <w:r>
        <w:rPr>
          <w:rStyle w:val="EndnoteReference"/>
        </w:rPr>
        <w:endnoteRef/>
      </w:r>
      <w:r>
        <w:t xml:space="preserve"> </w:t>
      </w:r>
      <w:r>
        <w:tab/>
      </w:r>
      <w:r w:rsidRPr="00370BAC">
        <w:t>Dilks (1997)</w:t>
      </w:r>
      <w:r>
        <w:t>.</w:t>
      </w:r>
    </w:p>
  </w:endnote>
  <w:endnote w:id="87">
    <w:p w:rsidR="00507C32" w:rsidRDefault="00507C32" w:rsidP="008C41BC">
      <w:pPr>
        <w:pStyle w:val="EndnoteText"/>
      </w:pPr>
      <w:r>
        <w:rPr>
          <w:rStyle w:val="EndnoteReference"/>
        </w:rPr>
        <w:endnoteRef/>
      </w:r>
      <w:r>
        <w:t xml:space="preserve"> </w:t>
      </w:r>
      <w:r>
        <w:tab/>
      </w:r>
      <w:r w:rsidRPr="0019528A">
        <w:rPr>
          <w:sz w:val="24"/>
          <w:szCs w:val="24"/>
        </w:rPr>
        <w:t xml:space="preserve">Duguid (2014), </w:t>
      </w:r>
      <w:r>
        <w:rPr>
          <w:sz w:val="24"/>
          <w:szCs w:val="24"/>
        </w:rPr>
        <w:t>p.12.</w:t>
      </w:r>
    </w:p>
  </w:endnote>
  <w:endnote w:id="88">
    <w:p w:rsidR="00507C32" w:rsidRPr="00245FA2" w:rsidRDefault="00507C32">
      <w:pPr>
        <w:pStyle w:val="EndnoteText"/>
        <w:rPr>
          <w:sz w:val="24"/>
          <w:szCs w:val="24"/>
        </w:rPr>
      </w:pPr>
      <w:r w:rsidRPr="00245FA2">
        <w:rPr>
          <w:rStyle w:val="EndnoteReference"/>
          <w:sz w:val="24"/>
          <w:szCs w:val="24"/>
        </w:rPr>
        <w:endnoteRef/>
      </w:r>
      <w:r w:rsidRPr="00245FA2">
        <w:rPr>
          <w:sz w:val="24"/>
          <w:szCs w:val="24"/>
        </w:rPr>
        <w:t xml:space="preserve"> </w:t>
      </w:r>
      <w:r w:rsidRPr="00245FA2">
        <w:rPr>
          <w:sz w:val="24"/>
          <w:szCs w:val="24"/>
        </w:rPr>
        <w:tab/>
      </w:r>
      <w:r w:rsidRPr="00245FA2">
        <w:rPr>
          <w:i/>
          <w:sz w:val="24"/>
          <w:szCs w:val="24"/>
        </w:rPr>
        <w:t xml:space="preserve">The Economist </w:t>
      </w:r>
      <w:r w:rsidRPr="00245FA2">
        <w:rPr>
          <w:sz w:val="24"/>
          <w:szCs w:val="24"/>
        </w:rPr>
        <w:t>10 December 1994; Goddard (1997); Duguid (2014), pp.</w:t>
      </w:r>
      <w:r>
        <w:rPr>
          <w:sz w:val="24"/>
          <w:szCs w:val="24"/>
        </w:rPr>
        <w:t xml:space="preserve"> </w:t>
      </w:r>
      <w:r w:rsidRPr="00245FA2">
        <w:rPr>
          <w:sz w:val="24"/>
          <w:szCs w:val="24"/>
        </w:rPr>
        <w:t xml:space="preserve">279-80. </w:t>
      </w:r>
    </w:p>
  </w:endnote>
  <w:endnote w:id="89">
    <w:p w:rsidR="00507C32" w:rsidRPr="00D637ED" w:rsidRDefault="00507C32">
      <w:pPr>
        <w:pStyle w:val="EndnoteText"/>
        <w:rPr>
          <w:sz w:val="24"/>
          <w:szCs w:val="24"/>
        </w:rPr>
      </w:pPr>
      <w:r w:rsidRPr="00D637ED">
        <w:rPr>
          <w:rStyle w:val="EndnoteReference"/>
          <w:sz w:val="24"/>
          <w:szCs w:val="24"/>
        </w:rPr>
        <w:endnoteRef/>
      </w:r>
      <w:r w:rsidRPr="00D637ED">
        <w:rPr>
          <w:sz w:val="24"/>
          <w:szCs w:val="24"/>
        </w:rPr>
        <w:t xml:space="preserve"> </w:t>
      </w:r>
      <w:r w:rsidRPr="00D637ED">
        <w:rPr>
          <w:sz w:val="24"/>
          <w:szCs w:val="24"/>
        </w:rPr>
        <w:tab/>
        <w:t xml:space="preserve">Ninety-seven per cent of names accepted the settlement, though a </w:t>
      </w:r>
      <w:r w:rsidR="009C0712" w:rsidRPr="00D637ED">
        <w:rPr>
          <w:sz w:val="24"/>
          <w:szCs w:val="24"/>
        </w:rPr>
        <w:t xml:space="preserve">substantial </w:t>
      </w:r>
      <w:r w:rsidRPr="00D637ED">
        <w:rPr>
          <w:sz w:val="24"/>
          <w:szCs w:val="24"/>
        </w:rPr>
        <w:t>minority (23 per cent) of US names refused. Duguid (2014), pp. 281-8.</w:t>
      </w:r>
    </w:p>
  </w:endnote>
  <w:endnote w:id="90">
    <w:p w:rsidR="00D637ED" w:rsidRPr="00D637ED" w:rsidRDefault="00D637ED">
      <w:pPr>
        <w:pStyle w:val="EndnoteText"/>
        <w:rPr>
          <w:sz w:val="24"/>
          <w:szCs w:val="24"/>
        </w:rPr>
      </w:pPr>
      <w:r w:rsidRPr="00D637ED">
        <w:rPr>
          <w:rStyle w:val="EndnoteReference"/>
          <w:sz w:val="24"/>
          <w:szCs w:val="24"/>
        </w:rPr>
        <w:endnoteRef/>
      </w:r>
      <w:r w:rsidRPr="00D637ED">
        <w:rPr>
          <w:sz w:val="24"/>
          <w:szCs w:val="24"/>
        </w:rPr>
        <w:t xml:space="preserve"> </w:t>
      </w:r>
      <w:r w:rsidRPr="00D637ED">
        <w:rPr>
          <w:sz w:val="24"/>
          <w:szCs w:val="24"/>
        </w:rPr>
        <w:tab/>
        <w:t>Duguid (2014), pp. 294-5.</w:t>
      </w:r>
    </w:p>
  </w:endnote>
  <w:endnote w:id="91">
    <w:p w:rsidR="00507C32" w:rsidRPr="00384378" w:rsidRDefault="00507C32">
      <w:pPr>
        <w:pStyle w:val="EndnoteText"/>
        <w:rPr>
          <w:sz w:val="24"/>
          <w:szCs w:val="24"/>
        </w:rPr>
      </w:pPr>
      <w:r w:rsidRPr="00D637ED">
        <w:rPr>
          <w:rStyle w:val="EndnoteReference"/>
          <w:sz w:val="24"/>
          <w:szCs w:val="24"/>
        </w:rPr>
        <w:endnoteRef/>
      </w:r>
      <w:r w:rsidRPr="00D637ED">
        <w:rPr>
          <w:sz w:val="24"/>
          <w:szCs w:val="24"/>
        </w:rPr>
        <w:t xml:space="preserve"> </w:t>
      </w:r>
      <w:r w:rsidRPr="00D637ED">
        <w:rPr>
          <w:sz w:val="24"/>
          <w:szCs w:val="24"/>
        </w:rPr>
        <w:tab/>
      </w:r>
      <w:r w:rsidR="00384378" w:rsidRPr="00D637ED">
        <w:rPr>
          <w:sz w:val="24"/>
          <w:szCs w:val="24"/>
        </w:rPr>
        <w:t>Losses included a record £2bn from the 9/11 terrorist attack on the World Trade Centre.</w:t>
      </w:r>
      <w:r w:rsidR="00384378">
        <w:rPr>
          <w:sz w:val="24"/>
          <w:szCs w:val="24"/>
        </w:rPr>
        <w:t xml:space="preserve"> </w:t>
      </w:r>
      <w:r w:rsidRPr="00384378">
        <w:rPr>
          <w:i/>
          <w:sz w:val="24"/>
          <w:szCs w:val="24"/>
        </w:rPr>
        <w:t>Financial Times</w:t>
      </w:r>
      <w:r w:rsidRPr="00384378">
        <w:rPr>
          <w:sz w:val="24"/>
          <w:szCs w:val="24"/>
        </w:rPr>
        <w:t xml:space="preserve"> 11 April 2002.</w:t>
      </w:r>
      <w:r w:rsidR="00384378" w:rsidRPr="00384378">
        <w:rPr>
          <w:sz w:val="24"/>
          <w:szCs w:val="24"/>
        </w:rPr>
        <w:t xml:space="preserve"> </w:t>
      </w:r>
    </w:p>
  </w:endnote>
  <w:endnote w:id="92">
    <w:p w:rsidR="00507C32" w:rsidRPr="009F2BEA" w:rsidRDefault="00507C32">
      <w:pPr>
        <w:pStyle w:val="EndnoteText"/>
        <w:rPr>
          <w:sz w:val="24"/>
          <w:szCs w:val="24"/>
        </w:rPr>
      </w:pPr>
      <w:r w:rsidRPr="00384378">
        <w:rPr>
          <w:rStyle w:val="EndnoteReference"/>
          <w:sz w:val="24"/>
          <w:szCs w:val="24"/>
        </w:rPr>
        <w:endnoteRef/>
      </w:r>
      <w:r w:rsidRPr="009F2BEA">
        <w:rPr>
          <w:sz w:val="24"/>
          <w:szCs w:val="24"/>
        </w:rPr>
        <w:t xml:space="preserve"> </w:t>
      </w:r>
      <w:r w:rsidRPr="009F2BEA">
        <w:rPr>
          <w:sz w:val="24"/>
          <w:szCs w:val="24"/>
        </w:rPr>
        <w:tab/>
      </w:r>
      <w:r w:rsidRPr="009F2BEA">
        <w:rPr>
          <w:i/>
          <w:sz w:val="24"/>
          <w:szCs w:val="24"/>
        </w:rPr>
        <w:t>Sigma</w:t>
      </w:r>
      <w:r>
        <w:rPr>
          <w:sz w:val="24"/>
          <w:szCs w:val="24"/>
        </w:rPr>
        <w:t xml:space="preserve"> (2002), no.3, p.18.</w:t>
      </w:r>
    </w:p>
  </w:endnote>
  <w:endnote w:id="93">
    <w:p w:rsidR="00507C32" w:rsidRPr="009F2BEA" w:rsidRDefault="00507C32">
      <w:pPr>
        <w:pStyle w:val="EndnoteText"/>
        <w:rPr>
          <w:sz w:val="24"/>
          <w:szCs w:val="24"/>
        </w:rPr>
      </w:pPr>
      <w:r w:rsidRPr="009F2BEA">
        <w:rPr>
          <w:rStyle w:val="EndnoteReference"/>
          <w:sz w:val="24"/>
          <w:szCs w:val="24"/>
        </w:rPr>
        <w:endnoteRef/>
      </w:r>
      <w:r w:rsidRPr="009F2BEA">
        <w:rPr>
          <w:sz w:val="24"/>
          <w:szCs w:val="24"/>
        </w:rPr>
        <w:t xml:space="preserve"> </w:t>
      </w:r>
      <w:r w:rsidRPr="009F2BEA">
        <w:rPr>
          <w:sz w:val="24"/>
          <w:szCs w:val="24"/>
        </w:rPr>
        <w:tab/>
      </w:r>
      <w:r w:rsidRPr="009F2BEA">
        <w:rPr>
          <w:i/>
          <w:sz w:val="24"/>
          <w:szCs w:val="24"/>
        </w:rPr>
        <w:t>Financial Times</w:t>
      </w:r>
      <w:r w:rsidRPr="009F2BEA">
        <w:rPr>
          <w:sz w:val="24"/>
          <w:szCs w:val="24"/>
        </w:rPr>
        <w:t xml:space="preserve"> 28 November 2001. </w:t>
      </w:r>
    </w:p>
  </w:endnote>
  <w:endnote w:id="94">
    <w:p w:rsidR="00507C32" w:rsidRPr="009F75BA" w:rsidRDefault="00507C32" w:rsidP="009F2BEA">
      <w:r w:rsidRPr="009F75BA">
        <w:rPr>
          <w:rStyle w:val="EndnoteReference"/>
        </w:rPr>
        <w:endnoteRef/>
      </w:r>
      <w:r w:rsidRPr="009F75BA">
        <w:t xml:space="preserve"> </w:t>
      </w:r>
      <w:r w:rsidRPr="009F75BA">
        <w:tab/>
      </w:r>
      <w:r w:rsidRPr="009F75BA">
        <w:rPr>
          <w:i/>
        </w:rPr>
        <w:t>Lloyd’s Annual Report</w:t>
      </w:r>
      <w:r w:rsidRPr="009F75BA">
        <w:t xml:space="preserve"> 2012, pp.1-2.</w:t>
      </w:r>
    </w:p>
  </w:endnote>
  <w:endnote w:id="95">
    <w:p w:rsidR="00507C32" w:rsidRPr="009F75BA" w:rsidRDefault="00507C32">
      <w:pPr>
        <w:pStyle w:val="EndnoteText"/>
        <w:rPr>
          <w:sz w:val="24"/>
          <w:szCs w:val="24"/>
        </w:rPr>
      </w:pPr>
      <w:r w:rsidRPr="009F75BA">
        <w:rPr>
          <w:rStyle w:val="EndnoteReference"/>
          <w:sz w:val="24"/>
          <w:szCs w:val="24"/>
        </w:rPr>
        <w:endnoteRef/>
      </w:r>
      <w:r w:rsidRPr="009F75BA">
        <w:rPr>
          <w:sz w:val="24"/>
          <w:szCs w:val="24"/>
        </w:rPr>
        <w:t xml:space="preserve"> </w:t>
      </w:r>
      <w:r w:rsidRPr="009F75BA">
        <w:rPr>
          <w:sz w:val="24"/>
          <w:szCs w:val="24"/>
        </w:rPr>
        <w:tab/>
      </w:r>
      <w:r w:rsidR="009F75BA" w:rsidRPr="009F75BA">
        <w:rPr>
          <w:sz w:val="24"/>
          <w:szCs w:val="24"/>
        </w:rPr>
        <w:t>Malcolm Gladwell has argued that contagion is a function of social context and is one of the factors that lead to a tipping point</w:t>
      </w:r>
      <w:r w:rsidR="009F75BA">
        <w:rPr>
          <w:sz w:val="24"/>
          <w:szCs w:val="24"/>
        </w:rPr>
        <w:t xml:space="preserve">. </w:t>
      </w:r>
      <w:r w:rsidRPr="009F75BA">
        <w:rPr>
          <w:sz w:val="24"/>
          <w:szCs w:val="24"/>
        </w:rPr>
        <w:t>Gladwell (2000), pp.139-40, 158.</w:t>
      </w:r>
    </w:p>
  </w:endnote>
  <w:endnote w:id="96">
    <w:p w:rsidR="00507C32" w:rsidRPr="00A9526C" w:rsidRDefault="00507C32">
      <w:pPr>
        <w:pStyle w:val="EndnoteText"/>
        <w:rPr>
          <w:sz w:val="24"/>
          <w:szCs w:val="24"/>
        </w:rPr>
      </w:pPr>
      <w:r w:rsidRPr="00A9526C">
        <w:rPr>
          <w:rStyle w:val="EndnoteReference"/>
          <w:sz w:val="24"/>
          <w:szCs w:val="24"/>
        </w:rPr>
        <w:endnoteRef/>
      </w:r>
      <w:r w:rsidRPr="00A9526C">
        <w:rPr>
          <w:sz w:val="24"/>
          <w:szCs w:val="24"/>
        </w:rPr>
        <w:t xml:space="preserve"> </w:t>
      </w:r>
      <w:r w:rsidRPr="00A9526C">
        <w:rPr>
          <w:sz w:val="24"/>
          <w:szCs w:val="24"/>
        </w:rPr>
        <w:tab/>
      </w:r>
      <w:r w:rsidRPr="00A9526C">
        <w:rPr>
          <w:i/>
          <w:sz w:val="24"/>
          <w:szCs w:val="24"/>
        </w:rPr>
        <w:t xml:space="preserve">The Times </w:t>
      </w:r>
      <w:r w:rsidRPr="00A9526C">
        <w:rPr>
          <w:color w:val="000000"/>
          <w:sz w:val="24"/>
          <w:szCs w:val="24"/>
        </w:rPr>
        <w:t>14 May 1985.</w:t>
      </w:r>
    </w:p>
  </w:endnote>
  <w:endnote w:id="97">
    <w:p w:rsidR="00507C32" w:rsidRPr="00A9526C" w:rsidRDefault="00507C32">
      <w:pPr>
        <w:pStyle w:val="EndnoteText"/>
        <w:rPr>
          <w:sz w:val="24"/>
          <w:szCs w:val="24"/>
        </w:rPr>
      </w:pPr>
      <w:r w:rsidRPr="00A9526C">
        <w:rPr>
          <w:rStyle w:val="EndnoteReference"/>
          <w:sz w:val="24"/>
          <w:szCs w:val="24"/>
        </w:rPr>
        <w:endnoteRef/>
      </w:r>
      <w:r w:rsidRPr="00A9526C">
        <w:rPr>
          <w:sz w:val="24"/>
          <w:szCs w:val="24"/>
        </w:rPr>
        <w:t xml:space="preserve"> </w:t>
      </w:r>
      <w:r w:rsidRPr="00A9526C">
        <w:rPr>
          <w:sz w:val="24"/>
          <w:szCs w:val="24"/>
        </w:rPr>
        <w:tab/>
        <w:t>In the early 19</w:t>
      </w:r>
      <w:r>
        <w:rPr>
          <w:sz w:val="24"/>
          <w:szCs w:val="24"/>
        </w:rPr>
        <w:t>8</w:t>
      </w:r>
      <w:r w:rsidRPr="00A9526C">
        <w:rPr>
          <w:sz w:val="24"/>
          <w:szCs w:val="24"/>
        </w:rPr>
        <w:t xml:space="preserve">0s 73 per cent of applicants were being accepted for the short so-called ‘rota’ </w:t>
      </w:r>
      <w:r>
        <w:rPr>
          <w:sz w:val="24"/>
          <w:szCs w:val="24"/>
        </w:rPr>
        <w:t xml:space="preserve">admission </w:t>
      </w:r>
      <w:r w:rsidRPr="00A9526C">
        <w:rPr>
          <w:sz w:val="24"/>
          <w:szCs w:val="24"/>
        </w:rPr>
        <w:t>interview at Lloyd’s. Ninety-seven per cent of those interviewed were admitted. Calculated from Davison (1987), p.224</w:t>
      </w:r>
      <w:r>
        <w:rPr>
          <w:sz w:val="24"/>
          <w:szCs w:val="24"/>
        </w:rPr>
        <w:t xml:space="preserve"> </w:t>
      </w:r>
      <w:r w:rsidRPr="00A9526C">
        <w:rPr>
          <w:sz w:val="24"/>
          <w:szCs w:val="24"/>
        </w:rPr>
        <w:t>n4</w:t>
      </w:r>
      <w:r>
        <w:rPr>
          <w:sz w:val="24"/>
          <w:szCs w:val="24"/>
        </w:rPr>
        <w:t xml:space="preserve">. </w:t>
      </w:r>
      <w:r w:rsidRPr="00A9526C">
        <w:rPr>
          <w:sz w:val="24"/>
          <w:szCs w:val="24"/>
        </w:rPr>
        <w:t xml:space="preserve">On the rota interview and the seduction of ‘joining the club’, </w:t>
      </w:r>
      <w:r>
        <w:rPr>
          <w:sz w:val="24"/>
          <w:szCs w:val="24"/>
        </w:rPr>
        <w:t xml:space="preserve">see </w:t>
      </w:r>
      <w:r w:rsidRPr="00A9526C">
        <w:rPr>
          <w:sz w:val="24"/>
          <w:szCs w:val="24"/>
        </w:rPr>
        <w:t xml:space="preserve">Luessenhop </w:t>
      </w:r>
      <w:r>
        <w:rPr>
          <w:sz w:val="24"/>
          <w:szCs w:val="24"/>
        </w:rPr>
        <w:t xml:space="preserve">(1995), </w:t>
      </w:r>
      <w:r w:rsidRPr="00A9526C">
        <w:rPr>
          <w:sz w:val="24"/>
          <w:szCs w:val="24"/>
        </w:rPr>
        <w:t>pp.20-25, 32-3</w:t>
      </w:r>
      <w:r>
        <w:rPr>
          <w:sz w:val="24"/>
          <w:szCs w:val="24"/>
        </w:rPr>
        <w:t xml:space="preserve">, and </w:t>
      </w:r>
      <w:r w:rsidRPr="00A9526C">
        <w:rPr>
          <w:sz w:val="24"/>
          <w:szCs w:val="24"/>
        </w:rPr>
        <w:t>Duguid</w:t>
      </w:r>
      <w:r>
        <w:rPr>
          <w:sz w:val="24"/>
          <w:szCs w:val="24"/>
        </w:rPr>
        <w:t xml:space="preserve"> (2014)</w:t>
      </w:r>
      <w:r w:rsidRPr="00A9526C">
        <w:rPr>
          <w:sz w:val="24"/>
          <w:szCs w:val="24"/>
        </w:rPr>
        <w:t>, p.14</w:t>
      </w:r>
      <w:r>
        <w:rPr>
          <w:sz w:val="24"/>
          <w:szCs w:val="24"/>
        </w:rPr>
        <w:t xml:space="preserve">. </w:t>
      </w:r>
    </w:p>
  </w:endnote>
  <w:endnote w:id="98">
    <w:p w:rsidR="00507C32" w:rsidRPr="009B5BEF" w:rsidRDefault="00507C32">
      <w:pPr>
        <w:pStyle w:val="EndnoteText"/>
        <w:rPr>
          <w:sz w:val="24"/>
          <w:szCs w:val="24"/>
        </w:rPr>
      </w:pPr>
      <w:r w:rsidRPr="009B5BEF">
        <w:rPr>
          <w:rStyle w:val="EndnoteReference"/>
          <w:sz w:val="24"/>
          <w:szCs w:val="24"/>
        </w:rPr>
        <w:endnoteRef/>
      </w:r>
      <w:r w:rsidRPr="009B5BEF">
        <w:rPr>
          <w:sz w:val="24"/>
          <w:szCs w:val="24"/>
        </w:rPr>
        <w:t xml:space="preserve"> </w:t>
      </w:r>
      <w:r w:rsidRPr="009B5BEF">
        <w:rPr>
          <w:sz w:val="24"/>
          <w:szCs w:val="24"/>
        </w:rPr>
        <w:tab/>
        <w:t xml:space="preserve">By 1991 the top rate of UK personal income tax, which had reached 98 per cent in the 1970s, had fallen to 40 per cent, wiping out much of the tax advantage enjoyed earlier by Lloyd’s names. </w:t>
      </w:r>
      <w:r w:rsidRPr="009B5BEF">
        <w:rPr>
          <w:i/>
          <w:sz w:val="24"/>
          <w:szCs w:val="24"/>
        </w:rPr>
        <w:t xml:space="preserve">The Economist </w:t>
      </w:r>
      <w:r w:rsidRPr="009B5BEF">
        <w:rPr>
          <w:sz w:val="24"/>
          <w:szCs w:val="24"/>
        </w:rPr>
        <w:t>9 March 1991.</w:t>
      </w:r>
    </w:p>
  </w:endnote>
  <w:endnote w:id="99">
    <w:p w:rsidR="00507C32" w:rsidRPr="009B5BEF" w:rsidRDefault="00507C32">
      <w:pPr>
        <w:pStyle w:val="EndnoteText"/>
        <w:rPr>
          <w:sz w:val="24"/>
          <w:szCs w:val="24"/>
        </w:rPr>
      </w:pPr>
      <w:r w:rsidRPr="009B5BEF">
        <w:rPr>
          <w:rStyle w:val="EndnoteReference"/>
          <w:sz w:val="24"/>
          <w:szCs w:val="24"/>
        </w:rPr>
        <w:endnoteRef/>
      </w:r>
      <w:r w:rsidRPr="009B5BEF">
        <w:rPr>
          <w:sz w:val="24"/>
          <w:szCs w:val="24"/>
        </w:rPr>
        <w:t xml:space="preserve"> </w:t>
      </w:r>
      <w:r w:rsidRPr="009B5BEF">
        <w:rPr>
          <w:sz w:val="24"/>
          <w:szCs w:val="24"/>
        </w:rPr>
        <w:tab/>
        <w:t>Duguid (2014), pp.18-22.</w:t>
      </w:r>
    </w:p>
  </w:endnote>
  <w:endnote w:id="100">
    <w:p w:rsidR="00507C32" w:rsidRDefault="00507C32">
      <w:pPr>
        <w:pStyle w:val="EndnoteText"/>
      </w:pPr>
      <w:r w:rsidRPr="009B5BEF">
        <w:rPr>
          <w:rStyle w:val="EndnoteReference"/>
          <w:sz w:val="24"/>
          <w:szCs w:val="24"/>
        </w:rPr>
        <w:endnoteRef/>
      </w:r>
      <w:r w:rsidRPr="009B5BEF">
        <w:rPr>
          <w:sz w:val="24"/>
          <w:szCs w:val="24"/>
        </w:rPr>
        <w:t xml:space="preserve"> </w:t>
      </w:r>
      <w:r w:rsidRPr="009B5BEF">
        <w:rPr>
          <w:sz w:val="24"/>
          <w:szCs w:val="24"/>
        </w:rPr>
        <w:tab/>
        <w:t xml:space="preserve">Davison (1987), p.25; Duguid (2014), pp. 6-7; Browne (2010), </w:t>
      </w:r>
      <w:r>
        <w:rPr>
          <w:sz w:val="24"/>
          <w:szCs w:val="24"/>
        </w:rPr>
        <w:t xml:space="preserve">slides 5-6.  </w:t>
      </w:r>
    </w:p>
  </w:endnote>
  <w:endnote w:id="101">
    <w:p w:rsidR="00507C32" w:rsidRPr="00EF47D1" w:rsidRDefault="00507C32" w:rsidP="00EF47D1">
      <w:r w:rsidRPr="00EF47D1">
        <w:rPr>
          <w:rStyle w:val="EndnoteReference"/>
        </w:rPr>
        <w:endnoteRef/>
      </w:r>
      <w:r w:rsidRPr="00EF47D1">
        <w:t xml:space="preserve"> </w:t>
      </w:r>
      <w:r w:rsidRPr="00EF47D1">
        <w:tab/>
        <w:t xml:space="preserve">Luessenhop (1995), p.28; Phillips (1994), pp.117-18; </w:t>
      </w:r>
      <w:r w:rsidRPr="00EF47D1">
        <w:rPr>
          <w:iCs/>
        </w:rPr>
        <w:t>Berger, Cummins and Tennyson (1992)</w:t>
      </w:r>
      <w:r w:rsidRPr="00EF47D1">
        <w:t xml:space="preserve">. </w:t>
      </w:r>
    </w:p>
  </w:endnote>
  <w:endnote w:id="102">
    <w:p w:rsidR="00507C32" w:rsidRPr="002252B6" w:rsidRDefault="00507C32">
      <w:pPr>
        <w:pStyle w:val="EndnoteText"/>
        <w:rPr>
          <w:sz w:val="24"/>
          <w:szCs w:val="24"/>
        </w:rPr>
      </w:pPr>
      <w:r w:rsidRPr="002252B6">
        <w:rPr>
          <w:rStyle w:val="EndnoteReference"/>
          <w:sz w:val="24"/>
          <w:szCs w:val="24"/>
        </w:rPr>
        <w:endnoteRef/>
      </w:r>
      <w:r w:rsidRPr="002252B6">
        <w:rPr>
          <w:sz w:val="24"/>
          <w:szCs w:val="24"/>
        </w:rPr>
        <w:t xml:space="preserve"> </w:t>
      </w:r>
      <w:r w:rsidRPr="002252B6">
        <w:rPr>
          <w:sz w:val="24"/>
          <w:szCs w:val="24"/>
        </w:rPr>
        <w:tab/>
      </w:r>
      <w:r w:rsidR="00157A8A">
        <w:rPr>
          <w:sz w:val="24"/>
          <w:szCs w:val="24"/>
        </w:rPr>
        <w:t>On</w:t>
      </w:r>
      <w:r>
        <w:rPr>
          <w:sz w:val="24"/>
          <w:szCs w:val="24"/>
        </w:rPr>
        <w:t xml:space="preserve"> different types of knowledge, see </w:t>
      </w:r>
      <w:r w:rsidRPr="002252B6">
        <w:rPr>
          <w:sz w:val="24"/>
          <w:szCs w:val="24"/>
        </w:rPr>
        <w:t>Mokyr (2002</w:t>
      </w:r>
      <w:r>
        <w:rPr>
          <w:sz w:val="24"/>
          <w:szCs w:val="24"/>
        </w:rPr>
        <w:t>)</w:t>
      </w:r>
      <w:r w:rsidRPr="002252B6">
        <w:rPr>
          <w:sz w:val="24"/>
          <w:szCs w:val="24"/>
          <w:lang w:eastAsia="zh-CN"/>
        </w:rPr>
        <w:t>, chapter 1.</w:t>
      </w:r>
    </w:p>
  </w:endnote>
  <w:endnote w:id="103">
    <w:p w:rsidR="00507C32" w:rsidRPr="002252B6" w:rsidRDefault="00507C32">
      <w:pPr>
        <w:pStyle w:val="EndnoteText"/>
        <w:rPr>
          <w:sz w:val="24"/>
          <w:szCs w:val="24"/>
        </w:rPr>
      </w:pPr>
      <w:r w:rsidRPr="002252B6">
        <w:rPr>
          <w:rStyle w:val="EndnoteReference"/>
          <w:sz w:val="24"/>
          <w:szCs w:val="24"/>
        </w:rPr>
        <w:endnoteRef/>
      </w:r>
      <w:r w:rsidRPr="002252B6">
        <w:rPr>
          <w:sz w:val="24"/>
          <w:szCs w:val="24"/>
        </w:rPr>
        <w:t xml:space="preserve"> </w:t>
      </w:r>
      <w:r w:rsidRPr="002252B6">
        <w:rPr>
          <w:sz w:val="24"/>
          <w:szCs w:val="24"/>
        </w:rPr>
        <w:tab/>
        <w:t>Kahneman (2011).</w:t>
      </w:r>
    </w:p>
  </w:endnote>
  <w:endnote w:id="104">
    <w:p w:rsidR="00507C32" w:rsidRPr="002252B6" w:rsidRDefault="00507C32">
      <w:pPr>
        <w:pStyle w:val="EndnoteText"/>
        <w:rPr>
          <w:sz w:val="24"/>
          <w:szCs w:val="24"/>
        </w:rPr>
      </w:pPr>
      <w:r w:rsidRPr="002252B6">
        <w:rPr>
          <w:rStyle w:val="EndnoteReference"/>
          <w:sz w:val="24"/>
          <w:szCs w:val="24"/>
        </w:rPr>
        <w:endnoteRef/>
      </w:r>
      <w:r w:rsidRPr="002252B6">
        <w:rPr>
          <w:sz w:val="24"/>
          <w:szCs w:val="24"/>
        </w:rPr>
        <w:t xml:space="preserve"> </w:t>
      </w:r>
      <w:r w:rsidRPr="002252B6">
        <w:rPr>
          <w:sz w:val="24"/>
          <w:szCs w:val="24"/>
        </w:rPr>
        <w:tab/>
      </w:r>
      <w:r w:rsidRPr="002252B6">
        <w:rPr>
          <w:i/>
          <w:sz w:val="24"/>
          <w:szCs w:val="24"/>
        </w:rPr>
        <w:t>Ibid</w:t>
      </w:r>
      <w:r w:rsidRPr="002252B6">
        <w:rPr>
          <w:sz w:val="24"/>
          <w:szCs w:val="24"/>
        </w:rPr>
        <w:t>., pp.7, 112-113</w:t>
      </w:r>
    </w:p>
  </w:endnote>
  <w:endnote w:id="105">
    <w:p w:rsidR="00507C32" w:rsidRPr="00EA5650" w:rsidRDefault="00507C32" w:rsidP="00AE1782">
      <w:r w:rsidRPr="00EA5650">
        <w:rPr>
          <w:rStyle w:val="EndnoteReference"/>
        </w:rPr>
        <w:endnoteRef/>
      </w:r>
      <w:r w:rsidRPr="00EA5650">
        <w:t xml:space="preserve"> </w:t>
      </w:r>
      <w:r w:rsidRPr="00EA5650">
        <w:tab/>
        <w:t>Mokyr argues that economic and technological development can depend upon the constraints or incentives that institutions impose on different categories of knowledge in any given society. Mokyr (2002)</w:t>
      </w:r>
      <w:r w:rsidRPr="00EA5650">
        <w:rPr>
          <w:lang w:eastAsia="zh-CN"/>
        </w:rPr>
        <w:t>, pp.285-97.</w:t>
      </w:r>
    </w:p>
  </w:endnote>
  <w:endnote w:id="106">
    <w:p w:rsidR="00507C32" w:rsidRPr="003F3856" w:rsidRDefault="00507C32">
      <w:pPr>
        <w:pStyle w:val="EndnoteText"/>
        <w:rPr>
          <w:sz w:val="24"/>
          <w:szCs w:val="24"/>
        </w:rPr>
      </w:pPr>
      <w:r w:rsidRPr="003F3856">
        <w:rPr>
          <w:rStyle w:val="EndnoteReference"/>
          <w:sz w:val="24"/>
          <w:szCs w:val="24"/>
        </w:rPr>
        <w:endnoteRef/>
      </w:r>
      <w:r w:rsidRPr="003F3856">
        <w:rPr>
          <w:sz w:val="24"/>
          <w:szCs w:val="24"/>
        </w:rPr>
        <w:t xml:space="preserve"> </w:t>
      </w:r>
      <w:r w:rsidRPr="003F3856">
        <w:rPr>
          <w:sz w:val="24"/>
          <w:szCs w:val="24"/>
        </w:rPr>
        <w:tab/>
        <w:t>Browne (2010), slide 7.</w:t>
      </w:r>
    </w:p>
  </w:endnote>
  <w:endnote w:id="107">
    <w:p w:rsidR="00507C32" w:rsidRPr="003F3856" w:rsidRDefault="00507C32">
      <w:pPr>
        <w:pStyle w:val="EndnoteText"/>
        <w:rPr>
          <w:sz w:val="24"/>
          <w:szCs w:val="24"/>
        </w:rPr>
      </w:pPr>
      <w:r w:rsidRPr="003F3856">
        <w:rPr>
          <w:rStyle w:val="EndnoteReference"/>
          <w:sz w:val="24"/>
          <w:szCs w:val="24"/>
        </w:rPr>
        <w:endnoteRef/>
      </w:r>
      <w:r w:rsidRPr="003F3856">
        <w:rPr>
          <w:sz w:val="24"/>
          <w:szCs w:val="24"/>
        </w:rPr>
        <w:t xml:space="preserve"> </w:t>
      </w:r>
      <w:r w:rsidRPr="003F3856">
        <w:rPr>
          <w:sz w:val="24"/>
          <w:szCs w:val="24"/>
        </w:rPr>
        <w:tab/>
      </w:r>
      <w:r w:rsidRPr="003F3856">
        <w:rPr>
          <w:i/>
          <w:sz w:val="24"/>
          <w:szCs w:val="24"/>
        </w:rPr>
        <w:t>Ibid</w:t>
      </w:r>
      <w:r w:rsidRPr="003F3856">
        <w:rPr>
          <w:sz w:val="24"/>
          <w:szCs w:val="24"/>
        </w:rPr>
        <w:t>., slide 6.</w:t>
      </w:r>
    </w:p>
  </w:endnote>
  <w:endnote w:id="108">
    <w:p w:rsidR="00507C32" w:rsidRPr="003F3856" w:rsidRDefault="00507C32">
      <w:pPr>
        <w:pStyle w:val="EndnoteText"/>
        <w:rPr>
          <w:sz w:val="24"/>
          <w:szCs w:val="24"/>
        </w:rPr>
      </w:pPr>
      <w:r w:rsidRPr="003F3856">
        <w:rPr>
          <w:rStyle w:val="EndnoteReference"/>
          <w:sz w:val="24"/>
          <w:szCs w:val="24"/>
        </w:rPr>
        <w:endnoteRef/>
      </w:r>
      <w:r w:rsidRPr="003F3856">
        <w:rPr>
          <w:sz w:val="24"/>
          <w:szCs w:val="24"/>
        </w:rPr>
        <w:t xml:space="preserve"> </w:t>
      </w:r>
      <w:r w:rsidRPr="003F3856">
        <w:rPr>
          <w:sz w:val="24"/>
          <w:szCs w:val="24"/>
        </w:rPr>
        <w:tab/>
        <w:t>Kahneman (2011), pp. 201, 240.</w:t>
      </w:r>
    </w:p>
  </w:endnote>
  <w:endnote w:id="109">
    <w:p w:rsidR="00507C32" w:rsidRPr="004429AA" w:rsidRDefault="00507C32">
      <w:pPr>
        <w:pStyle w:val="EndnoteText"/>
        <w:rPr>
          <w:sz w:val="24"/>
          <w:szCs w:val="24"/>
        </w:rPr>
      </w:pPr>
      <w:r w:rsidRPr="004429AA">
        <w:rPr>
          <w:rStyle w:val="EndnoteReference"/>
          <w:sz w:val="24"/>
          <w:szCs w:val="24"/>
        </w:rPr>
        <w:endnoteRef/>
      </w:r>
      <w:r w:rsidRPr="004429AA">
        <w:rPr>
          <w:sz w:val="24"/>
          <w:szCs w:val="24"/>
        </w:rPr>
        <w:t xml:space="preserve"> </w:t>
      </w:r>
      <w:r w:rsidRPr="004429AA">
        <w:rPr>
          <w:sz w:val="24"/>
          <w:szCs w:val="24"/>
        </w:rPr>
        <w:tab/>
        <w:t xml:space="preserve">Kahneman (2011), pp. 237, 243; Hey, Lotito and Maffioletti (2010); </w:t>
      </w:r>
    </w:p>
  </w:endnote>
  <w:endnote w:id="110">
    <w:p w:rsidR="00507C32" w:rsidRPr="00316F32" w:rsidRDefault="00507C32">
      <w:pPr>
        <w:pStyle w:val="EndnoteText"/>
        <w:rPr>
          <w:sz w:val="24"/>
          <w:szCs w:val="24"/>
        </w:rPr>
      </w:pPr>
      <w:r w:rsidRPr="00316F32">
        <w:rPr>
          <w:rStyle w:val="EndnoteReference"/>
          <w:sz w:val="24"/>
          <w:szCs w:val="24"/>
        </w:rPr>
        <w:endnoteRef/>
      </w:r>
      <w:r w:rsidRPr="00316F32">
        <w:rPr>
          <w:sz w:val="24"/>
          <w:szCs w:val="24"/>
        </w:rPr>
        <w:t xml:space="preserve"> </w:t>
      </w:r>
      <w:r w:rsidRPr="00316F32">
        <w:rPr>
          <w:sz w:val="24"/>
          <w:szCs w:val="24"/>
        </w:rPr>
        <w:tab/>
        <w:t xml:space="preserve">Karlsson, Loewenstein and Seppi (2009); Laury, McInnes and Swarthout (2009). </w:t>
      </w:r>
    </w:p>
  </w:endnote>
  <w:endnote w:id="111">
    <w:p w:rsidR="00507C32" w:rsidRPr="00316F32" w:rsidRDefault="00507C32">
      <w:pPr>
        <w:pStyle w:val="EndnoteText"/>
        <w:rPr>
          <w:sz w:val="24"/>
          <w:szCs w:val="24"/>
        </w:rPr>
      </w:pPr>
      <w:r w:rsidRPr="00316F32">
        <w:rPr>
          <w:rStyle w:val="EndnoteReference"/>
          <w:sz w:val="24"/>
          <w:szCs w:val="24"/>
        </w:rPr>
        <w:endnoteRef/>
      </w:r>
      <w:r w:rsidRPr="00316F32">
        <w:rPr>
          <w:sz w:val="24"/>
          <w:szCs w:val="24"/>
        </w:rPr>
        <w:t xml:space="preserve"> </w:t>
      </w:r>
      <w:r w:rsidRPr="00316F32">
        <w:rPr>
          <w:sz w:val="24"/>
          <w:szCs w:val="24"/>
        </w:rPr>
        <w:tab/>
      </w:r>
      <w:r w:rsidRPr="00316F32">
        <w:rPr>
          <w:color w:val="000000"/>
          <w:sz w:val="24"/>
          <w:szCs w:val="24"/>
        </w:rPr>
        <w:t xml:space="preserve">Kunreuther, Meszaros, Hogarth and Spranca (1995); Kunreuther, Novemsky and Kahneman (2001). </w:t>
      </w:r>
    </w:p>
  </w:endnote>
  <w:endnote w:id="112">
    <w:p w:rsidR="00507C32" w:rsidRPr="00316F32" w:rsidRDefault="00507C32">
      <w:pPr>
        <w:pStyle w:val="EndnoteText"/>
        <w:rPr>
          <w:sz w:val="24"/>
          <w:szCs w:val="24"/>
        </w:rPr>
      </w:pPr>
      <w:r w:rsidRPr="00316F32">
        <w:rPr>
          <w:rStyle w:val="EndnoteReference"/>
          <w:sz w:val="24"/>
          <w:szCs w:val="24"/>
        </w:rPr>
        <w:endnoteRef/>
      </w:r>
      <w:r w:rsidRPr="00316F32">
        <w:rPr>
          <w:sz w:val="24"/>
          <w:szCs w:val="24"/>
        </w:rPr>
        <w:t xml:space="preserve"> </w:t>
      </w:r>
      <w:r w:rsidRPr="00316F32">
        <w:rPr>
          <w:sz w:val="24"/>
          <w:szCs w:val="24"/>
        </w:rPr>
        <w:tab/>
        <w:t xml:space="preserve">Kahneman (2011), pp. 218-21, 234-44, 252, 255-7, 263; Syed (2015), p.109. </w:t>
      </w:r>
    </w:p>
  </w:endnote>
  <w:endnote w:id="113">
    <w:p w:rsidR="00507C32" w:rsidRPr="00316F32" w:rsidRDefault="00507C32">
      <w:pPr>
        <w:pStyle w:val="EndnoteText"/>
        <w:rPr>
          <w:sz w:val="24"/>
          <w:szCs w:val="24"/>
        </w:rPr>
      </w:pPr>
      <w:r w:rsidRPr="00316F32">
        <w:rPr>
          <w:rStyle w:val="EndnoteReference"/>
          <w:sz w:val="24"/>
          <w:szCs w:val="24"/>
        </w:rPr>
        <w:endnoteRef/>
      </w:r>
      <w:r w:rsidRPr="00316F32">
        <w:rPr>
          <w:sz w:val="24"/>
          <w:szCs w:val="24"/>
        </w:rPr>
        <w:t xml:space="preserve"> </w:t>
      </w:r>
      <w:r w:rsidRPr="00316F32">
        <w:rPr>
          <w:sz w:val="24"/>
          <w:szCs w:val="24"/>
        </w:rPr>
        <w:tab/>
        <w:t xml:space="preserve">Taleb (2007), pp. </w:t>
      </w:r>
      <w:r>
        <w:rPr>
          <w:sz w:val="24"/>
          <w:szCs w:val="24"/>
        </w:rPr>
        <w:t xml:space="preserve">58, </w:t>
      </w:r>
      <w:r w:rsidRPr="00316F32">
        <w:rPr>
          <w:sz w:val="24"/>
          <w:szCs w:val="24"/>
        </w:rPr>
        <w:t xml:space="preserve">61, 149-51; Angner (2006); Ashiya and Doi (2001); Bewley and Fiebig (2002). </w:t>
      </w:r>
    </w:p>
  </w:endnote>
  <w:endnote w:id="114">
    <w:p w:rsidR="00507C32" w:rsidRPr="00316F32" w:rsidRDefault="00507C32">
      <w:pPr>
        <w:pStyle w:val="EndnoteText"/>
        <w:rPr>
          <w:sz w:val="24"/>
          <w:szCs w:val="24"/>
        </w:rPr>
      </w:pPr>
      <w:r w:rsidRPr="00316F32">
        <w:rPr>
          <w:rStyle w:val="EndnoteReference"/>
          <w:sz w:val="24"/>
          <w:szCs w:val="24"/>
        </w:rPr>
        <w:endnoteRef/>
      </w:r>
      <w:r w:rsidRPr="00316F32">
        <w:rPr>
          <w:sz w:val="24"/>
          <w:szCs w:val="24"/>
        </w:rPr>
        <w:t xml:space="preserve"> </w:t>
      </w:r>
      <w:r w:rsidRPr="00316F32">
        <w:rPr>
          <w:sz w:val="24"/>
          <w:szCs w:val="24"/>
        </w:rPr>
        <w:tab/>
        <w:t xml:space="preserve">Taleb (2007). </w:t>
      </w:r>
    </w:p>
  </w:endnote>
  <w:endnote w:id="115">
    <w:p w:rsidR="00507C32" w:rsidRDefault="00507C32" w:rsidP="00D93E1D">
      <w:r>
        <w:rPr>
          <w:rStyle w:val="EndnoteReference"/>
        </w:rPr>
        <w:endnoteRef/>
      </w:r>
      <w:r>
        <w:t xml:space="preserve"> </w:t>
      </w:r>
      <w:r>
        <w:tab/>
        <w:t xml:space="preserve">Gillian Tett, for instance, has questioned the expertise of those involved in the slicing, repackaging and selling mortgage default risk, a business </w:t>
      </w:r>
      <w:r w:rsidR="00904FD0">
        <w:t>with similarities</w:t>
      </w:r>
      <w:r>
        <w:t xml:space="preserve"> to XL reinsurance, in the years before the crisis.</w:t>
      </w:r>
      <w:r w:rsidRPr="00D93E1D">
        <w:t xml:space="preserve"> </w:t>
      </w:r>
      <w:r>
        <w:t xml:space="preserve">Tett (2009), pp.113-17, 149, 244.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0D" w:rsidRDefault="0014700D" w:rsidP="00650DCA">
      <w:r>
        <w:separator/>
      </w:r>
    </w:p>
  </w:footnote>
  <w:footnote w:type="continuationSeparator" w:id="0">
    <w:p w:rsidR="0014700D" w:rsidRDefault="0014700D" w:rsidP="0065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63907"/>
      <w:docPartObj>
        <w:docPartGallery w:val="Page Numbers (Top of Page)"/>
        <w:docPartUnique/>
      </w:docPartObj>
    </w:sdtPr>
    <w:sdtEndPr/>
    <w:sdtContent>
      <w:p w:rsidR="00507C32" w:rsidRDefault="0014700D">
        <w:pPr>
          <w:pStyle w:val="Header"/>
          <w:jc w:val="center"/>
        </w:pPr>
        <w:r>
          <w:fldChar w:fldCharType="begin"/>
        </w:r>
        <w:r>
          <w:instrText xml:space="preserve"> PAGE   \* MERGEFORMAT </w:instrText>
        </w:r>
        <w:r>
          <w:fldChar w:fldCharType="separate"/>
        </w:r>
        <w:r w:rsidR="000168F4">
          <w:rPr>
            <w:noProof/>
          </w:rPr>
          <w:t>1</w:t>
        </w:r>
        <w:r>
          <w:rPr>
            <w:noProof/>
          </w:rPr>
          <w:fldChar w:fldCharType="end"/>
        </w:r>
      </w:p>
    </w:sdtContent>
  </w:sdt>
  <w:p w:rsidR="00507C32" w:rsidRDefault="00507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C3F"/>
    <w:multiLevelType w:val="hybridMultilevel"/>
    <w:tmpl w:val="04BA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C5C86"/>
    <w:multiLevelType w:val="hybridMultilevel"/>
    <w:tmpl w:val="A2DA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3A1E94"/>
    <w:multiLevelType w:val="hybridMultilevel"/>
    <w:tmpl w:val="3C8AD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3C0BC6"/>
    <w:multiLevelType w:val="hybridMultilevel"/>
    <w:tmpl w:val="BC5223E2"/>
    <w:lvl w:ilvl="0" w:tplc="02A0F258">
      <w:start w:val="1"/>
      <w:numFmt w:val="bullet"/>
      <w:lvlText w:val=""/>
      <w:lvlJc w:val="left"/>
      <w:pPr>
        <w:tabs>
          <w:tab w:val="num" w:pos="720"/>
        </w:tabs>
        <w:ind w:left="720" w:hanging="360"/>
      </w:pPr>
      <w:rPr>
        <w:rFonts w:ascii="Wingdings" w:hAnsi="Wingdings" w:hint="default"/>
      </w:rPr>
    </w:lvl>
    <w:lvl w:ilvl="1" w:tplc="9A703DF2" w:tentative="1">
      <w:start w:val="1"/>
      <w:numFmt w:val="bullet"/>
      <w:lvlText w:val=""/>
      <w:lvlJc w:val="left"/>
      <w:pPr>
        <w:tabs>
          <w:tab w:val="num" w:pos="1440"/>
        </w:tabs>
        <w:ind w:left="1440" w:hanging="360"/>
      </w:pPr>
      <w:rPr>
        <w:rFonts w:ascii="Wingdings" w:hAnsi="Wingdings" w:hint="default"/>
      </w:rPr>
    </w:lvl>
    <w:lvl w:ilvl="2" w:tplc="D6A635F4" w:tentative="1">
      <w:start w:val="1"/>
      <w:numFmt w:val="bullet"/>
      <w:lvlText w:val=""/>
      <w:lvlJc w:val="left"/>
      <w:pPr>
        <w:tabs>
          <w:tab w:val="num" w:pos="2160"/>
        </w:tabs>
        <w:ind w:left="2160" w:hanging="360"/>
      </w:pPr>
      <w:rPr>
        <w:rFonts w:ascii="Wingdings" w:hAnsi="Wingdings" w:hint="default"/>
      </w:rPr>
    </w:lvl>
    <w:lvl w:ilvl="3" w:tplc="3CB45344" w:tentative="1">
      <w:start w:val="1"/>
      <w:numFmt w:val="bullet"/>
      <w:lvlText w:val=""/>
      <w:lvlJc w:val="left"/>
      <w:pPr>
        <w:tabs>
          <w:tab w:val="num" w:pos="2880"/>
        </w:tabs>
        <w:ind w:left="2880" w:hanging="360"/>
      </w:pPr>
      <w:rPr>
        <w:rFonts w:ascii="Wingdings" w:hAnsi="Wingdings" w:hint="default"/>
      </w:rPr>
    </w:lvl>
    <w:lvl w:ilvl="4" w:tplc="E36A1636" w:tentative="1">
      <w:start w:val="1"/>
      <w:numFmt w:val="bullet"/>
      <w:lvlText w:val=""/>
      <w:lvlJc w:val="left"/>
      <w:pPr>
        <w:tabs>
          <w:tab w:val="num" w:pos="3600"/>
        </w:tabs>
        <w:ind w:left="3600" w:hanging="360"/>
      </w:pPr>
      <w:rPr>
        <w:rFonts w:ascii="Wingdings" w:hAnsi="Wingdings" w:hint="default"/>
      </w:rPr>
    </w:lvl>
    <w:lvl w:ilvl="5" w:tplc="8F16D8BE" w:tentative="1">
      <w:start w:val="1"/>
      <w:numFmt w:val="bullet"/>
      <w:lvlText w:val=""/>
      <w:lvlJc w:val="left"/>
      <w:pPr>
        <w:tabs>
          <w:tab w:val="num" w:pos="4320"/>
        </w:tabs>
        <w:ind w:left="4320" w:hanging="360"/>
      </w:pPr>
      <w:rPr>
        <w:rFonts w:ascii="Wingdings" w:hAnsi="Wingdings" w:hint="default"/>
      </w:rPr>
    </w:lvl>
    <w:lvl w:ilvl="6" w:tplc="A2E81820" w:tentative="1">
      <w:start w:val="1"/>
      <w:numFmt w:val="bullet"/>
      <w:lvlText w:val=""/>
      <w:lvlJc w:val="left"/>
      <w:pPr>
        <w:tabs>
          <w:tab w:val="num" w:pos="5040"/>
        </w:tabs>
        <w:ind w:left="5040" w:hanging="360"/>
      </w:pPr>
      <w:rPr>
        <w:rFonts w:ascii="Wingdings" w:hAnsi="Wingdings" w:hint="default"/>
      </w:rPr>
    </w:lvl>
    <w:lvl w:ilvl="7" w:tplc="ED14A2EC" w:tentative="1">
      <w:start w:val="1"/>
      <w:numFmt w:val="bullet"/>
      <w:lvlText w:val=""/>
      <w:lvlJc w:val="left"/>
      <w:pPr>
        <w:tabs>
          <w:tab w:val="num" w:pos="5760"/>
        </w:tabs>
        <w:ind w:left="5760" w:hanging="360"/>
      </w:pPr>
      <w:rPr>
        <w:rFonts w:ascii="Wingdings" w:hAnsi="Wingdings" w:hint="default"/>
      </w:rPr>
    </w:lvl>
    <w:lvl w:ilvl="8" w:tplc="C3A2D91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F5"/>
    <w:rsid w:val="00001F95"/>
    <w:rsid w:val="000079CD"/>
    <w:rsid w:val="00012F45"/>
    <w:rsid w:val="00013C9F"/>
    <w:rsid w:val="000168F4"/>
    <w:rsid w:val="00025968"/>
    <w:rsid w:val="0003061C"/>
    <w:rsid w:val="00033272"/>
    <w:rsid w:val="00036170"/>
    <w:rsid w:val="00037053"/>
    <w:rsid w:val="00037334"/>
    <w:rsid w:val="0003771B"/>
    <w:rsid w:val="000400DD"/>
    <w:rsid w:val="00040FF1"/>
    <w:rsid w:val="0004123F"/>
    <w:rsid w:val="00041D10"/>
    <w:rsid w:val="00044560"/>
    <w:rsid w:val="0004586D"/>
    <w:rsid w:val="000477CB"/>
    <w:rsid w:val="0005411C"/>
    <w:rsid w:val="00056A3D"/>
    <w:rsid w:val="00057E7F"/>
    <w:rsid w:val="000606E4"/>
    <w:rsid w:val="000610BB"/>
    <w:rsid w:val="000616B4"/>
    <w:rsid w:val="00063127"/>
    <w:rsid w:val="00064760"/>
    <w:rsid w:val="00064F21"/>
    <w:rsid w:val="000704FB"/>
    <w:rsid w:val="000724F9"/>
    <w:rsid w:val="000769FC"/>
    <w:rsid w:val="00081346"/>
    <w:rsid w:val="000819F8"/>
    <w:rsid w:val="00082EFA"/>
    <w:rsid w:val="00086035"/>
    <w:rsid w:val="00087207"/>
    <w:rsid w:val="000911B1"/>
    <w:rsid w:val="00092A95"/>
    <w:rsid w:val="000A29F7"/>
    <w:rsid w:val="000A30A0"/>
    <w:rsid w:val="000A7487"/>
    <w:rsid w:val="000B35BB"/>
    <w:rsid w:val="000B746F"/>
    <w:rsid w:val="000C1E6B"/>
    <w:rsid w:val="000C24CC"/>
    <w:rsid w:val="000C4B64"/>
    <w:rsid w:val="000C5A7A"/>
    <w:rsid w:val="000D18AE"/>
    <w:rsid w:val="000D2168"/>
    <w:rsid w:val="000D3125"/>
    <w:rsid w:val="000D3B15"/>
    <w:rsid w:val="000D44F8"/>
    <w:rsid w:val="000D709E"/>
    <w:rsid w:val="000E2247"/>
    <w:rsid w:val="000E2EDD"/>
    <w:rsid w:val="000E656B"/>
    <w:rsid w:val="000F024E"/>
    <w:rsid w:val="000F141D"/>
    <w:rsid w:val="000F2759"/>
    <w:rsid w:val="000F5617"/>
    <w:rsid w:val="000F5701"/>
    <w:rsid w:val="000F6AFB"/>
    <w:rsid w:val="000F6F3A"/>
    <w:rsid w:val="000F73C3"/>
    <w:rsid w:val="000F7AB6"/>
    <w:rsid w:val="000F7B81"/>
    <w:rsid w:val="00100304"/>
    <w:rsid w:val="0010037E"/>
    <w:rsid w:val="00100E1A"/>
    <w:rsid w:val="0010144A"/>
    <w:rsid w:val="001017CF"/>
    <w:rsid w:val="00104DA6"/>
    <w:rsid w:val="001055DB"/>
    <w:rsid w:val="001068B5"/>
    <w:rsid w:val="0010707E"/>
    <w:rsid w:val="0011005E"/>
    <w:rsid w:val="00110CD2"/>
    <w:rsid w:val="00111839"/>
    <w:rsid w:val="00113FFC"/>
    <w:rsid w:val="00116010"/>
    <w:rsid w:val="00121BE2"/>
    <w:rsid w:val="00122908"/>
    <w:rsid w:val="001300BB"/>
    <w:rsid w:val="00133E6E"/>
    <w:rsid w:val="0013441C"/>
    <w:rsid w:val="001363DE"/>
    <w:rsid w:val="00142C5E"/>
    <w:rsid w:val="0014700D"/>
    <w:rsid w:val="001514BD"/>
    <w:rsid w:val="0015215E"/>
    <w:rsid w:val="00153D91"/>
    <w:rsid w:val="0015441F"/>
    <w:rsid w:val="00154C64"/>
    <w:rsid w:val="00157A8A"/>
    <w:rsid w:val="00160B5B"/>
    <w:rsid w:val="001613D0"/>
    <w:rsid w:val="00162BCF"/>
    <w:rsid w:val="0016338B"/>
    <w:rsid w:val="00170184"/>
    <w:rsid w:val="0017044D"/>
    <w:rsid w:val="0017077C"/>
    <w:rsid w:val="00172BF4"/>
    <w:rsid w:val="00173191"/>
    <w:rsid w:val="00176945"/>
    <w:rsid w:val="00183EA9"/>
    <w:rsid w:val="001847FF"/>
    <w:rsid w:val="0019026C"/>
    <w:rsid w:val="00191440"/>
    <w:rsid w:val="001943BA"/>
    <w:rsid w:val="0019528A"/>
    <w:rsid w:val="001971B4"/>
    <w:rsid w:val="0019785E"/>
    <w:rsid w:val="001A064B"/>
    <w:rsid w:val="001A2E45"/>
    <w:rsid w:val="001A7C71"/>
    <w:rsid w:val="001B18C2"/>
    <w:rsid w:val="001B3117"/>
    <w:rsid w:val="001B4597"/>
    <w:rsid w:val="001C5793"/>
    <w:rsid w:val="001C5850"/>
    <w:rsid w:val="001C610D"/>
    <w:rsid w:val="001D06AE"/>
    <w:rsid w:val="001D0DAE"/>
    <w:rsid w:val="001D0E48"/>
    <w:rsid w:val="001D1FAB"/>
    <w:rsid w:val="001D2591"/>
    <w:rsid w:val="001D5B64"/>
    <w:rsid w:val="001E2DAF"/>
    <w:rsid w:val="001E35C1"/>
    <w:rsid w:val="001E4DED"/>
    <w:rsid w:val="001E5451"/>
    <w:rsid w:val="001E676A"/>
    <w:rsid w:val="001E7513"/>
    <w:rsid w:val="001F0254"/>
    <w:rsid w:val="001F1B2C"/>
    <w:rsid w:val="001F207C"/>
    <w:rsid w:val="001F58EC"/>
    <w:rsid w:val="001F73E5"/>
    <w:rsid w:val="00205F02"/>
    <w:rsid w:val="00207ECE"/>
    <w:rsid w:val="00212586"/>
    <w:rsid w:val="00217B67"/>
    <w:rsid w:val="002252B6"/>
    <w:rsid w:val="0022651E"/>
    <w:rsid w:val="0023120F"/>
    <w:rsid w:val="00237B15"/>
    <w:rsid w:val="00241D58"/>
    <w:rsid w:val="00245FA2"/>
    <w:rsid w:val="00247AA0"/>
    <w:rsid w:val="00247C0D"/>
    <w:rsid w:val="00252D1F"/>
    <w:rsid w:val="00254059"/>
    <w:rsid w:val="00257572"/>
    <w:rsid w:val="00262E40"/>
    <w:rsid w:val="00265C72"/>
    <w:rsid w:val="002674CA"/>
    <w:rsid w:val="00267960"/>
    <w:rsid w:val="0027004F"/>
    <w:rsid w:val="0027058E"/>
    <w:rsid w:val="00270626"/>
    <w:rsid w:val="00272716"/>
    <w:rsid w:val="00273BFE"/>
    <w:rsid w:val="00274007"/>
    <w:rsid w:val="00280530"/>
    <w:rsid w:val="002853C4"/>
    <w:rsid w:val="002900DF"/>
    <w:rsid w:val="00290143"/>
    <w:rsid w:val="00290424"/>
    <w:rsid w:val="00291B12"/>
    <w:rsid w:val="002A0145"/>
    <w:rsid w:val="002A188C"/>
    <w:rsid w:val="002A1BFD"/>
    <w:rsid w:val="002A2634"/>
    <w:rsid w:val="002A3BF5"/>
    <w:rsid w:val="002A6D42"/>
    <w:rsid w:val="002B1E09"/>
    <w:rsid w:val="002B3480"/>
    <w:rsid w:val="002B5B3B"/>
    <w:rsid w:val="002B604F"/>
    <w:rsid w:val="002B63AB"/>
    <w:rsid w:val="002B66E7"/>
    <w:rsid w:val="002C0511"/>
    <w:rsid w:val="002C553A"/>
    <w:rsid w:val="002C5CD8"/>
    <w:rsid w:val="002C77C2"/>
    <w:rsid w:val="002D0700"/>
    <w:rsid w:val="002D61B0"/>
    <w:rsid w:val="002D63A6"/>
    <w:rsid w:val="002D79C1"/>
    <w:rsid w:val="002D7ACB"/>
    <w:rsid w:val="002E0533"/>
    <w:rsid w:val="002E54AE"/>
    <w:rsid w:val="002F006C"/>
    <w:rsid w:val="002F14B7"/>
    <w:rsid w:val="002F2B7F"/>
    <w:rsid w:val="002F3EC3"/>
    <w:rsid w:val="0030144E"/>
    <w:rsid w:val="00301D1D"/>
    <w:rsid w:val="003038BC"/>
    <w:rsid w:val="00304B07"/>
    <w:rsid w:val="00304D8F"/>
    <w:rsid w:val="003061DB"/>
    <w:rsid w:val="00306B50"/>
    <w:rsid w:val="00313CBA"/>
    <w:rsid w:val="0031433C"/>
    <w:rsid w:val="00316A0A"/>
    <w:rsid w:val="00316F32"/>
    <w:rsid w:val="003214DB"/>
    <w:rsid w:val="00321560"/>
    <w:rsid w:val="003241B8"/>
    <w:rsid w:val="003242D8"/>
    <w:rsid w:val="00324AA5"/>
    <w:rsid w:val="0032501E"/>
    <w:rsid w:val="00327536"/>
    <w:rsid w:val="00327CBB"/>
    <w:rsid w:val="00330562"/>
    <w:rsid w:val="003320D4"/>
    <w:rsid w:val="00332810"/>
    <w:rsid w:val="00333CD7"/>
    <w:rsid w:val="00334A88"/>
    <w:rsid w:val="00340B71"/>
    <w:rsid w:val="00342848"/>
    <w:rsid w:val="00342DBF"/>
    <w:rsid w:val="003445E8"/>
    <w:rsid w:val="00351066"/>
    <w:rsid w:val="00351C19"/>
    <w:rsid w:val="00352DA4"/>
    <w:rsid w:val="003614CC"/>
    <w:rsid w:val="0036207C"/>
    <w:rsid w:val="00365E79"/>
    <w:rsid w:val="003663C3"/>
    <w:rsid w:val="00367759"/>
    <w:rsid w:val="003701C8"/>
    <w:rsid w:val="00370BAC"/>
    <w:rsid w:val="00372BEA"/>
    <w:rsid w:val="00372CF0"/>
    <w:rsid w:val="003739E2"/>
    <w:rsid w:val="00381110"/>
    <w:rsid w:val="003811DA"/>
    <w:rsid w:val="003836C6"/>
    <w:rsid w:val="00383889"/>
    <w:rsid w:val="00384378"/>
    <w:rsid w:val="00384707"/>
    <w:rsid w:val="00387A6E"/>
    <w:rsid w:val="00390E6A"/>
    <w:rsid w:val="003917D1"/>
    <w:rsid w:val="0039353C"/>
    <w:rsid w:val="00397EC2"/>
    <w:rsid w:val="003A0120"/>
    <w:rsid w:val="003A3B51"/>
    <w:rsid w:val="003A5D23"/>
    <w:rsid w:val="003A5DA4"/>
    <w:rsid w:val="003A609C"/>
    <w:rsid w:val="003A7ABD"/>
    <w:rsid w:val="003B0BEE"/>
    <w:rsid w:val="003B10A0"/>
    <w:rsid w:val="003B603A"/>
    <w:rsid w:val="003B6717"/>
    <w:rsid w:val="003B77E6"/>
    <w:rsid w:val="003B7EC2"/>
    <w:rsid w:val="003C03BB"/>
    <w:rsid w:val="003C0EB9"/>
    <w:rsid w:val="003C3D56"/>
    <w:rsid w:val="003D19A4"/>
    <w:rsid w:val="003D1FBF"/>
    <w:rsid w:val="003D6434"/>
    <w:rsid w:val="003E11E8"/>
    <w:rsid w:val="003E5737"/>
    <w:rsid w:val="003E7072"/>
    <w:rsid w:val="003F02AE"/>
    <w:rsid w:val="003F1E5D"/>
    <w:rsid w:val="003F3856"/>
    <w:rsid w:val="003F4E34"/>
    <w:rsid w:val="003F5679"/>
    <w:rsid w:val="003F78EC"/>
    <w:rsid w:val="00405137"/>
    <w:rsid w:val="00405C9B"/>
    <w:rsid w:val="004112F3"/>
    <w:rsid w:val="00411730"/>
    <w:rsid w:val="00416C75"/>
    <w:rsid w:val="00430B10"/>
    <w:rsid w:val="00431A76"/>
    <w:rsid w:val="00431D5E"/>
    <w:rsid w:val="00435921"/>
    <w:rsid w:val="004429AA"/>
    <w:rsid w:val="00445A6C"/>
    <w:rsid w:val="00445EC7"/>
    <w:rsid w:val="0045066C"/>
    <w:rsid w:val="00450695"/>
    <w:rsid w:val="004524E6"/>
    <w:rsid w:val="00452FB6"/>
    <w:rsid w:val="00454EA0"/>
    <w:rsid w:val="004564AD"/>
    <w:rsid w:val="0046057D"/>
    <w:rsid w:val="00460A4D"/>
    <w:rsid w:val="0046127D"/>
    <w:rsid w:val="0046291A"/>
    <w:rsid w:val="004650C4"/>
    <w:rsid w:val="00470648"/>
    <w:rsid w:val="00472ADE"/>
    <w:rsid w:val="004732F0"/>
    <w:rsid w:val="00476F67"/>
    <w:rsid w:val="00486253"/>
    <w:rsid w:val="00486FB2"/>
    <w:rsid w:val="00487975"/>
    <w:rsid w:val="0049503C"/>
    <w:rsid w:val="00495F15"/>
    <w:rsid w:val="004A0731"/>
    <w:rsid w:val="004A0AB1"/>
    <w:rsid w:val="004A123E"/>
    <w:rsid w:val="004A2CD3"/>
    <w:rsid w:val="004A2D9B"/>
    <w:rsid w:val="004A40F9"/>
    <w:rsid w:val="004A45D7"/>
    <w:rsid w:val="004B073D"/>
    <w:rsid w:val="004B5B3F"/>
    <w:rsid w:val="004B7366"/>
    <w:rsid w:val="004C1B30"/>
    <w:rsid w:val="004C33FA"/>
    <w:rsid w:val="004C3F19"/>
    <w:rsid w:val="004C51EC"/>
    <w:rsid w:val="004C778A"/>
    <w:rsid w:val="004D17AD"/>
    <w:rsid w:val="004D6BB5"/>
    <w:rsid w:val="004E0A05"/>
    <w:rsid w:val="004E1552"/>
    <w:rsid w:val="004E1F80"/>
    <w:rsid w:val="004E2E4C"/>
    <w:rsid w:val="004E36FB"/>
    <w:rsid w:val="004E4EE1"/>
    <w:rsid w:val="004E5465"/>
    <w:rsid w:val="004E724F"/>
    <w:rsid w:val="004E75A7"/>
    <w:rsid w:val="004F15C5"/>
    <w:rsid w:val="004F1F4B"/>
    <w:rsid w:val="004F6BE8"/>
    <w:rsid w:val="004F79BF"/>
    <w:rsid w:val="004F7C4C"/>
    <w:rsid w:val="00501D2A"/>
    <w:rsid w:val="005056E2"/>
    <w:rsid w:val="00505B85"/>
    <w:rsid w:val="00507C32"/>
    <w:rsid w:val="005111BC"/>
    <w:rsid w:val="00515300"/>
    <w:rsid w:val="00516711"/>
    <w:rsid w:val="00521EB0"/>
    <w:rsid w:val="00524C0C"/>
    <w:rsid w:val="00524F9C"/>
    <w:rsid w:val="00527315"/>
    <w:rsid w:val="0052756D"/>
    <w:rsid w:val="005304F4"/>
    <w:rsid w:val="00533C14"/>
    <w:rsid w:val="00534BF9"/>
    <w:rsid w:val="00534E77"/>
    <w:rsid w:val="00534EC5"/>
    <w:rsid w:val="00535214"/>
    <w:rsid w:val="00535D26"/>
    <w:rsid w:val="00542A0C"/>
    <w:rsid w:val="00542DCC"/>
    <w:rsid w:val="00546336"/>
    <w:rsid w:val="005512CD"/>
    <w:rsid w:val="0055295C"/>
    <w:rsid w:val="00552CA0"/>
    <w:rsid w:val="005545FE"/>
    <w:rsid w:val="00560239"/>
    <w:rsid w:val="00566129"/>
    <w:rsid w:val="00571F38"/>
    <w:rsid w:val="005733F1"/>
    <w:rsid w:val="0057359D"/>
    <w:rsid w:val="005752E0"/>
    <w:rsid w:val="00581DDA"/>
    <w:rsid w:val="00581EAA"/>
    <w:rsid w:val="0058263A"/>
    <w:rsid w:val="00583A6B"/>
    <w:rsid w:val="00585AA8"/>
    <w:rsid w:val="0058717B"/>
    <w:rsid w:val="00587FB0"/>
    <w:rsid w:val="005913DB"/>
    <w:rsid w:val="005922B7"/>
    <w:rsid w:val="00592BD8"/>
    <w:rsid w:val="005936D8"/>
    <w:rsid w:val="00596713"/>
    <w:rsid w:val="00596B9A"/>
    <w:rsid w:val="005A1D4C"/>
    <w:rsid w:val="005A1E19"/>
    <w:rsid w:val="005A2024"/>
    <w:rsid w:val="005A432A"/>
    <w:rsid w:val="005B0B99"/>
    <w:rsid w:val="005B50FD"/>
    <w:rsid w:val="005C2783"/>
    <w:rsid w:val="005C423B"/>
    <w:rsid w:val="005C5A63"/>
    <w:rsid w:val="005D1470"/>
    <w:rsid w:val="005D6598"/>
    <w:rsid w:val="005D6DDB"/>
    <w:rsid w:val="005D6EDB"/>
    <w:rsid w:val="005D7EC7"/>
    <w:rsid w:val="005E0551"/>
    <w:rsid w:val="005E0766"/>
    <w:rsid w:val="005E3E38"/>
    <w:rsid w:val="005E5223"/>
    <w:rsid w:val="005E53A7"/>
    <w:rsid w:val="005E5CF2"/>
    <w:rsid w:val="005E6B67"/>
    <w:rsid w:val="005F084E"/>
    <w:rsid w:val="005F169E"/>
    <w:rsid w:val="005F1A3E"/>
    <w:rsid w:val="005F2BE2"/>
    <w:rsid w:val="005F369D"/>
    <w:rsid w:val="005F48CE"/>
    <w:rsid w:val="005F6CC2"/>
    <w:rsid w:val="005F6D3C"/>
    <w:rsid w:val="0060139D"/>
    <w:rsid w:val="00613F58"/>
    <w:rsid w:val="006219A8"/>
    <w:rsid w:val="00623479"/>
    <w:rsid w:val="0063121E"/>
    <w:rsid w:val="006319AE"/>
    <w:rsid w:val="0063375A"/>
    <w:rsid w:val="0063472B"/>
    <w:rsid w:val="0063581D"/>
    <w:rsid w:val="006364EA"/>
    <w:rsid w:val="00640D24"/>
    <w:rsid w:val="00641434"/>
    <w:rsid w:val="00641446"/>
    <w:rsid w:val="0064391E"/>
    <w:rsid w:val="0064643E"/>
    <w:rsid w:val="00647F96"/>
    <w:rsid w:val="00650DCA"/>
    <w:rsid w:val="00652F6C"/>
    <w:rsid w:val="00652F7E"/>
    <w:rsid w:val="00653EB1"/>
    <w:rsid w:val="00654BDE"/>
    <w:rsid w:val="00655AEB"/>
    <w:rsid w:val="006571E3"/>
    <w:rsid w:val="0065783F"/>
    <w:rsid w:val="006613B6"/>
    <w:rsid w:val="00665C45"/>
    <w:rsid w:val="006664F6"/>
    <w:rsid w:val="006726DF"/>
    <w:rsid w:val="00672E68"/>
    <w:rsid w:val="00674C82"/>
    <w:rsid w:val="006754A6"/>
    <w:rsid w:val="00675FA4"/>
    <w:rsid w:val="00680CF9"/>
    <w:rsid w:val="00682AC4"/>
    <w:rsid w:val="00684A29"/>
    <w:rsid w:val="00686346"/>
    <w:rsid w:val="00694382"/>
    <w:rsid w:val="00694D74"/>
    <w:rsid w:val="00694ED1"/>
    <w:rsid w:val="006966EF"/>
    <w:rsid w:val="00696A27"/>
    <w:rsid w:val="00696D48"/>
    <w:rsid w:val="006A1DC8"/>
    <w:rsid w:val="006A7F69"/>
    <w:rsid w:val="006B1054"/>
    <w:rsid w:val="006B23E4"/>
    <w:rsid w:val="006B26ED"/>
    <w:rsid w:val="006B3DB0"/>
    <w:rsid w:val="006B6DF3"/>
    <w:rsid w:val="006C6179"/>
    <w:rsid w:val="006C7CA1"/>
    <w:rsid w:val="006D051B"/>
    <w:rsid w:val="006D4227"/>
    <w:rsid w:val="006D771D"/>
    <w:rsid w:val="006D799A"/>
    <w:rsid w:val="006E0F16"/>
    <w:rsid w:val="006E1430"/>
    <w:rsid w:val="006E3399"/>
    <w:rsid w:val="006E6059"/>
    <w:rsid w:val="006E62DE"/>
    <w:rsid w:val="006F082D"/>
    <w:rsid w:val="006F1DEF"/>
    <w:rsid w:val="006F31BF"/>
    <w:rsid w:val="006F462E"/>
    <w:rsid w:val="0070107C"/>
    <w:rsid w:val="00701280"/>
    <w:rsid w:val="00704E84"/>
    <w:rsid w:val="007107BB"/>
    <w:rsid w:val="00713F37"/>
    <w:rsid w:val="0071463E"/>
    <w:rsid w:val="00720892"/>
    <w:rsid w:val="007216F5"/>
    <w:rsid w:val="0072410A"/>
    <w:rsid w:val="0072644B"/>
    <w:rsid w:val="0072726C"/>
    <w:rsid w:val="00727B7E"/>
    <w:rsid w:val="007319F6"/>
    <w:rsid w:val="00735552"/>
    <w:rsid w:val="00743399"/>
    <w:rsid w:val="00743BB0"/>
    <w:rsid w:val="007451B7"/>
    <w:rsid w:val="00745C6C"/>
    <w:rsid w:val="00751A3F"/>
    <w:rsid w:val="00752666"/>
    <w:rsid w:val="0075274B"/>
    <w:rsid w:val="0075283E"/>
    <w:rsid w:val="007622DD"/>
    <w:rsid w:val="007631CF"/>
    <w:rsid w:val="007640D4"/>
    <w:rsid w:val="00764696"/>
    <w:rsid w:val="00764DC7"/>
    <w:rsid w:val="0076551D"/>
    <w:rsid w:val="00766EB4"/>
    <w:rsid w:val="00770058"/>
    <w:rsid w:val="007716AE"/>
    <w:rsid w:val="00773649"/>
    <w:rsid w:val="00775213"/>
    <w:rsid w:val="00776D95"/>
    <w:rsid w:val="00781115"/>
    <w:rsid w:val="00782F36"/>
    <w:rsid w:val="007831A3"/>
    <w:rsid w:val="00783B06"/>
    <w:rsid w:val="00784994"/>
    <w:rsid w:val="007859BA"/>
    <w:rsid w:val="00785EF6"/>
    <w:rsid w:val="00791722"/>
    <w:rsid w:val="0079189D"/>
    <w:rsid w:val="00791A40"/>
    <w:rsid w:val="00796D08"/>
    <w:rsid w:val="007A0404"/>
    <w:rsid w:val="007A1DC6"/>
    <w:rsid w:val="007A4194"/>
    <w:rsid w:val="007A568D"/>
    <w:rsid w:val="007A62DB"/>
    <w:rsid w:val="007B25BF"/>
    <w:rsid w:val="007B6C08"/>
    <w:rsid w:val="007C0B07"/>
    <w:rsid w:val="007C1CAF"/>
    <w:rsid w:val="007C4139"/>
    <w:rsid w:val="007D0370"/>
    <w:rsid w:val="007D3B04"/>
    <w:rsid w:val="007E0D65"/>
    <w:rsid w:val="007E10B1"/>
    <w:rsid w:val="007E3CFC"/>
    <w:rsid w:val="007E6680"/>
    <w:rsid w:val="007E68A5"/>
    <w:rsid w:val="007F0B9F"/>
    <w:rsid w:val="007F0D64"/>
    <w:rsid w:val="007F584B"/>
    <w:rsid w:val="00800D20"/>
    <w:rsid w:val="00803DE2"/>
    <w:rsid w:val="008060D3"/>
    <w:rsid w:val="008134AE"/>
    <w:rsid w:val="00815312"/>
    <w:rsid w:val="00816D2C"/>
    <w:rsid w:val="00816DE8"/>
    <w:rsid w:val="008223FC"/>
    <w:rsid w:val="00822645"/>
    <w:rsid w:val="00822997"/>
    <w:rsid w:val="00825937"/>
    <w:rsid w:val="00827565"/>
    <w:rsid w:val="00827A3A"/>
    <w:rsid w:val="00827A9C"/>
    <w:rsid w:val="0083017E"/>
    <w:rsid w:val="00833D0A"/>
    <w:rsid w:val="00834270"/>
    <w:rsid w:val="0083573E"/>
    <w:rsid w:val="00837105"/>
    <w:rsid w:val="00840681"/>
    <w:rsid w:val="00841EB6"/>
    <w:rsid w:val="00846CF2"/>
    <w:rsid w:val="00847AEE"/>
    <w:rsid w:val="00854067"/>
    <w:rsid w:val="0085629F"/>
    <w:rsid w:val="008604B2"/>
    <w:rsid w:val="008621CA"/>
    <w:rsid w:val="008655CE"/>
    <w:rsid w:val="00865AFD"/>
    <w:rsid w:val="00866FC5"/>
    <w:rsid w:val="00867331"/>
    <w:rsid w:val="00870F46"/>
    <w:rsid w:val="008719D0"/>
    <w:rsid w:val="0087426A"/>
    <w:rsid w:val="008742AF"/>
    <w:rsid w:val="008804F8"/>
    <w:rsid w:val="00882DCE"/>
    <w:rsid w:val="00884710"/>
    <w:rsid w:val="00885C2C"/>
    <w:rsid w:val="0088694C"/>
    <w:rsid w:val="008873FB"/>
    <w:rsid w:val="00887806"/>
    <w:rsid w:val="008879EB"/>
    <w:rsid w:val="00892310"/>
    <w:rsid w:val="0089438E"/>
    <w:rsid w:val="00895223"/>
    <w:rsid w:val="008962D2"/>
    <w:rsid w:val="008966D3"/>
    <w:rsid w:val="008A79D6"/>
    <w:rsid w:val="008B6303"/>
    <w:rsid w:val="008C0F1F"/>
    <w:rsid w:val="008C2B2E"/>
    <w:rsid w:val="008C41BC"/>
    <w:rsid w:val="008C4778"/>
    <w:rsid w:val="008C5DAD"/>
    <w:rsid w:val="008C5F26"/>
    <w:rsid w:val="008D4798"/>
    <w:rsid w:val="008D554E"/>
    <w:rsid w:val="008D6E9E"/>
    <w:rsid w:val="008E3001"/>
    <w:rsid w:val="008E5808"/>
    <w:rsid w:val="008E6884"/>
    <w:rsid w:val="008E7BE9"/>
    <w:rsid w:val="008F26E3"/>
    <w:rsid w:val="008F270F"/>
    <w:rsid w:val="008F4119"/>
    <w:rsid w:val="008F6D39"/>
    <w:rsid w:val="009003DB"/>
    <w:rsid w:val="00903B6E"/>
    <w:rsid w:val="00904FD0"/>
    <w:rsid w:val="00906970"/>
    <w:rsid w:val="00910978"/>
    <w:rsid w:val="00911594"/>
    <w:rsid w:val="00914B65"/>
    <w:rsid w:val="009169FF"/>
    <w:rsid w:val="00924220"/>
    <w:rsid w:val="00924FEF"/>
    <w:rsid w:val="009250DA"/>
    <w:rsid w:val="009276FF"/>
    <w:rsid w:val="00931070"/>
    <w:rsid w:val="0093173A"/>
    <w:rsid w:val="00937F17"/>
    <w:rsid w:val="00941A43"/>
    <w:rsid w:val="009438EC"/>
    <w:rsid w:val="009449DE"/>
    <w:rsid w:val="00950015"/>
    <w:rsid w:val="00951FE8"/>
    <w:rsid w:val="00952302"/>
    <w:rsid w:val="00963D88"/>
    <w:rsid w:val="00964322"/>
    <w:rsid w:val="00966A71"/>
    <w:rsid w:val="00967CAE"/>
    <w:rsid w:val="00971836"/>
    <w:rsid w:val="00975A64"/>
    <w:rsid w:val="00976E96"/>
    <w:rsid w:val="009834E3"/>
    <w:rsid w:val="00983DA5"/>
    <w:rsid w:val="00985FF5"/>
    <w:rsid w:val="00986A5E"/>
    <w:rsid w:val="00987E36"/>
    <w:rsid w:val="00990DD4"/>
    <w:rsid w:val="0099197D"/>
    <w:rsid w:val="0099713E"/>
    <w:rsid w:val="00997772"/>
    <w:rsid w:val="009A0FB9"/>
    <w:rsid w:val="009A642E"/>
    <w:rsid w:val="009B0901"/>
    <w:rsid w:val="009B0CDD"/>
    <w:rsid w:val="009B1D75"/>
    <w:rsid w:val="009B5BEF"/>
    <w:rsid w:val="009B71D5"/>
    <w:rsid w:val="009C0712"/>
    <w:rsid w:val="009C1313"/>
    <w:rsid w:val="009C5CAA"/>
    <w:rsid w:val="009D1524"/>
    <w:rsid w:val="009D16BA"/>
    <w:rsid w:val="009D43B2"/>
    <w:rsid w:val="009D494B"/>
    <w:rsid w:val="009E1715"/>
    <w:rsid w:val="009E4F2C"/>
    <w:rsid w:val="009E57AA"/>
    <w:rsid w:val="009F1006"/>
    <w:rsid w:val="009F2BA4"/>
    <w:rsid w:val="009F2BEA"/>
    <w:rsid w:val="009F3306"/>
    <w:rsid w:val="009F4663"/>
    <w:rsid w:val="009F6906"/>
    <w:rsid w:val="009F75BA"/>
    <w:rsid w:val="00A01836"/>
    <w:rsid w:val="00A02D84"/>
    <w:rsid w:val="00A07668"/>
    <w:rsid w:val="00A07758"/>
    <w:rsid w:val="00A115A8"/>
    <w:rsid w:val="00A118FD"/>
    <w:rsid w:val="00A124E5"/>
    <w:rsid w:val="00A12B98"/>
    <w:rsid w:val="00A20262"/>
    <w:rsid w:val="00A22DC3"/>
    <w:rsid w:val="00A2320E"/>
    <w:rsid w:val="00A24291"/>
    <w:rsid w:val="00A24671"/>
    <w:rsid w:val="00A26DE4"/>
    <w:rsid w:val="00A32E34"/>
    <w:rsid w:val="00A335E5"/>
    <w:rsid w:val="00A352D3"/>
    <w:rsid w:val="00A361F6"/>
    <w:rsid w:val="00A36B49"/>
    <w:rsid w:val="00A37FFA"/>
    <w:rsid w:val="00A40FBE"/>
    <w:rsid w:val="00A4499F"/>
    <w:rsid w:val="00A459EE"/>
    <w:rsid w:val="00A5244D"/>
    <w:rsid w:val="00A531D6"/>
    <w:rsid w:val="00A547C3"/>
    <w:rsid w:val="00A6293B"/>
    <w:rsid w:val="00A66BED"/>
    <w:rsid w:val="00A72D95"/>
    <w:rsid w:val="00A73E00"/>
    <w:rsid w:val="00A75396"/>
    <w:rsid w:val="00A75479"/>
    <w:rsid w:val="00A76560"/>
    <w:rsid w:val="00A76C7C"/>
    <w:rsid w:val="00A772A0"/>
    <w:rsid w:val="00A80907"/>
    <w:rsid w:val="00A8211D"/>
    <w:rsid w:val="00A846DE"/>
    <w:rsid w:val="00A8706C"/>
    <w:rsid w:val="00A87689"/>
    <w:rsid w:val="00A916BD"/>
    <w:rsid w:val="00A928BA"/>
    <w:rsid w:val="00A9526C"/>
    <w:rsid w:val="00A97DF7"/>
    <w:rsid w:val="00AA27B7"/>
    <w:rsid w:val="00AA3E42"/>
    <w:rsid w:val="00AA4366"/>
    <w:rsid w:val="00AB399C"/>
    <w:rsid w:val="00AB3DA2"/>
    <w:rsid w:val="00AB4D76"/>
    <w:rsid w:val="00AB770C"/>
    <w:rsid w:val="00AC05A4"/>
    <w:rsid w:val="00AC0D77"/>
    <w:rsid w:val="00AC184C"/>
    <w:rsid w:val="00AC1EFF"/>
    <w:rsid w:val="00AC4506"/>
    <w:rsid w:val="00AC4A75"/>
    <w:rsid w:val="00AC674A"/>
    <w:rsid w:val="00AC7588"/>
    <w:rsid w:val="00AC7636"/>
    <w:rsid w:val="00AD095A"/>
    <w:rsid w:val="00AD09CD"/>
    <w:rsid w:val="00AD2A90"/>
    <w:rsid w:val="00AD430D"/>
    <w:rsid w:val="00AD4E92"/>
    <w:rsid w:val="00AD64A9"/>
    <w:rsid w:val="00AD6B3B"/>
    <w:rsid w:val="00AE1782"/>
    <w:rsid w:val="00AE453B"/>
    <w:rsid w:val="00AE6D3F"/>
    <w:rsid w:val="00AE7273"/>
    <w:rsid w:val="00AE7C76"/>
    <w:rsid w:val="00AF0AEF"/>
    <w:rsid w:val="00AF18FF"/>
    <w:rsid w:val="00AF2B8C"/>
    <w:rsid w:val="00AF2E38"/>
    <w:rsid w:val="00AF7A68"/>
    <w:rsid w:val="00B022A6"/>
    <w:rsid w:val="00B03A5E"/>
    <w:rsid w:val="00B0774D"/>
    <w:rsid w:val="00B11046"/>
    <w:rsid w:val="00B11550"/>
    <w:rsid w:val="00B11EF5"/>
    <w:rsid w:val="00B13116"/>
    <w:rsid w:val="00B20164"/>
    <w:rsid w:val="00B22B90"/>
    <w:rsid w:val="00B234F7"/>
    <w:rsid w:val="00B243D6"/>
    <w:rsid w:val="00B24832"/>
    <w:rsid w:val="00B27DC8"/>
    <w:rsid w:val="00B30705"/>
    <w:rsid w:val="00B317FC"/>
    <w:rsid w:val="00B322AE"/>
    <w:rsid w:val="00B37353"/>
    <w:rsid w:val="00B37A70"/>
    <w:rsid w:val="00B37AEB"/>
    <w:rsid w:val="00B406DF"/>
    <w:rsid w:val="00B40B99"/>
    <w:rsid w:val="00B415D4"/>
    <w:rsid w:val="00B4168D"/>
    <w:rsid w:val="00B41777"/>
    <w:rsid w:val="00B42AF2"/>
    <w:rsid w:val="00B44E66"/>
    <w:rsid w:val="00B46B8D"/>
    <w:rsid w:val="00B501F0"/>
    <w:rsid w:val="00B5131F"/>
    <w:rsid w:val="00B56DEF"/>
    <w:rsid w:val="00B64D03"/>
    <w:rsid w:val="00B64D1C"/>
    <w:rsid w:val="00B666F6"/>
    <w:rsid w:val="00B704D6"/>
    <w:rsid w:val="00B71977"/>
    <w:rsid w:val="00B74A01"/>
    <w:rsid w:val="00B80DAF"/>
    <w:rsid w:val="00B80DB9"/>
    <w:rsid w:val="00B81087"/>
    <w:rsid w:val="00B853FC"/>
    <w:rsid w:val="00B854D5"/>
    <w:rsid w:val="00B86ECA"/>
    <w:rsid w:val="00B928DC"/>
    <w:rsid w:val="00B94BFC"/>
    <w:rsid w:val="00B951B8"/>
    <w:rsid w:val="00B97C78"/>
    <w:rsid w:val="00BA146C"/>
    <w:rsid w:val="00BA67AA"/>
    <w:rsid w:val="00BA7C31"/>
    <w:rsid w:val="00BB2C4E"/>
    <w:rsid w:val="00BB3AFB"/>
    <w:rsid w:val="00BB5EC5"/>
    <w:rsid w:val="00BB5F72"/>
    <w:rsid w:val="00BB61F0"/>
    <w:rsid w:val="00BC0CA5"/>
    <w:rsid w:val="00BC1E2E"/>
    <w:rsid w:val="00BC2223"/>
    <w:rsid w:val="00BC246F"/>
    <w:rsid w:val="00BC405B"/>
    <w:rsid w:val="00BC4436"/>
    <w:rsid w:val="00BC57B4"/>
    <w:rsid w:val="00BC734D"/>
    <w:rsid w:val="00BD218B"/>
    <w:rsid w:val="00BD341D"/>
    <w:rsid w:val="00BD5260"/>
    <w:rsid w:val="00BD7250"/>
    <w:rsid w:val="00BE47A5"/>
    <w:rsid w:val="00BE7299"/>
    <w:rsid w:val="00BF0A05"/>
    <w:rsid w:val="00BF2E58"/>
    <w:rsid w:val="00BF6E56"/>
    <w:rsid w:val="00BF708D"/>
    <w:rsid w:val="00C00F50"/>
    <w:rsid w:val="00C0101F"/>
    <w:rsid w:val="00C015AA"/>
    <w:rsid w:val="00C02A6A"/>
    <w:rsid w:val="00C04042"/>
    <w:rsid w:val="00C04EED"/>
    <w:rsid w:val="00C07D94"/>
    <w:rsid w:val="00C22E8D"/>
    <w:rsid w:val="00C23350"/>
    <w:rsid w:val="00C2450E"/>
    <w:rsid w:val="00C2474D"/>
    <w:rsid w:val="00C25864"/>
    <w:rsid w:val="00C26B23"/>
    <w:rsid w:val="00C26C33"/>
    <w:rsid w:val="00C2780A"/>
    <w:rsid w:val="00C2787E"/>
    <w:rsid w:val="00C27EFF"/>
    <w:rsid w:val="00C34FFC"/>
    <w:rsid w:val="00C35E8F"/>
    <w:rsid w:val="00C41258"/>
    <w:rsid w:val="00C43718"/>
    <w:rsid w:val="00C43750"/>
    <w:rsid w:val="00C43C73"/>
    <w:rsid w:val="00C4575D"/>
    <w:rsid w:val="00C45DD7"/>
    <w:rsid w:val="00C5001F"/>
    <w:rsid w:val="00C508D8"/>
    <w:rsid w:val="00C536A6"/>
    <w:rsid w:val="00C55F98"/>
    <w:rsid w:val="00C62999"/>
    <w:rsid w:val="00C6399B"/>
    <w:rsid w:val="00C642FF"/>
    <w:rsid w:val="00C66805"/>
    <w:rsid w:val="00C72F2C"/>
    <w:rsid w:val="00C7554D"/>
    <w:rsid w:val="00C833E3"/>
    <w:rsid w:val="00C84DB5"/>
    <w:rsid w:val="00C955F5"/>
    <w:rsid w:val="00CA3E89"/>
    <w:rsid w:val="00CA4FC7"/>
    <w:rsid w:val="00CA5A5A"/>
    <w:rsid w:val="00CA5FEF"/>
    <w:rsid w:val="00CA67AC"/>
    <w:rsid w:val="00CA68A0"/>
    <w:rsid w:val="00CA749B"/>
    <w:rsid w:val="00CB503F"/>
    <w:rsid w:val="00CB54A7"/>
    <w:rsid w:val="00CB638C"/>
    <w:rsid w:val="00CB678C"/>
    <w:rsid w:val="00CB7762"/>
    <w:rsid w:val="00CB7BD2"/>
    <w:rsid w:val="00CC02E0"/>
    <w:rsid w:val="00CC0F88"/>
    <w:rsid w:val="00CC14AB"/>
    <w:rsid w:val="00CC2E05"/>
    <w:rsid w:val="00CC354B"/>
    <w:rsid w:val="00CC4E9F"/>
    <w:rsid w:val="00CC4FFB"/>
    <w:rsid w:val="00CC7937"/>
    <w:rsid w:val="00CC7D45"/>
    <w:rsid w:val="00CD00DE"/>
    <w:rsid w:val="00CD163C"/>
    <w:rsid w:val="00CD347C"/>
    <w:rsid w:val="00CD4101"/>
    <w:rsid w:val="00CD6980"/>
    <w:rsid w:val="00CE18BF"/>
    <w:rsid w:val="00CE2354"/>
    <w:rsid w:val="00CF24B8"/>
    <w:rsid w:val="00CF327A"/>
    <w:rsid w:val="00CF46BD"/>
    <w:rsid w:val="00D0025A"/>
    <w:rsid w:val="00D0525F"/>
    <w:rsid w:val="00D05CA5"/>
    <w:rsid w:val="00D05FBA"/>
    <w:rsid w:val="00D06E11"/>
    <w:rsid w:val="00D1118C"/>
    <w:rsid w:val="00D11B15"/>
    <w:rsid w:val="00D16200"/>
    <w:rsid w:val="00D17E79"/>
    <w:rsid w:val="00D22919"/>
    <w:rsid w:val="00D23957"/>
    <w:rsid w:val="00D26DD0"/>
    <w:rsid w:val="00D3416E"/>
    <w:rsid w:val="00D34512"/>
    <w:rsid w:val="00D35CA8"/>
    <w:rsid w:val="00D406C5"/>
    <w:rsid w:val="00D41620"/>
    <w:rsid w:val="00D43FC1"/>
    <w:rsid w:val="00D45312"/>
    <w:rsid w:val="00D46E27"/>
    <w:rsid w:val="00D519E4"/>
    <w:rsid w:val="00D52041"/>
    <w:rsid w:val="00D538CC"/>
    <w:rsid w:val="00D571DE"/>
    <w:rsid w:val="00D6295D"/>
    <w:rsid w:val="00D637ED"/>
    <w:rsid w:val="00D64779"/>
    <w:rsid w:val="00D66353"/>
    <w:rsid w:val="00D775C7"/>
    <w:rsid w:val="00D77B24"/>
    <w:rsid w:val="00D8131E"/>
    <w:rsid w:val="00D82317"/>
    <w:rsid w:val="00D84B6D"/>
    <w:rsid w:val="00D84DFE"/>
    <w:rsid w:val="00D87B15"/>
    <w:rsid w:val="00D91995"/>
    <w:rsid w:val="00D935EB"/>
    <w:rsid w:val="00D93E1D"/>
    <w:rsid w:val="00D93F41"/>
    <w:rsid w:val="00D943A7"/>
    <w:rsid w:val="00D9448E"/>
    <w:rsid w:val="00D971C1"/>
    <w:rsid w:val="00DA107A"/>
    <w:rsid w:val="00DA15E1"/>
    <w:rsid w:val="00DA22FD"/>
    <w:rsid w:val="00DA7879"/>
    <w:rsid w:val="00DA7E0E"/>
    <w:rsid w:val="00DB23D4"/>
    <w:rsid w:val="00DB514F"/>
    <w:rsid w:val="00DB56EB"/>
    <w:rsid w:val="00DB7555"/>
    <w:rsid w:val="00DC773D"/>
    <w:rsid w:val="00DD01DD"/>
    <w:rsid w:val="00DD24BA"/>
    <w:rsid w:val="00DD65A8"/>
    <w:rsid w:val="00DE3F9F"/>
    <w:rsid w:val="00DE44C8"/>
    <w:rsid w:val="00DE5A71"/>
    <w:rsid w:val="00DE7040"/>
    <w:rsid w:val="00DE7731"/>
    <w:rsid w:val="00DF1DB0"/>
    <w:rsid w:val="00DF23D8"/>
    <w:rsid w:val="00DF3172"/>
    <w:rsid w:val="00DF48CF"/>
    <w:rsid w:val="00DF5649"/>
    <w:rsid w:val="00DF56B6"/>
    <w:rsid w:val="00DF6B6B"/>
    <w:rsid w:val="00DF7451"/>
    <w:rsid w:val="00E0012E"/>
    <w:rsid w:val="00E0144F"/>
    <w:rsid w:val="00E03A8F"/>
    <w:rsid w:val="00E049C7"/>
    <w:rsid w:val="00E05FC9"/>
    <w:rsid w:val="00E0715C"/>
    <w:rsid w:val="00E11C17"/>
    <w:rsid w:val="00E122DE"/>
    <w:rsid w:val="00E16830"/>
    <w:rsid w:val="00E23334"/>
    <w:rsid w:val="00E255AA"/>
    <w:rsid w:val="00E25EBA"/>
    <w:rsid w:val="00E260C1"/>
    <w:rsid w:val="00E34A5F"/>
    <w:rsid w:val="00E414EF"/>
    <w:rsid w:val="00E439C3"/>
    <w:rsid w:val="00E45C22"/>
    <w:rsid w:val="00E467ED"/>
    <w:rsid w:val="00E530E2"/>
    <w:rsid w:val="00E5527F"/>
    <w:rsid w:val="00E60D9A"/>
    <w:rsid w:val="00E61623"/>
    <w:rsid w:val="00E66F01"/>
    <w:rsid w:val="00E67C28"/>
    <w:rsid w:val="00E70EF9"/>
    <w:rsid w:val="00E71EC6"/>
    <w:rsid w:val="00E7745D"/>
    <w:rsid w:val="00E81586"/>
    <w:rsid w:val="00E84FED"/>
    <w:rsid w:val="00E85CF6"/>
    <w:rsid w:val="00E86D7E"/>
    <w:rsid w:val="00E87C69"/>
    <w:rsid w:val="00E92D2B"/>
    <w:rsid w:val="00E965BE"/>
    <w:rsid w:val="00EA2B94"/>
    <w:rsid w:val="00EA528D"/>
    <w:rsid w:val="00EA54AE"/>
    <w:rsid w:val="00EA5650"/>
    <w:rsid w:val="00EA73FF"/>
    <w:rsid w:val="00EA7515"/>
    <w:rsid w:val="00EA7BD8"/>
    <w:rsid w:val="00EB0048"/>
    <w:rsid w:val="00EB036A"/>
    <w:rsid w:val="00EB2159"/>
    <w:rsid w:val="00EB3AFD"/>
    <w:rsid w:val="00EC2CC9"/>
    <w:rsid w:val="00EC4951"/>
    <w:rsid w:val="00ED0E41"/>
    <w:rsid w:val="00ED13C3"/>
    <w:rsid w:val="00ED3CBE"/>
    <w:rsid w:val="00ED6559"/>
    <w:rsid w:val="00ED7DCB"/>
    <w:rsid w:val="00EE01E5"/>
    <w:rsid w:val="00EE1300"/>
    <w:rsid w:val="00EE26DF"/>
    <w:rsid w:val="00EE40F8"/>
    <w:rsid w:val="00EE4BC8"/>
    <w:rsid w:val="00EE73C5"/>
    <w:rsid w:val="00EE79A6"/>
    <w:rsid w:val="00EE7C17"/>
    <w:rsid w:val="00EF3CE4"/>
    <w:rsid w:val="00EF47D1"/>
    <w:rsid w:val="00EF51BD"/>
    <w:rsid w:val="00EF7437"/>
    <w:rsid w:val="00F02BF9"/>
    <w:rsid w:val="00F0342E"/>
    <w:rsid w:val="00F03F14"/>
    <w:rsid w:val="00F04B63"/>
    <w:rsid w:val="00F05F8B"/>
    <w:rsid w:val="00F065BD"/>
    <w:rsid w:val="00F0774E"/>
    <w:rsid w:val="00F07E7C"/>
    <w:rsid w:val="00F10D0F"/>
    <w:rsid w:val="00F16ACB"/>
    <w:rsid w:val="00F172A9"/>
    <w:rsid w:val="00F21194"/>
    <w:rsid w:val="00F2129C"/>
    <w:rsid w:val="00F21650"/>
    <w:rsid w:val="00F21E71"/>
    <w:rsid w:val="00F260DF"/>
    <w:rsid w:val="00F26349"/>
    <w:rsid w:val="00F27253"/>
    <w:rsid w:val="00F30309"/>
    <w:rsid w:val="00F31145"/>
    <w:rsid w:val="00F358B7"/>
    <w:rsid w:val="00F37E6F"/>
    <w:rsid w:val="00F424D8"/>
    <w:rsid w:val="00F43F16"/>
    <w:rsid w:val="00F505AB"/>
    <w:rsid w:val="00F50A41"/>
    <w:rsid w:val="00F5602A"/>
    <w:rsid w:val="00F71B33"/>
    <w:rsid w:val="00F72CCF"/>
    <w:rsid w:val="00F75972"/>
    <w:rsid w:val="00F80D5E"/>
    <w:rsid w:val="00F81FA2"/>
    <w:rsid w:val="00F87D7D"/>
    <w:rsid w:val="00F91553"/>
    <w:rsid w:val="00F91FA8"/>
    <w:rsid w:val="00FA0C8C"/>
    <w:rsid w:val="00FA29D0"/>
    <w:rsid w:val="00FA304C"/>
    <w:rsid w:val="00FA36B0"/>
    <w:rsid w:val="00FA3CF7"/>
    <w:rsid w:val="00FA56B4"/>
    <w:rsid w:val="00FA7953"/>
    <w:rsid w:val="00FB3CED"/>
    <w:rsid w:val="00FC606A"/>
    <w:rsid w:val="00FC68C4"/>
    <w:rsid w:val="00FC7AF4"/>
    <w:rsid w:val="00FD018E"/>
    <w:rsid w:val="00FD11A6"/>
    <w:rsid w:val="00FD4B16"/>
    <w:rsid w:val="00FD6CD0"/>
    <w:rsid w:val="00FD74AE"/>
    <w:rsid w:val="00FE2790"/>
    <w:rsid w:val="00FE4C2B"/>
    <w:rsid w:val="00FE514B"/>
    <w:rsid w:val="00FE60E8"/>
    <w:rsid w:val="00FE6C4E"/>
    <w:rsid w:val="00FE743D"/>
    <w:rsid w:val="00FF642F"/>
    <w:rsid w:val="00FF6B03"/>
    <w:rsid w:val="00FF6B05"/>
    <w:rsid w:val="00FF7055"/>
    <w:rsid w:val="00FF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F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5783F"/>
    <w:pPr>
      <w:keepNext/>
      <w:spacing w:line="360" w:lineRule="auto"/>
      <w:outlineLvl w:val="0"/>
    </w:pPr>
    <w:rPr>
      <w:rFonts w:ascii="Arial" w:hAnsi="Arial" w:cs="Arial"/>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0DCA"/>
    <w:rPr>
      <w:sz w:val="20"/>
      <w:szCs w:val="20"/>
    </w:rPr>
  </w:style>
  <w:style w:type="character" w:customStyle="1" w:styleId="FootnoteTextChar">
    <w:name w:val="Footnote Text Char"/>
    <w:basedOn w:val="DefaultParagraphFont"/>
    <w:link w:val="FootnoteText"/>
    <w:uiPriority w:val="99"/>
    <w:semiHidden/>
    <w:rsid w:val="00650DC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50DCA"/>
    <w:rPr>
      <w:vertAlign w:val="superscript"/>
    </w:rPr>
  </w:style>
  <w:style w:type="paragraph" w:styleId="BodyTextIndent3">
    <w:name w:val="Body Text Indent 3"/>
    <w:basedOn w:val="Normal"/>
    <w:link w:val="BodyTextIndent3Char"/>
    <w:rsid w:val="001E4DED"/>
    <w:pPr>
      <w:ind w:left="-709" w:hanging="720"/>
    </w:pPr>
    <w:rPr>
      <w:lang w:eastAsia="zh-CN"/>
    </w:rPr>
  </w:style>
  <w:style w:type="character" w:customStyle="1" w:styleId="BodyTextIndent3Char">
    <w:name w:val="Body Text Indent 3 Char"/>
    <w:basedOn w:val="DefaultParagraphFont"/>
    <w:link w:val="BodyTextIndent3"/>
    <w:rsid w:val="001E4DED"/>
    <w:rPr>
      <w:rFonts w:ascii="Times New Roman" w:eastAsia="Times New Roman" w:hAnsi="Times New Roman" w:cs="Times New Roman"/>
      <w:sz w:val="24"/>
      <w:szCs w:val="24"/>
      <w:lang w:eastAsia="zh-CN"/>
    </w:rPr>
  </w:style>
  <w:style w:type="paragraph" w:styleId="EndnoteText">
    <w:name w:val="endnote text"/>
    <w:basedOn w:val="Normal"/>
    <w:link w:val="EndnoteTextChar"/>
    <w:unhideWhenUsed/>
    <w:rsid w:val="001E4DED"/>
    <w:rPr>
      <w:sz w:val="20"/>
      <w:szCs w:val="20"/>
    </w:rPr>
  </w:style>
  <w:style w:type="character" w:customStyle="1" w:styleId="EndnoteTextChar">
    <w:name w:val="Endnote Text Char"/>
    <w:basedOn w:val="DefaultParagraphFont"/>
    <w:link w:val="EndnoteText"/>
    <w:rsid w:val="001E4DE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E4DED"/>
    <w:rPr>
      <w:vertAlign w:val="superscript"/>
    </w:rPr>
  </w:style>
  <w:style w:type="paragraph" w:styleId="ListParagraph">
    <w:name w:val="List Paragraph"/>
    <w:basedOn w:val="Normal"/>
    <w:uiPriority w:val="34"/>
    <w:qFormat/>
    <w:rsid w:val="00D64779"/>
    <w:pPr>
      <w:ind w:left="720"/>
      <w:contextualSpacing/>
    </w:pPr>
  </w:style>
  <w:style w:type="paragraph" w:styleId="NormalWeb">
    <w:name w:val="Normal (Web)"/>
    <w:basedOn w:val="Normal"/>
    <w:rsid w:val="00E87C69"/>
    <w:pPr>
      <w:spacing w:before="100" w:beforeAutospacing="1" w:after="100" w:afterAutospacing="1"/>
    </w:pPr>
  </w:style>
  <w:style w:type="paragraph" w:styleId="Header">
    <w:name w:val="header"/>
    <w:basedOn w:val="Normal"/>
    <w:link w:val="HeaderChar"/>
    <w:uiPriority w:val="99"/>
    <w:unhideWhenUsed/>
    <w:rsid w:val="00DD01DD"/>
    <w:pPr>
      <w:tabs>
        <w:tab w:val="center" w:pos="4513"/>
        <w:tab w:val="right" w:pos="9026"/>
      </w:tabs>
    </w:pPr>
  </w:style>
  <w:style w:type="character" w:customStyle="1" w:styleId="HeaderChar">
    <w:name w:val="Header Char"/>
    <w:basedOn w:val="DefaultParagraphFont"/>
    <w:link w:val="Header"/>
    <w:uiPriority w:val="99"/>
    <w:rsid w:val="00DD01DD"/>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DD01DD"/>
    <w:pPr>
      <w:tabs>
        <w:tab w:val="center" w:pos="4513"/>
        <w:tab w:val="right" w:pos="9026"/>
      </w:tabs>
    </w:pPr>
  </w:style>
  <w:style w:type="character" w:customStyle="1" w:styleId="FooterChar">
    <w:name w:val="Footer Char"/>
    <w:basedOn w:val="DefaultParagraphFont"/>
    <w:link w:val="Footer"/>
    <w:uiPriority w:val="99"/>
    <w:semiHidden/>
    <w:rsid w:val="00DD01DD"/>
    <w:rPr>
      <w:rFonts w:ascii="Times New Roman" w:eastAsia="Times New Roman" w:hAnsi="Times New Roman" w:cs="Times New Roman"/>
      <w:sz w:val="24"/>
      <w:szCs w:val="24"/>
      <w:lang w:eastAsia="en-GB"/>
    </w:rPr>
  </w:style>
  <w:style w:type="character" w:styleId="Emphasis">
    <w:name w:val="Emphasis"/>
    <w:uiPriority w:val="20"/>
    <w:qFormat/>
    <w:rsid w:val="00FA3CF7"/>
    <w:rPr>
      <w:i/>
      <w:iCs/>
    </w:rPr>
  </w:style>
  <w:style w:type="character" w:styleId="HTMLCite">
    <w:name w:val="HTML Cite"/>
    <w:rsid w:val="00BC2223"/>
    <w:rPr>
      <w:i/>
      <w:iCs/>
    </w:rPr>
  </w:style>
  <w:style w:type="paragraph" w:customStyle="1" w:styleId="body-paragraph">
    <w:name w:val="body-paragraph"/>
    <w:basedOn w:val="Normal"/>
    <w:rsid w:val="00833D0A"/>
    <w:pPr>
      <w:spacing w:before="100" w:beforeAutospacing="1" w:after="100" w:afterAutospacing="1"/>
    </w:pPr>
  </w:style>
  <w:style w:type="character" w:styleId="CommentReference">
    <w:name w:val="annotation reference"/>
    <w:rsid w:val="000F5617"/>
    <w:rPr>
      <w:sz w:val="16"/>
      <w:szCs w:val="16"/>
    </w:rPr>
  </w:style>
  <w:style w:type="paragraph" w:styleId="CommentText">
    <w:name w:val="annotation text"/>
    <w:basedOn w:val="Normal"/>
    <w:link w:val="CommentTextChar"/>
    <w:rsid w:val="000F5617"/>
    <w:rPr>
      <w:sz w:val="20"/>
      <w:szCs w:val="20"/>
    </w:rPr>
  </w:style>
  <w:style w:type="character" w:customStyle="1" w:styleId="CommentTextChar">
    <w:name w:val="Comment Text Char"/>
    <w:basedOn w:val="DefaultParagraphFont"/>
    <w:link w:val="CommentText"/>
    <w:rsid w:val="000F561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F5617"/>
    <w:rPr>
      <w:rFonts w:ascii="Tahoma" w:hAnsi="Tahoma" w:cs="Tahoma"/>
      <w:sz w:val="16"/>
      <w:szCs w:val="16"/>
    </w:rPr>
  </w:style>
  <w:style w:type="character" w:customStyle="1" w:styleId="BalloonTextChar">
    <w:name w:val="Balloon Text Char"/>
    <w:basedOn w:val="DefaultParagraphFont"/>
    <w:link w:val="BalloonText"/>
    <w:uiPriority w:val="99"/>
    <w:semiHidden/>
    <w:rsid w:val="000F5617"/>
    <w:rPr>
      <w:rFonts w:ascii="Tahoma" w:eastAsia="Times New Roman" w:hAnsi="Tahoma" w:cs="Tahoma"/>
      <w:sz w:val="16"/>
      <w:szCs w:val="16"/>
      <w:lang w:eastAsia="en-GB"/>
    </w:rPr>
  </w:style>
  <w:style w:type="character" w:customStyle="1" w:styleId="verdana1">
    <w:name w:val="verdana1"/>
    <w:rsid w:val="00B666F6"/>
    <w:rPr>
      <w:rFonts w:ascii="Verdana" w:hAnsi="Verdana" w:hint="default"/>
    </w:rPr>
  </w:style>
  <w:style w:type="paragraph" w:styleId="CommentSubject">
    <w:name w:val="annotation subject"/>
    <w:basedOn w:val="CommentText"/>
    <w:next w:val="CommentText"/>
    <w:link w:val="CommentSubjectChar"/>
    <w:rsid w:val="00B666F6"/>
    <w:rPr>
      <w:b/>
      <w:bCs/>
    </w:rPr>
  </w:style>
  <w:style w:type="character" w:customStyle="1" w:styleId="CommentSubjectChar">
    <w:name w:val="Comment Subject Char"/>
    <w:basedOn w:val="CommentTextChar"/>
    <w:link w:val="CommentSubject"/>
    <w:rsid w:val="00B666F6"/>
    <w:rPr>
      <w:rFonts w:ascii="Times New Roman" w:eastAsia="Times New Roman" w:hAnsi="Times New Roman" w:cs="Times New Roman"/>
      <w:b/>
      <w:bCs/>
      <w:sz w:val="20"/>
      <w:szCs w:val="20"/>
      <w:lang w:eastAsia="en-GB"/>
    </w:rPr>
  </w:style>
  <w:style w:type="character" w:customStyle="1" w:styleId="ssl01">
    <w:name w:val="ss_l01"/>
    <w:rsid w:val="00AD64A9"/>
    <w:rPr>
      <w:color w:val="000000"/>
      <w:sz w:val="32"/>
      <w:szCs w:val="32"/>
    </w:rPr>
  </w:style>
  <w:style w:type="character" w:styleId="Hyperlink">
    <w:name w:val="Hyperlink"/>
    <w:basedOn w:val="DefaultParagraphFont"/>
    <w:uiPriority w:val="99"/>
    <w:unhideWhenUsed/>
    <w:rsid w:val="00431D5E"/>
    <w:rPr>
      <w:color w:val="0000FF" w:themeColor="hyperlink"/>
      <w:u w:val="single"/>
    </w:rPr>
  </w:style>
  <w:style w:type="character" w:customStyle="1" w:styleId="updated-short-citation">
    <w:name w:val="updated-short-citation"/>
    <w:basedOn w:val="DefaultParagraphFont"/>
    <w:rsid w:val="00262E40"/>
  </w:style>
  <w:style w:type="table" w:styleId="TableGrid">
    <w:name w:val="Table Grid"/>
    <w:basedOn w:val="TableNormal"/>
    <w:uiPriority w:val="59"/>
    <w:rsid w:val="00AD09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65783F"/>
    <w:rPr>
      <w:rFonts w:ascii="Arial" w:eastAsia="Times New Roman" w:hAnsi="Arial" w:cs="Arial"/>
      <w:sz w:val="20"/>
      <w:szCs w:val="20"/>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F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5783F"/>
    <w:pPr>
      <w:keepNext/>
      <w:spacing w:line="360" w:lineRule="auto"/>
      <w:outlineLvl w:val="0"/>
    </w:pPr>
    <w:rPr>
      <w:rFonts w:ascii="Arial" w:hAnsi="Arial" w:cs="Arial"/>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0DCA"/>
    <w:rPr>
      <w:sz w:val="20"/>
      <w:szCs w:val="20"/>
    </w:rPr>
  </w:style>
  <w:style w:type="character" w:customStyle="1" w:styleId="FootnoteTextChar">
    <w:name w:val="Footnote Text Char"/>
    <w:basedOn w:val="DefaultParagraphFont"/>
    <w:link w:val="FootnoteText"/>
    <w:uiPriority w:val="99"/>
    <w:semiHidden/>
    <w:rsid w:val="00650DC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50DCA"/>
    <w:rPr>
      <w:vertAlign w:val="superscript"/>
    </w:rPr>
  </w:style>
  <w:style w:type="paragraph" w:styleId="BodyTextIndent3">
    <w:name w:val="Body Text Indent 3"/>
    <w:basedOn w:val="Normal"/>
    <w:link w:val="BodyTextIndent3Char"/>
    <w:rsid w:val="001E4DED"/>
    <w:pPr>
      <w:ind w:left="-709" w:hanging="720"/>
    </w:pPr>
    <w:rPr>
      <w:lang w:eastAsia="zh-CN"/>
    </w:rPr>
  </w:style>
  <w:style w:type="character" w:customStyle="1" w:styleId="BodyTextIndent3Char">
    <w:name w:val="Body Text Indent 3 Char"/>
    <w:basedOn w:val="DefaultParagraphFont"/>
    <w:link w:val="BodyTextIndent3"/>
    <w:rsid w:val="001E4DED"/>
    <w:rPr>
      <w:rFonts w:ascii="Times New Roman" w:eastAsia="Times New Roman" w:hAnsi="Times New Roman" w:cs="Times New Roman"/>
      <w:sz w:val="24"/>
      <w:szCs w:val="24"/>
      <w:lang w:eastAsia="zh-CN"/>
    </w:rPr>
  </w:style>
  <w:style w:type="paragraph" w:styleId="EndnoteText">
    <w:name w:val="endnote text"/>
    <w:basedOn w:val="Normal"/>
    <w:link w:val="EndnoteTextChar"/>
    <w:unhideWhenUsed/>
    <w:rsid w:val="001E4DED"/>
    <w:rPr>
      <w:sz w:val="20"/>
      <w:szCs w:val="20"/>
    </w:rPr>
  </w:style>
  <w:style w:type="character" w:customStyle="1" w:styleId="EndnoteTextChar">
    <w:name w:val="Endnote Text Char"/>
    <w:basedOn w:val="DefaultParagraphFont"/>
    <w:link w:val="EndnoteText"/>
    <w:rsid w:val="001E4DE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E4DED"/>
    <w:rPr>
      <w:vertAlign w:val="superscript"/>
    </w:rPr>
  </w:style>
  <w:style w:type="paragraph" w:styleId="ListParagraph">
    <w:name w:val="List Paragraph"/>
    <w:basedOn w:val="Normal"/>
    <w:uiPriority w:val="34"/>
    <w:qFormat/>
    <w:rsid w:val="00D64779"/>
    <w:pPr>
      <w:ind w:left="720"/>
      <w:contextualSpacing/>
    </w:pPr>
  </w:style>
  <w:style w:type="paragraph" w:styleId="NormalWeb">
    <w:name w:val="Normal (Web)"/>
    <w:basedOn w:val="Normal"/>
    <w:rsid w:val="00E87C69"/>
    <w:pPr>
      <w:spacing w:before="100" w:beforeAutospacing="1" w:after="100" w:afterAutospacing="1"/>
    </w:pPr>
  </w:style>
  <w:style w:type="paragraph" w:styleId="Header">
    <w:name w:val="header"/>
    <w:basedOn w:val="Normal"/>
    <w:link w:val="HeaderChar"/>
    <w:uiPriority w:val="99"/>
    <w:unhideWhenUsed/>
    <w:rsid w:val="00DD01DD"/>
    <w:pPr>
      <w:tabs>
        <w:tab w:val="center" w:pos="4513"/>
        <w:tab w:val="right" w:pos="9026"/>
      </w:tabs>
    </w:pPr>
  </w:style>
  <w:style w:type="character" w:customStyle="1" w:styleId="HeaderChar">
    <w:name w:val="Header Char"/>
    <w:basedOn w:val="DefaultParagraphFont"/>
    <w:link w:val="Header"/>
    <w:uiPriority w:val="99"/>
    <w:rsid w:val="00DD01DD"/>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DD01DD"/>
    <w:pPr>
      <w:tabs>
        <w:tab w:val="center" w:pos="4513"/>
        <w:tab w:val="right" w:pos="9026"/>
      </w:tabs>
    </w:pPr>
  </w:style>
  <w:style w:type="character" w:customStyle="1" w:styleId="FooterChar">
    <w:name w:val="Footer Char"/>
    <w:basedOn w:val="DefaultParagraphFont"/>
    <w:link w:val="Footer"/>
    <w:uiPriority w:val="99"/>
    <w:semiHidden/>
    <w:rsid w:val="00DD01DD"/>
    <w:rPr>
      <w:rFonts w:ascii="Times New Roman" w:eastAsia="Times New Roman" w:hAnsi="Times New Roman" w:cs="Times New Roman"/>
      <w:sz w:val="24"/>
      <w:szCs w:val="24"/>
      <w:lang w:eastAsia="en-GB"/>
    </w:rPr>
  </w:style>
  <w:style w:type="character" w:styleId="Emphasis">
    <w:name w:val="Emphasis"/>
    <w:uiPriority w:val="20"/>
    <w:qFormat/>
    <w:rsid w:val="00FA3CF7"/>
    <w:rPr>
      <w:i/>
      <w:iCs/>
    </w:rPr>
  </w:style>
  <w:style w:type="character" w:styleId="HTMLCite">
    <w:name w:val="HTML Cite"/>
    <w:rsid w:val="00BC2223"/>
    <w:rPr>
      <w:i/>
      <w:iCs/>
    </w:rPr>
  </w:style>
  <w:style w:type="paragraph" w:customStyle="1" w:styleId="body-paragraph">
    <w:name w:val="body-paragraph"/>
    <w:basedOn w:val="Normal"/>
    <w:rsid w:val="00833D0A"/>
    <w:pPr>
      <w:spacing w:before="100" w:beforeAutospacing="1" w:after="100" w:afterAutospacing="1"/>
    </w:pPr>
  </w:style>
  <w:style w:type="character" w:styleId="CommentReference">
    <w:name w:val="annotation reference"/>
    <w:rsid w:val="000F5617"/>
    <w:rPr>
      <w:sz w:val="16"/>
      <w:szCs w:val="16"/>
    </w:rPr>
  </w:style>
  <w:style w:type="paragraph" w:styleId="CommentText">
    <w:name w:val="annotation text"/>
    <w:basedOn w:val="Normal"/>
    <w:link w:val="CommentTextChar"/>
    <w:rsid w:val="000F5617"/>
    <w:rPr>
      <w:sz w:val="20"/>
      <w:szCs w:val="20"/>
    </w:rPr>
  </w:style>
  <w:style w:type="character" w:customStyle="1" w:styleId="CommentTextChar">
    <w:name w:val="Comment Text Char"/>
    <w:basedOn w:val="DefaultParagraphFont"/>
    <w:link w:val="CommentText"/>
    <w:rsid w:val="000F561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F5617"/>
    <w:rPr>
      <w:rFonts w:ascii="Tahoma" w:hAnsi="Tahoma" w:cs="Tahoma"/>
      <w:sz w:val="16"/>
      <w:szCs w:val="16"/>
    </w:rPr>
  </w:style>
  <w:style w:type="character" w:customStyle="1" w:styleId="BalloonTextChar">
    <w:name w:val="Balloon Text Char"/>
    <w:basedOn w:val="DefaultParagraphFont"/>
    <w:link w:val="BalloonText"/>
    <w:uiPriority w:val="99"/>
    <w:semiHidden/>
    <w:rsid w:val="000F5617"/>
    <w:rPr>
      <w:rFonts w:ascii="Tahoma" w:eastAsia="Times New Roman" w:hAnsi="Tahoma" w:cs="Tahoma"/>
      <w:sz w:val="16"/>
      <w:szCs w:val="16"/>
      <w:lang w:eastAsia="en-GB"/>
    </w:rPr>
  </w:style>
  <w:style w:type="character" w:customStyle="1" w:styleId="verdana1">
    <w:name w:val="verdana1"/>
    <w:rsid w:val="00B666F6"/>
    <w:rPr>
      <w:rFonts w:ascii="Verdana" w:hAnsi="Verdana" w:hint="default"/>
    </w:rPr>
  </w:style>
  <w:style w:type="paragraph" w:styleId="CommentSubject">
    <w:name w:val="annotation subject"/>
    <w:basedOn w:val="CommentText"/>
    <w:next w:val="CommentText"/>
    <w:link w:val="CommentSubjectChar"/>
    <w:rsid w:val="00B666F6"/>
    <w:rPr>
      <w:b/>
      <w:bCs/>
    </w:rPr>
  </w:style>
  <w:style w:type="character" w:customStyle="1" w:styleId="CommentSubjectChar">
    <w:name w:val="Comment Subject Char"/>
    <w:basedOn w:val="CommentTextChar"/>
    <w:link w:val="CommentSubject"/>
    <w:rsid w:val="00B666F6"/>
    <w:rPr>
      <w:rFonts w:ascii="Times New Roman" w:eastAsia="Times New Roman" w:hAnsi="Times New Roman" w:cs="Times New Roman"/>
      <w:b/>
      <w:bCs/>
      <w:sz w:val="20"/>
      <w:szCs w:val="20"/>
      <w:lang w:eastAsia="en-GB"/>
    </w:rPr>
  </w:style>
  <w:style w:type="character" w:customStyle="1" w:styleId="ssl01">
    <w:name w:val="ss_l01"/>
    <w:rsid w:val="00AD64A9"/>
    <w:rPr>
      <w:color w:val="000000"/>
      <w:sz w:val="32"/>
      <w:szCs w:val="32"/>
    </w:rPr>
  </w:style>
  <w:style w:type="character" w:styleId="Hyperlink">
    <w:name w:val="Hyperlink"/>
    <w:basedOn w:val="DefaultParagraphFont"/>
    <w:uiPriority w:val="99"/>
    <w:unhideWhenUsed/>
    <w:rsid w:val="00431D5E"/>
    <w:rPr>
      <w:color w:val="0000FF" w:themeColor="hyperlink"/>
      <w:u w:val="single"/>
    </w:rPr>
  </w:style>
  <w:style w:type="character" w:customStyle="1" w:styleId="updated-short-citation">
    <w:name w:val="updated-short-citation"/>
    <w:basedOn w:val="DefaultParagraphFont"/>
    <w:rsid w:val="00262E40"/>
  </w:style>
  <w:style w:type="table" w:styleId="TableGrid">
    <w:name w:val="Table Grid"/>
    <w:basedOn w:val="TableNormal"/>
    <w:uiPriority w:val="59"/>
    <w:rsid w:val="00AD09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65783F"/>
    <w:rPr>
      <w:rFonts w:ascii="Arial" w:eastAsia="Times New Roman" w:hAnsi="Arial" w:cs="Arial"/>
      <w:sz w:val="20"/>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6724">
      <w:bodyDiv w:val="1"/>
      <w:marLeft w:val="0"/>
      <w:marRight w:val="0"/>
      <w:marTop w:val="0"/>
      <w:marBottom w:val="0"/>
      <w:divBdr>
        <w:top w:val="none" w:sz="0" w:space="0" w:color="auto"/>
        <w:left w:val="none" w:sz="0" w:space="0" w:color="auto"/>
        <w:bottom w:val="none" w:sz="0" w:space="0" w:color="auto"/>
        <w:right w:val="none" w:sz="0" w:space="0" w:color="auto"/>
      </w:divBdr>
      <w:divsChild>
        <w:div w:id="98817200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ruthaboutlloyds.com" TargetMode="External"/><Relationship Id="rId4" Type="http://schemas.microsoft.com/office/2007/relationships/stylesWithEffects" Target="stylesWithEffects.xml"/><Relationship Id="rId9" Type="http://schemas.openxmlformats.org/officeDocument/2006/relationships/hyperlink" Target="http://www.truthaboutlloyds.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truthaboutlloyds.com" TargetMode="External"/><Relationship Id="rId1" Type="http://schemas.openxmlformats.org/officeDocument/2006/relationships/hyperlink" Target="http://www.time.com/time/europe/lloyds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11F2-9C33-485C-9D2C-55ED45A7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8770</Words>
  <Characters>49992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SPS-User</cp:lastModifiedBy>
  <cp:revision>2</cp:revision>
  <dcterms:created xsi:type="dcterms:W3CDTF">2019-03-20T18:09:00Z</dcterms:created>
  <dcterms:modified xsi:type="dcterms:W3CDTF">2019-03-20T18:09:00Z</dcterms:modified>
</cp:coreProperties>
</file>