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F77631" w14:textId="77777777" w:rsidR="00977123" w:rsidRDefault="00977123" w:rsidP="001E6CB6">
      <w:pPr>
        <w:widowControl w:val="0"/>
      </w:pPr>
      <w:bookmarkStart w:id="0" w:name="_GoBack"/>
      <w:bookmarkEnd w:id="0"/>
    </w:p>
    <w:p w14:paraId="7EC1A01C" w14:textId="77777777" w:rsidR="00092FE1" w:rsidRDefault="00092FE1" w:rsidP="001E6CB6">
      <w:pPr>
        <w:widowControl w:val="0"/>
      </w:pPr>
    </w:p>
    <w:p w14:paraId="4D7C73CA" w14:textId="77777777" w:rsidR="00F846ED" w:rsidRDefault="00F846ED" w:rsidP="005F1D07">
      <w:pPr>
        <w:widowControl w:val="0"/>
        <w:jc w:val="center"/>
      </w:pPr>
    </w:p>
    <w:p w14:paraId="17590B44" w14:textId="77777777" w:rsidR="00140809" w:rsidRDefault="00140809" w:rsidP="005F1D07">
      <w:pPr>
        <w:widowControl w:val="0"/>
        <w:jc w:val="center"/>
      </w:pPr>
    </w:p>
    <w:p w14:paraId="4E11E8DF" w14:textId="77777777" w:rsidR="00140809" w:rsidRDefault="00140809" w:rsidP="005F1D07">
      <w:pPr>
        <w:widowControl w:val="0"/>
        <w:jc w:val="center"/>
      </w:pPr>
    </w:p>
    <w:p w14:paraId="7355130F" w14:textId="04D6A5EE" w:rsidR="00C91029" w:rsidRPr="0094513E" w:rsidRDefault="00C91029" w:rsidP="005F1D07">
      <w:pPr>
        <w:widowControl w:val="0"/>
        <w:jc w:val="center"/>
      </w:pPr>
      <w:r>
        <w:t>The Economic Assimilation of Irish Famine Migrants to the United States</w:t>
      </w:r>
    </w:p>
    <w:p w14:paraId="233986B1" w14:textId="77777777" w:rsidR="004E19B3" w:rsidRPr="0094513E" w:rsidRDefault="004E19B3" w:rsidP="005F1D07">
      <w:pPr>
        <w:widowControl w:val="0"/>
        <w:jc w:val="center"/>
      </w:pPr>
    </w:p>
    <w:p w14:paraId="70F0F376" w14:textId="66B8FACA" w:rsidR="004E19B3" w:rsidRPr="0094513E" w:rsidRDefault="004E19B3" w:rsidP="005F1D07">
      <w:pPr>
        <w:widowControl w:val="0"/>
        <w:jc w:val="center"/>
      </w:pPr>
      <w:r w:rsidRPr="0094513E">
        <w:t>William J. Collins and Ariell Zimran</w:t>
      </w:r>
    </w:p>
    <w:p w14:paraId="6179FA36" w14:textId="116011D8" w:rsidR="004E19B3" w:rsidRPr="0094513E" w:rsidRDefault="00C45EF8" w:rsidP="00C45EF8">
      <w:pPr>
        <w:widowControl w:val="0"/>
        <w:tabs>
          <w:tab w:val="left" w:pos="1920"/>
        </w:tabs>
      </w:pPr>
      <w:r>
        <w:tab/>
      </w:r>
    </w:p>
    <w:p w14:paraId="1F80D9DD" w14:textId="77777777" w:rsidR="004E19B3" w:rsidRPr="0094513E" w:rsidRDefault="004E19B3" w:rsidP="005F1D07">
      <w:pPr>
        <w:widowControl w:val="0"/>
        <w:jc w:val="center"/>
      </w:pPr>
    </w:p>
    <w:p w14:paraId="2D32AA82" w14:textId="29BD272F" w:rsidR="004E19B3" w:rsidRPr="0094513E" w:rsidRDefault="001874BE" w:rsidP="005F1D07">
      <w:pPr>
        <w:widowControl w:val="0"/>
        <w:jc w:val="center"/>
      </w:pPr>
      <w:r>
        <w:t xml:space="preserve">February </w:t>
      </w:r>
      <w:r w:rsidR="004E19B3" w:rsidRPr="0094513E">
        <w:t>201</w:t>
      </w:r>
      <w:r>
        <w:t>9</w:t>
      </w:r>
    </w:p>
    <w:p w14:paraId="0BC4120D" w14:textId="77777777" w:rsidR="004E19B3" w:rsidRPr="0094513E" w:rsidRDefault="004E19B3" w:rsidP="005F1D07">
      <w:pPr>
        <w:widowControl w:val="0"/>
        <w:jc w:val="center"/>
      </w:pPr>
    </w:p>
    <w:p w14:paraId="3510F97F" w14:textId="77777777" w:rsidR="004E19B3" w:rsidRPr="0094513E" w:rsidRDefault="004E19B3" w:rsidP="005F1D07">
      <w:pPr>
        <w:widowControl w:val="0"/>
        <w:jc w:val="center"/>
      </w:pPr>
    </w:p>
    <w:p w14:paraId="0C38FF8D" w14:textId="77777777" w:rsidR="004E19B3" w:rsidRPr="0094513E" w:rsidRDefault="004E19B3" w:rsidP="009C06D3">
      <w:pPr>
        <w:widowControl w:val="0"/>
        <w:spacing w:line="240" w:lineRule="auto"/>
      </w:pPr>
    </w:p>
    <w:p w14:paraId="20FD5855" w14:textId="65651386" w:rsidR="004E19B3" w:rsidRPr="0094513E" w:rsidRDefault="008378E2" w:rsidP="009C06D3">
      <w:pPr>
        <w:widowControl w:val="0"/>
        <w:spacing w:line="240" w:lineRule="auto"/>
      </w:pPr>
      <w:r w:rsidRPr="008378E2">
        <w:t xml:space="preserve">The repeated failure of Ireland's potato crop in the late 1840s </w:t>
      </w:r>
      <w:r w:rsidR="003148DF">
        <w:t xml:space="preserve">led to </w:t>
      </w:r>
      <w:r w:rsidR="00CA4FD7">
        <w:t xml:space="preserve">a major famine and </w:t>
      </w:r>
      <w:r w:rsidRPr="008378E2">
        <w:t xml:space="preserve">sparked a surge in migration to the US. </w:t>
      </w:r>
      <w:r w:rsidR="003148DF">
        <w:t xml:space="preserve"> </w:t>
      </w:r>
      <w:r w:rsidRPr="008378E2">
        <w:t xml:space="preserve">We build </w:t>
      </w:r>
      <w:r w:rsidR="00C94E22">
        <w:t xml:space="preserve">a </w:t>
      </w:r>
      <w:r w:rsidRPr="008378E2">
        <w:t>new dataset of Irish immigrants and their</w:t>
      </w:r>
      <w:r w:rsidR="006C1800">
        <w:t xml:space="preserve"> </w:t>
      </w:r>
      <w:r w:rsidR="006341FF">
        <w:t>sons</w:t>
      </w:r>
      <w:r w:rsidR="006C1800">
        <w:t xml:space="preserve"> by linking males from </w:t>
      </w:r>
      <w:r w:rsidRPr="008378E2">
        <w:t>1850 to 1880 US census</w:t>
      </w:r>
      <w:r w:rsidR="00C94E22">
        <w:t xml:space="preserve"> records</w:t>
      </w:r>
      <w:r w:rsidRPr="008378E2">
        <w:t xml:space="preserve">. </w:t>
      </w:r>
      <w:r w:rsidR="00C94E22">
        <w:t xml:space="preserve"> </w:t>
      </w:r>
      <w:r w:rsidRPr="008378E2">
        <w:t>For comparison, we also link German and British immigrants</w:t>
      </w:r>
      <w:r w:rsidR="00C94E22">
        <w:t>,</w:t>
      </w:r>
      <w:r w:rsidRPr="008378E2">
        <w:t xml:space="preserve"> their </w:t>
      </w:r>
      <w:r w:rsidR="00D1261F">
        <w:t>sons</w:t>
      </w:r>
      <w:r w:rsidRPr="008378E2">
        <w:t xml:space="preserve">, </w:t>
      </w:r>
      <w:r w:rsidR="00C94E22">
        <w:t xml:space="preserve">and </w:t>
      </w:r>
      <w:r w:rsidRPr="008378E2">
        <w:t xml:space="preserve">males from US native-headed households. </w:t>
      </w:r>
      <w:r w:rsidR="00C94E22">
        <w:t xml:space="preserve"> </w:t>
      </w:r>
      <w:r w:rsidRPr="008378E2">
        <w:t xml:space="preserve">We </w:t>
      </w:r>
      <w:r w:rsidR="00D53F6B">
        <w:t>document</w:t>
      </w:r>
      <w:r w:rsidR="00C94E22">
        <w:t xml:space="preserve"> a decline in</w:t>
      </w:r>
      <w:r w:rsidRPr="008378E2">
        <w:t xml:space="preserve"> </w:t>
      </w:r>
      <w:r w:rsidR="00C94E22">
        <w:t xml:space="preserve">the observable </w:t>
      </w:r>
      <w:r w:rsidR="00842D58">
        <w:t xml:space="preserve">human capital </w:t>
      </w:r>
      <w:r w:rsidR="00C94E22">
        <w:t>of famine-era</w:t>
      </w:r>
      <w:r w:rsidR="00842D58">
        <w:t xml:space="preserve"> </w:t>
      </w:r>
      <w:r w:rsidRPr="008378E2">
        <w:t>Irish migrant</w:t>
      </w:r>
      <w:r w:rsidR="00842D58">
        <w:t>s</w:t>
      </w:r>
      <w:r w:rsidR="00C94E22">
        <w:t xml:space="preserve"> compared to </w:t>
      </w:r>
      <w:r w:rsidR="00AD4093">
        <w:t xml:space="preserve">pre-famine Irish migrants and to </w:t>
      </w:r>
      <w:r w:rsidR="00C94E22">
        <w:t>other groups in</w:t>
      </w:r>
      <w:r w:rsidR="00AF576B">
        <w:t xml:space="preserve"> the 1850</w:t>
      </w:r>
      <w:r w:rsidR="00C94E22">
        <w:t xml:space="preserve"> census, as well as worse labor market outcomes</w:t>
      </w:r>
      <w:r w:rsidRPr="008378E2">
        <w:t xml:space="preserve">. </w:t>
      </w:r>
      <w:r w:rsidR="00C94E22">
        <w:t xml:space="preserve"> The disparity in labor market outcomes persists into the next generation when immigrants’ and natives’ sons are compared in 1880</w:t>
      </w:r>
      <w:r w:rsidR="00F941B4">
        <w:t xml:space="preserve">. </w:t>
      </w:r>
      <w:r w:rsidR="00AD19E2">
        <w:t xml:space="preserve"> </w:t>
      </w:r>
      <w:r w:rsidR="00EE43E5">
        <w:t>Nonetheless</w:t>
      </w:r>
      <w:r w:rsidR="00842D58">
        <w:t xml:space="preserve">, we find strong evidence of </w:t>
      </w:r>
      <w:r w:rsidRPr="008378E2">
        <w:t>intergenerational convergence</w:t>
      </w:r>
      <w:r w:rsidR="00C94E22">
        <w:t xml:space="preserve"> in that famine-era Irish sons experienced a much smaller gap in occupational status in 1880 than their fathers did in 1850.  The disparities are even smaller when </w:t>
      </w:r>
      <w:r w:rsidR="00C032FB">
        <w:t xml:space="preserve">the Irish children are </w:t>
      </w:r>
      <w:r w:rsidR="00C94E22">
        <w:t xml:space="preserve">compared to those from observationally similar native white households. </w:t>
      </w:r>
      <w:r w:rsidR="00F941B4">
        <w:t xml:space="preserve"> A descriptive analysis of mobility </w:t>
      </w:r>
      <w:r w:rsidR="005179E8">
        <w:t>for the children of t</w:t>
      </w:r>
      <w:r w:rsidR="00F941B4">
        <w:t xml:space="preserve">he famine Irish indicates that having a more Catholic surname </w:t>
      </w:r>
      <w:r w:rsidR="00C032FB">
        <w:t xml:space="preserve">and being born in Ireland </w:t>
      </w:r>
      <w:r w:rsidR="00F941B4">
        <w:t>were associated with less upward mobility</w:t>
      </w:r>
      <w:r w:rsidR="00140809">
        <w:t xml:space="preserve">.  </w:t>
      </w:r>
      <w:r w:rsidRPr="008378E2">
        <w:t>Our results contribute to literature</w:t>
      </w:r>
      <w:r w:rsidR="00842D58">
        <w:t>s</w:t>
      </w:r>
      <w:r w:rsidRPr="008378E2">
        <w:t xml:space="preserve"> on </w:t>
      </w:r>
      <w:r w:rsidR="00842D58">
        <w:t xml:space="preserve">immigrant </w:t>
      </w:r>
      <w:r w:rsidRPr="008378E2">
        <w:t>assimilation</w:t>
      </w:r>
      <w:r w:rsidR="00842D58">
        <w:t>,</w:t>
      </w:r>
      <w:r w:rsidRPr="008378E2">
        <w:t xml:space="preserve"> refugee migration</w:t>
      </w:r>
      <w:r w:rsidR="000B4657">
        <w:t>, and the Age of Mass Migration</w:t>
      </w:r>
      <w:r w:rsidRPr="008378E2">
        <w:t>.</w:t>
      </w:r>
    </w:p>
    <w:p w14:paraId="3232819B" w14:textId="77777777" w:rsidR="004E19B3" w:rsidRDefault="004E19B3" w:rsidP="009C06D3">
      <w:pPr>
        <w:widowControl w:val="0"/>
        <w:spacing w:line="240" w:lineRule="auto"/>
      </w:pPr>
    </w:p>
    <w:p w14:paraId="20440425" w14:textId="2B5B5D3B" w:rsidR="00E30D45" w:rsidRDefault="00E30D45" w:rsidP="009C06D3">
      <w:pPr>
        <w:widowControl w:val="0"/>
        <w:spacing w:line="240" w:lineRule="auto"/>
      </w:pPr>
      <w:r>
        <w:t>JEL:</w:t>
      </w:r>
      <w:r w:rsidR="003139BF">
        <w:t xml:space="preserve"> F22, </w:t>
      </w:r>
      <w:r w:rsidR="004C131B">
        <w:t>J61, J62, N31, O15</w:t>
      </w:r>
    </w:p>
    <w:p w14:paraId="6C5FCBA4" w14:textId="6702E414" w:rsidR="00E30D45" w:rsidRPr="0094513E" w:rsidRDefault="00E30D45" w:rsidP="009C06D3">
      <w:pPr>
        <w:widowControl w:val="0"/>
        <w:spacing w:line="240" w:lineRule="auto"/>
      </w:pPr>
      <w:r>
        <w:t xml:space="preserve">Keywords: </w:t>
      </w:r>
      <w:r w:rsidR="00AF5647">
        <w:t>Migration</w:t>
      </w:r>
      <w:r>
        <w:t xml:space="preserve">, Refugees, Assimilation, </w:t>
      </w:r>
      <w:r w:rsidR="00B40FAA">
        <w:t xml:space="preserve">Intergenerational </w:t>
      </w:r>
      <w:r>
        <w:t>Mobility, Irish Famine</w:t>
      </w:r>
    </w:p>
    <w:p w14:paraId="56A2F126" w14:textId="77777777" w:rsidR="004E19B3" w:rsidRPr="0094513E" w:rsidRDefault="004E19B3" w:rsidP="009C06D3">
      <w:pPr>
        <w:widowControl w:val="0"/>
        <w:spacing w:line="240" w:lineRule="auto"/>
      </w:pPr>
    </w:p>
    <w:p w14:paraId="440A107A" w14:textId="1C686D99" w:rsidR="004E19B3" w:rsidRPr="0094513E" w:rsidRDefault="004E19B3" w:rsidP="009C06D3">
      <w:pPr>
        <w:widowControl w:val="0"/>
        <w:spacing w:line="240" w:lineRule="auto"/>
      </w:pPr>
      <w:r w:rsidRPr="0094513E">
        <w:t xml:space="preserve">Contact: william.collins@vanderbilt.edu; </w:t>
      </w:r>
      <w:r w:rsidR="003B7BFE">
        <w:t>a</w:t>
      </w:r>
      <w:r w:rsidRPr="0094513E">
        <w:t>riell.zimran@vanderbilt.edu</w:t>
      </w:r>
    </w:p>
    <w:p w14:paraId="5126F1B6" w14:textId="77777777" w:rsidR="004E19B3" w:rsidRPr="0094513E" w:rsidRDefault="004E19B3" w:rsidP="009C06D3">
      <w:pPr>
        <w:widowControl w:val="0"/>
        <w:spacing w:line="240" w:lineRule="auto"/>
      </w:pPr>
    </w:p>
    <w:p w14:paraId="5B16ADF3" w14:textId="1B428096" w:rsidR="004E19B3" w:rsidRPr="0094513E" w:rsidRDefault="004E19B3" w:rsidP="009C06D3">
      <w:pPr>
        <w:widowControl w:val="0"/>
        <w:spacing w:line="240" w:lineRule="auto"/>
      </w:pPr>
      <w:r w:rsidRPr="0094513E">
        <w:t>The authors thank</w:t>
      </w:r>
      <w:r w:rsidR="00C649EA">
        <w:t xml:space="preserve"> </w:t>
      </w:r>
      <w:r w:rsidR="001874BE">
        <w:t xml:space="preserve">Joseph Ferrie, </w:t>
      </w:r>
      <w:r w:rsidR="0091275E">
        <w:t xml:space="preserve">Tim Hatton, </w:t>
      </w:r>
      <w:r w:rsidR="00C649EA">
        <w:t>Nick Holtkamp,</w:t>
      </w:r>
      <w:r w:rsidRPr="0094513E">
        <w:t xml:space="preserve"> </w:t>
      </w:r>
      <w:r w:rsidR="00D5433C">
        <w:t xml:space="preserve">Joel Mokyr, </w:t>
      </w:r>
      <w:r w:rsidRPr="0094513E">
        <w:t xml:space="preserve">Cormac </w:t>
      </w:r>
      <w:r w:rsidR="00883F5C">
        <w:rPr>
          <w:rFonts w:cs="Times New Roman"/>
        </w:rPr>
        <w:t>Ó</w:t>
      </w:r>
      <w:r w:rsidR="00883F5C">
        <w:t xml:space="preserve"> Gr</w:t>
      </w:r>
      <w:r w:rsidR="00883F5C">
        <w:rPr>
          <w:rFonts w:cs="Times New Roman"/>
        </w:rPr>
        <w:t>á</w:t>
      </w:r>
      <w:r w:rsidR="00883F5C">
        <w:t>da</w:t>
      </w:r>
      <w:r w:rsidR="00441411">
        <w:t>,</w:t>
      </w:r>
      <w:r w:rsidR="00A56AEC">
        <w:t xml:space="preserve"> Marianne Wanamaker</w:t>
      </w:r>
      <w:r w:rsidR="001874BE">
        <w:t>;</w:t>
      </w:r>
      <w:r w:rsidR="00D5433C">
        <w:t xml:space="preserve"> </w:t>
      </w:r>
      <w:r w:rsidR="003B4DB7">
        <w:t>seminar participants at</w:t>
      </w:r>
      <w:r w:rsidR="00B34CDD">
        <w:t xml:space="preserve"> </w:t>
      </w:r>
      <w:r w:rsidR="00A56AEC">
        <w:t xml:space="preserve">Auburn University, </w:t>
      </w:r>
      <w:r w:rsidR="00B36A1A">
        <w:t xml:space="preserve">UCLA, </w:t>
      </w:r>
      <w:r w:rsidR="003B4DB7">
        <w:t xml:space="preserve">the </w:t>
      </w:r>
      <w:r w:rsidR="00B34CDD">
        <w:t>University of Minnesota</w:t>
      </w:r>
      <w:r w:rsidR="00D5433C">
        <w:t>, Vanderbilt University</w:t>
      </w:r>
      <w:r w:rsidR="00581814">
        <w:t>, and William &amp; Mary</w:t>
      </w:r>
      <w:r w:rsidR="001874BE">
        <w:t>; and conference participants at the 2019 ASSA Meeting</w:t>
      </w:r>
      <w:r w:rsidRPr="0094513E">
        <w:t xml:space="preserve"> for helpful suggestions.</w:t>
      </w:r>
      <w:r w:rsidR="008378E2">
        <w:t xml:space="preserve"> </w:t>
      </w:r>
      <w:r w:rsidR="00A56AEC">
        <w:t xml:space="preserve"> </w:t>
      </w:r>
      <w:r w:rsidR="006C0839">
        <w:t>Claire Whitta</w:t>
      </w:r>
      <w:r w:rsidR="008378E2">
        <w:t>ker</w:t>
      </w:r>
      <w:r w:rsidR="00A56AEC">
        <w:t xml:space="preserve"> </w:t>
      </w:r>
      <w:r w:rsidR="008378E2">
        <w:t xml:space="preserve">provided excellent research assistance. </w:t>
      </w:r>
      <w:r w:rsidR="001A5B2A" w:rsidRPr="0094513E">
        <w:t xml:space="preserve"> Collins is the Terence E. Adderley Jr. Professor of Economics at Vanderbilt University and a Research Associate of the NBER.  Zimran is an Assistant Professor of Economics at Vanderbilt University</w:t>
      </w:r>
      <w:r w:rsidR="008378E2">
        <w:t xml:space="preserve"> and a Faculty Research Fellow of the NBER</w:t>
      </w:r>
      <w:r w:rsidR="001A5B2A" w:rsidRPr="0094513E">
        <w:t>.</w:t>
      </w:r>
      <w:r w:rsidRPr="0094513E">
        <w:t xml:space="preserve">   </w:t>
      </w:r>
      <w:r w:rsidRPr="0094513E">
        <w:br w:type="page"/>
      </w:r>
    </w:p>
    <w:p w14:paraId="403A9522" w14:textId="77777777" w:rsidR="0004699D" w:rsidRPr="001C1778" w:rsidRDefault="0004699D" w:rsidP="009C06D3">
      <w:pPr>
        <w:widowControl w:val="0"/>
        <w:rPr>
          <w:b/>
        </w:rPr>
      </w:pPr>
      <w:r>
        <w:rPr>
          <w:b/>
        </w:rPr>
        <w:lastRenderedPageBreak/>
        <w:t>1. Introduction</w:t>
      </w:r>
    </w:p>
    <w:p w14:paraId="2844E698" w14:textId="0E8D8361" w:rsidR="00B76A16" w:rsidRDefault="00AD54C5" w:rsidP="00F92C7C">
      <w:pPr>
        <w:widowControl w:val="0"/>
        <w:ind w:firstLine="720"/>
      </w:pPr>
      <w:r>
        <w:t xml:space="preserve">Ireland’s </w:t>
      </w:r>
      <w:r w:rsidR="006D6199">
        <w:t xml:space="preserve">Great Famine </w:t>
      </w:r>
      <w:r w:rsidR="00DE58C2">
        <w:t>in</w:t>
      </w:r>
      <w:r w:rsidR="006D6199">
        <w:t xml:space="preserve"> the </w:t>
      </w:r>
      <w:r w:rsidR="00DE58C2">
        <w:t xml:space="preserve">late </w:t>
      </w:r>
      <w:r w:rsidR="006D6199">
        <w:t>1840s marked a turning point in</w:t>
      </w:r>
      <w:r>
        <w:t xml:space="preserve"> the country’s</w:t>
      </w:r>
      <w:r w:rsidR="006D6199">
        <w:t xml:space="preserve"> demographic </w:t>
      </w:r>
      <w:r w:rsidR="00B76A16">
        <w:t xml:space="preserve">and economic </w:t>
      </w:r>
      <w:r w:rsidR="006D6199">
        <w:t>history</w:t>
      </w:r>
      <w:r w:rsidR="00DE58C2">
        <w:t xml:space="preserve">.  In 1841, the population numbered just over 8 million; </w:t>
      </w:r>
      <w:r w:rsidR="00C90BC4">
        <w:t xml:space="preserve">it is estimated that </w:t>
      </w:r>
      <w:r w:rsidR="00DE58C2">
        <w:t xml:space="preserve">the famine </w:t>
      </w:r>
      <w:r w:rsidR="00B21DC7">
        <w:t>caus</w:t>
      </w:r>
      <w:r w:rsidR="00DE58C2">
        <w:t>ed</w:t>
      </w:r>
      <w:r w:rsidR="00B21DC7">
        <w:t xml:space="preserve"> th</w:t>
      </w:r>
      <w:r>
        <w:t>e death of about</w:t>
      </w:r>
      <w:r w:rsidR="006D6199">
        <w:t xml:space="preserve"> one million </w:t>
      </w:r>
      <w:r w:rsidR="00BA00E9">
        <w:t xml:space="preserve">Irish </w:t>
      </w:r>
      <w:r w:rsidR="006D6199">
        <w:t>and dr</w:t>
      </w:r>
      <w:r w:rsidR="00DE58C2">
        <w:t>ove</w:t>
      </w:r>
      <w:r w:rsidR="006D6199">
        <w:t xml:space="preserve"> another million</w:t>
      </w:r>
      <w:r w:rsidR="00B76A16">
        <w:t xml:space="preserve"> </w:t>
      </w:r>
      <w:r w:rsidR="006D6199">
        <w:t xml:space="preserve">to emigrate </w:t>
      </w:r>
      <w:r w:rsidR="00261151">
        <w:t xml:space="preserve">by the early 1850s </w:t>
      </w:r>
      <w:r w:rsidR="006D6199">
        <w:t>(Ó Gráda 1999</w:t>
      </w:r>
      <w:r w:rsidR="00261151">
        <w:t>, chapter 3</w:t>
      </w:r>
      <w:r w:rsidR="006D6199">
        <w:t>).</w:t>
      </w:r>
      <w:r w:rsidR="00CD76AF" w:rsidRPr="003D2797">
        <w:rPr>
          <w:rStyle w:val="FootnoteReference"/>
        </w:rPr>
        <w:footnoteReference w:id="1"/>
      </w:r>
      <w:r w:rsidR="00DE58C2">
        <w:t xml:space="preserve">  </w:t>
      </w:r>
      <w:r w:rsidR="00B21DC7">
        <w:t xml:space="preserve">Most </w:t>
      </w:r>
      <w:r w:rsidR="00CD76AF">
        <w:t xml:space="preserve">of the </w:t>
      </w:r>
      <w:r w:rsidR="00DE58C2">
        <w:t xml:space="preserve">Irish </w:t>
      </w:r>
      <w:r>
        <w:t xml:space="preserve">emigrants </w:t>
      </w:r>
      <w:r w:rsidR="00DE58C2">
        <w:t xml:space="preserve">settled </w:t>
      </w:r>
      <w:r w:rsidR="00CD76AF">
        <w:t>in the United States,</w:t>
      </w:r>
      <w:r w:rsidR="001C3C5D">
        <w:t xml:space="preserve"> where virtually open borders </w:t>
      </w:r>
      <w:r w:rsidR="001B1A4E">
        <w:t xml:space="preserve">gave sanctuary from </w:t>
      </w:r>
      <w:r w:rsidR="001C3C5D">
        <w:t>the horrors of starvation and disease (Ó Gráda 2019).</w:t>
      </w:r>
      <w:r w:rsidR="00B64098">
        <w:t xml:space="preserve"> </w:t>
      </w:r>
      <w:r>
        <w:t xml:space="preserve"> </w:t>
      </w:r>
      <w:r w:rsidR="00F92C7C">
        <w:t>The US ultimately</w:t>
      </w:r>
      <w:r w:rsidR="00DE58C2">
        <w:t xml:space="preserve"> </w:t>
      </w:r>
      <w:r w:rsidR="00CD76AF">
        <w:t xml:space="preserve">absorbed over 500,000 </w:t>
      </w:r>
      <w:r w:rsidR="00DE58C2">
        <w:t xml:space="preserve">new arrivals </w:t>
      </w:r>
      <w:r w:rsidR="00B64098">
        <w:t xml:space="preserve">from Ireland </w:t>
      </w:r>
      <w:r w:rsidR="00DE58C2">
        <w:t xml:space="preserve">between the famine’s onset in 1846 and 1850 </w:t>
      </w:r>
      <w:r w:rsidR="00CD76AF">
        <w:t>(Ferenczi and Wilcox 1929; Barde, Carter, and Sutch 2006).</w:t>
      </w:r>
      <w:r w:rsidR="00CD76AF">
        <w:rPr>
          <w:rStyle w:val="FootnoteReference"/>
        </w:rPr>
        <w:footnoteReference w:id="2"/>
      </w:r>
      <w:r w:rsidR="00DE58C2">
        <w:t xml:space="preserve">  </w:t>
      </w:r>
      <w:r w:rsidR="00B76A16">
        <w:t>This paper picks up the emigrants’ story on American shores and</w:t>
      </w:r>
      <w:r w:rsidR="005D5BEC">
        <w:t xml:space="preserve"> builds new datasets to study </w:t>
      </w:r>
      <w:r w:rsidR="00B76A16">
        <w:t>their and their children’s labor market outcomes</w:t>
      </w:r>
      <w:r w:rsidR="0001606E">
        <w:t xml:space="preserve"> in comparison to</w:t>
      </w:r>
      <w:r w:rsidR="00C92592">
        <w:t xml:space="preserve"> those of</w:t>
      </w:r>
      <w:r w:rsidR="0001606E">
        <w:t xml:space="preserve"> US natives and immigrants from other countries</w:t>
      </w:r>
      <w:r w:rsidR="00B76A16">
        <w:t>.</w:t>
      </w:r>
    </w:p>
    <w:p w14:paraId="21D35F30" w14:textId="5B82C67F" w:rsidR="005D5BEC" w:rsidRDefault="00686039" w:rsidP="00F7343E">
      <w:pPr>
        <w:widowControl w:val="0"/>
      </w:pPr>
      <w:r>
        <w:tab/>
      </w:r>
      <w:r w:rsidR="005729F4">
        <w:t xml:space="preserve">Irish migration </w:t>
      </w:r>
      <w:r w:rsidR="00BA00E9">
        <w:t xml:space="preserve">to the US </w:t>
      </w:r>
      <w:r w:rsidR="005729F4">
        <w:t xml:space="preserve">had been growing since the 1830s as part of a general rise in </w:t>
      </w:r>
      <w:r w:rsidR="005A4ED1">
        <w:t>transatlantic migration (Mokyr and Ó Gráda 1982; Ó Gráda 1983; Cohn 2009)</w:t>
      </w:r>
      <w:r w:rsidR="0068746F">
        <w:t>;</w:t>
      </w:r>
      <w:r w:rsidR="005A4ED1">
        <w:t xml:space="preserve"> </w:t>
      </w:r>
      <w:r w:rsidR="002002F3">
        <w:t xml:space="preserve">but </w:t>
      </w:r>
      <w:r w:rsidR="005A4ED1">
        <w:t xml:space="preserve">the </w:t>
      </w:r>
      <w:r w:rsidR="00AA2134">
        <w:t>sharp increase</w:t>
      </w:r>
      <w:r w:rsidR="00BA00E9">
        <w:t xml:space="preserve"> </w:t>
      </w:r>
      <w:r w:rsidR="002B0675">
        <w:t xml:space="preserve">in arrivals </w:t>
      </w:r>
      <w:r w:rsidR="00BA00E9">
        <w:t>d</w:t>
      </w:r>
      <w:r w:rsidR="00AA2134">
        <w:t xml:space="preserve">uring the famine </w:t>
      </w:r>
      <w:r w:rsidR="005A4ED1">
        <w:t>dwarfed previous arrival</w:t>
      </w:r>
      <w:r w:rsidR="00B76A16">
        <w:t xml:space="preserve"> cohorts</w:t>
      </w:r>
      <w:r w:rsidR="0091246D">
        <w:t>.  The unprecedented</w:t>
      </w:r>
      <w:r w:rsidR="00D1560F">
        <w:t>ly large</w:t>
      </w:r>
      <w:r w:rsidR="0091246D">
        <w:t xml:space="preserve"> stream of arrivals</w:t>
      </w:r>
      <w:r w:rsidR="002002F3">
        <w:t xml:space="preserve"> </w:t>
      </w:r>
      <w:r w:rsidR="0091246D">
        <w:t xml:space="preserve">induced by the famine </w:t>
      </w:r>
      <w:r>
        <w:t>mark</w:t>
      </w:r>
      <w:r w:rsidR="002002F3">
        <w:t>ed</w:t>
      </w:r>
      <w:r>
        <w:t xml:space="preserve"> </w:t>
      </w:r>
      <w:r w:rsidR="00AA2134">
        <w:t xml:space="preserve">the </w:t>
      </w:r>
      <w:r>
        <w:t>start</w:t>
      </w:r>
      <w:r w:rsidR="00AA2134">
        <w:t xml:space="preserve"> of the </w:t>
      </w:r>
      <w:r w:rsidR="005F673A">
        <w:t>“</w:t>
      </w:r>
      <w:r w:rsidR="00AA2134">
        <w:t>Age of Mass Migration</w:t>
      </w:r>
      <w:r w:rsidR="0091246D">
        <w:t>,</w:t>
      </w:r>
      <w:r w:rsidR="005F673A">
        <w:t>”</w:t>
      </w:r>
      <w:r w:rsidR="00AA2134">
        <w:t xml:space="preserve"> </w:t>
      </w:r>
      <w:r w:rsidR="0091246D">
        <w:t xml:space="preserve">and </w:t>
      </w:r>
      <w:r w:rsidR="002B0675">
        <w:t>likely comprised the largest group of refugees from a single source that the US has ever absorbed relative to the size of its population.</w:t>
      </w:r>
      <w:r w:rsidR="002B0675">
        <w:rPr>
          <w:rStyle w:val="FootnoteReference"/>
        </w:rPr>
        <w:footnoteReference w:id="3"/>
      </w:r>
      <w:r w:rsidR="002B0675">
        <w:t xml:space="preserve">  </w:t>
      </w:r>
      <w:r w:rsidR="0001606E">
        <w:t>T</w:t>
      </w:r>
      <w:r w:rsidR="00AA2134">
        <w:t>h</w:t>
      </w:r>
      <w:r w:rsidR="003B2262">
        <w:t>is</w:t>
      </w:r>
      <w:r w:rsidR="00AA2134">
        <w:t xml:space="preserve"> change in </w:t>
      </w:r>
      <w:r w:rsidR="0001606E">
        <w:t xml:space="preserve">the </w:t>
      </w:r>
      <w:r w:rsidR="00AA2134">
        <w:t xml:space="preserve">volume </w:t>
      </w:r>
      <w:r w:rsidR="0001606E">
        <w:t xml:space="preserve">of Irish immigrants </w:t>
      </w:r>
      <w:r w:rsidR="00AA2134">
        <w:t xml:space="preserve">coincided with an apparent change in </w:t>
      </w:r>
      <w:r w:rsidR="002002F3">
        <w:t xml:space="preserve">their </w:t>
      </w:r>
      <w:r w:rsidR="00AA2134">
        <w:t>character</w:t>
      </w:r>
      <w:r w:rsidR="002002F3">
        <w:t>istics</w:t>
      </w:r>
      <w:r w:rsidR="00AA2134">
        <w:t xml:space="preserve"> relative to earlier</w:t>
      </w:r>
      <w:r w:rsidR="004E089D">
        <w:t>,</w:t>
      </w:r>
      <w:r w:rsidR="0001606E">
        <w:t xml:space="preserve"> </w:t>
      </w:r>
      <w:r w:rsidR="00AA2134">
        <w:t xml:space="preserve">more prosperous Irish immigrants </w:t>
      </w:r>
      <w:r w:rsidR="00AA2134" w:rsidRPr="003D2797">
        <w:t>(Handlin 1991 [1941]</w:t>
      </w:r>
      <w:r w:rsidR="00AA2134">
        <w:t xml:space="preserve"> p. 51;</w:t>
      </w:r>
      <w:r w:rsidR="00AA2134" w:rsidRPr="003D2797">
        <w:t xml:space="preserve"> Miller 1985</w:t>
      </w:r>
      <w:r w:rsidR="00AA2134">
        <w:t xml:space="preserve"> p. 295; Anbinder 1992, p. 7</w:t>
      </w:r>
      <w:r w:rsidR="00AA2134" w:rsidRPr="003D2797">
        <w:t>)</w:t>
      </w:r>
      <w:r w:rsidR="003B2262">
        <w:t>, and</w:t>
      </w:r>
      <w:r w:rsidR="004B0576">
        <w:t xml:space="preserve"> exacerbated the view </w:t>
      </w:r>
      <w:r w:rsidR="00737D43">
        <w:t xml:space="preserve">of </w:t>
      </w:r>
      <w:r w:rsidR="00475CC8">
        <w:t>m</w:t>
      </w:r>
      <w:r w:rsidR="00E21C36">
        <w:t xml:space="preserve">any Americans </w:t>
      </w:r>
      <w:r w:rsidR="00737D43">
        <w:t xml:space="preserve">at the time that </w:t>
      </w:r>
      <w:r w:rsidR="00E21C36">
        <w:t xml:space="preserve">the Irish migrants’ </w:t>
      </w:r>
      <w:r w:rsidR="0001606E">
        <w:t xml:space="preserve">relative </w:t>
      </w:r>
      <w:r w:rsidR="00E21C36">
        <w:t>poverty, tendency to live near one another, and predominantly Catholic religion</w:t>
      </w:r>
      <w:r w:rsidR="005D5BEC">
        <w:t xml:space="preserve"> </w:t>
      </w:r>
      <w:r w:rsidR="00737D43">
        <w:t>were</w:t>
      </w:r>
      <w:r w:rsidR="00E21C36">
        <w:t xml:space="preserve"> barriers to their assimilation and, therefore, </w:t>
      </w:r>
      <w:r w:rsidR="00737D43">
        <w:t>justified</w:t>
      </w:r>
      <w:r w:rsidR="00E21C36">
        <w:t xml:space="preserve"> restrictions on immigration and immigrants’ rights (Anbinder 1992; Hirota 2017).</w:t>
      </w:r>
      <w:r w:rsidR="0001606E">
        <w:t xml:space="preserve"> </w:t>
      </w:r>
      <w:r>
        <w:t xml:space="preserve"> Such concerns have </w:t>
      </w:r>
      <w:r w:rsidR="00C93105">
        <w:t>re</w:t>
      </w:r>
      <w:r>
        <w:t xml:space="preserve">surfaced throughout US history in response to the arrival of poor or culturally “different” immigrants.  In this case, the nativist </w:t>
      </w:r>
      <w:r w:rsidR="00150A8A">
        <w:t xml:space="preserve">response </w:t>
      </w:r>
      <w:r>
        <w:t>wa</w:t>
      </w:r>
      <w:r w:rsidR="00E21C36">
        <w:t>s severe</w:t>
      </w:r>
      <w:r w:rsidR="00150A8A">
        <w:t xml:space="preserve">, </w:t>
      </w:r>
      <w:r w:rsidR="00497276">
        <w:t xml:space="preserve">culminating in </w:t>
      </w:r>
      <w:r w:rsidR="00150A8A">
        <w:t xml:space="preserve">the political ascent of the </w:t>
      </w:r>
      <w:r w:rsidR="002002F3">
        <w:t>“</w:t>
      </w:r>
      <w:r w:rsidR="00150A8A">
        <w:t>Know Nothings</w:t>
      </w:r>
      <w:r w:rsidR="002002F3">
        <w:t>”</w:t>
      </w:r>
      <w:r w:rsidR="00F16FB7">
        <w:t xml:space="preserve"> (Anbinder 1992; Alsan, Eriksson,</w:t>
      </w:r>
      <w:r w:rsidR="00B60309">
        <w:t xml:space="preserve"> and</w:t>
      </w:r>
      <w:r w:rsidR="00F16FB7">
        <w:t xml:space="preserve"> Niemesh 2019)</w:t>
      </w:r>
      <w:r>
        <w:t>.</w:t>
      </w:r>
      <w:r w:rsidR="00F16FB7">
        <w:t xml:space="preserve"> </w:t>
      </w:r>
      <w:r>
        <w:t xml:space="preserve"> </w:t>
      </w:r>
      <w:r w:rsidDel="00686039">
        <w:t xml:space="preserve"> </w:t>
      </w:r>
    </w:p>
    <w:p w14:paraId="6C4902AB" w14:textId="0327CA4F" w:rsidR="007902EB" w:rsidRDefault="005F673A" w:rsidP="009C06D3">
      <w:pPr>
        <w:widowControl w:val="0"/>
        <w:ind w:firstLine="720"/>
      </w:pPr>
      <w:r>
        <w:t>T</w:t>
      </w:r>
      <w:r w:rsidR="00150A8A">
        <w:t xml:space="preserve">his </w:t>
      </w:r>
      <w:r w:rsidR="00F541E0">
        <w:t xml:space="preserve">paper </w:t>
      </w:r>
      <w:r>
        <w:t>studies</w:t>
      </w:r>
      <w:r w:rsidR="0004699D" w:rsidRPr="003D2797">
        <w:t xml:space="preserve"> the economic </w:t>
      </w:r>
      <w:r w:rsidR="00DE5EC1">
        <w:t xml:space="preserve">status and </w:t>
      </w:r>
      <w:r w:rsidR="00794EE5">
        <w:t xml:space="preserve">labor market </w:t>
      </w:r>
      <w:r w:rsidR="0004699D" w:rsidRPr="003D2797">
        <w:t xml:space="preserve">assimilation of </w:t>
      </w:r>
      <w:r w:rsidR="0082713E">
        <w:t xml:space="preserve">the </w:t>
      </w:r>
      <w:r w:rsidR="0004699D">
        <w:t>famine-era Irish</w:t>
      </w:r>
      <w:r w:rsidR="0004699D" w:rsidRPr="003D2797">
        <w:t xml:space="preserve"> </w:t>
      </w:r>
      <w:r w:rsidR="00FF501D">
        <w:t>im</w:t>
      </w:r>
      <w:r w:rsidR="0004699D">
        <w:t xml:space="preserve">migrants, </w:t>
      </w:r>
      <w:r w:rsidR="00D86FC5">
        <w:t xml:space="preserve">with a </w:t>
      </w:r>
      <w:r w:rsidR="00F21D43">
        <w:t>particular</w:t>
      </w:r>
      <w:r w:rsidR="00D86FC5">
        <w:t xml:space="preserve"> focus </w:t>
      </w:r>
      <w:r w:rsidR="0004699D" w:rsidRPr="003D2797">
        <w:t>on</w:t>
      </w:r>
      <w:r w:rsidR="0004699D">
        <w:t xml:space="preserve"> </w:t>
      </w:r>
      <w:r w:rsidR="0004699D" w:rsidRPr="003D2797">
        <w:t xml:space="preserve">the </w:t>
      </w:r>
      <w:r w:rsidR="0004699D">
        <w:t xml:space="preserve">adult </w:t>
      </w:r>
      <w:r w:rsidR="0004699D" w:rsidRPr="003D2797">
        <w:t xml:space="preserve">labor market outcomes of </w:t>
      </w:r>
      <w:r w:rsidR="0004699D">
        <w:t xml:space="preserve">the </w:t>
      </w:r>
      <w:r w:rsidR="00B61F2B">
        <w:t>im</w:t>
      </w:r>
      <w:r w:rsidR="0004699D">
        <w:t>migrants’</w:t>
      </w:r>
      <w:r w:rsidR="0004699D" w:rsidRPr="003D2797">
        <w:t xml:space="preserve"> children</w:t>
      </w:r>
      <w:r w:rsidR="006931D7">
        <w:t xml:space="preserve">. </w:t>
      </w:r>
      <w:r w:rsidR="00C257F4">
        <w:t xml:space="preserve"> </w:t>
      </w:r>
      <w:r w:rsidR="001A3B85">
        <w:t xml:space="preserve">Although </w:t>
      </w:r>
      <w:r w:rsidR="004855FF">
        <w:t xml:space="preserve">the </w:t>
      </w:r>
      <w:r w:rsidR="001A3B85">
        <w:t xml:space="preserve">group’s </w:t>
      </w:r>
      <w:r w:rsidR="004855FF">
        <w:t>size and historical prominence makes them</w:t>
      </w:r>
      <w:r w:rsidR="00B956A9">
        <w:t xml:space="preserve"> particularly interesting </w:t>
      </w:r>
      <w:r w:rsidR="001A3B85">
        <w:t>to</w:t>
      </w:r>
      <w:r w:rsidR="00B956A9">
        <w:t xml:space="preserve"> study</w:t>
      </w:r>
      <w:r w:rsidR="004855FF">
        <w:t xml:space="preserve">, </w:t>
      </w:r>
      <w:r w:rsidR="00FF501D">
        <w:lastRenderedPageBreak/>
        <w:t>d</w:t>
      </w:r>
      <w:r w:rsidR="006931D7">
        <w:t xml:space="preserve">ata constraints have made it difficult to </w:t>
      </w:r>
      <w:r w:rsidR="001A3B85">
        <w:t>do so</w:t>
      </w:r>
      <w:r w:rsidR="006931D7">
        <w:t xml:space="preserve">.  </w:t>
      </w:r>
      <w:r w:rsidR="00886191">
        <w:t>To overcome th</w:t>
      </w:r>
      <w:r w:rsidR="00F81BED">
        <w:t>ese</w:t>
      </w:r>
      <w:r w:rsidR="00464805">
        <w:t xml:space="preserve"> </w:t>
      </w:r>
      <w:r w:rsidR="00886191">
        <w:t>constraints, w</w:t>
      </w:r>
      <w:r w:rsidR="00DE5EC1">
        <w:t>e construct</w:t>
      </w:r>
      <w:r w:rsidR="00B956A9">
        <w:t>ed</w:t>
      </w:r>
      <w:r w:rsidR="00DE5EC1">
        <w:t xml:space="preserve"> a new</w:t>
      </w:r>
      <w:r w:rsidR="00FF501D">
        <w:t xml:space="preserve"> </w:t>
      </w:r>
      <w:r w:rsidR="00B61F2B">
        <w:t xml:space="preserve">micro-level </w:t>
      </w:r>
      <w:r w:rsidR="00FF501D">
        <w:t xml:space="preserve">dataset </w:t>
      </w:r>
      <w:r w:rsidR="00DE5EC1">
        <w:t>by linking males born in Ireland, Germany, Britain</w:t>
      </w:r>
      <w:r w:rsidR="00FA00D1">
        <w:t>, and the US</w:t>
      </w:r>
      <w:r w:rsidR="00DE5EC1">
        <w:t xml:space="preserve"> from the 1850 to the 1880</w:t>
      </w:r>
      <w:r w:rsidR="00CB7BE6">
        <w:t xml:space="preserve"> complete-count</w:t>
      </w:r>
      <w:r w:rsidR="00DE5EC1">
        <w:t xml:space="preserve"> US census</w:t>
      </w:r>
      <w:r w:rsidR="00071C81">
        <w:t>es</w:t>
      </w:r>
      <w:r w:rsidR="00DE5EC1">
        <w:t>.</w:t>
      </w:r>
      <w:r w:rsidR="00E30CFD">
        <w:rPr>
          <w:rStyle w:val="FootnoteReference"/>
        </w:rPr>
        <w:footnoteReference w:id="4"/>
      </w:r>
      <w:r w:rsidR="00DE5EC1">
        <w:t xml:space="preserve"> </w:t>
      </w:r>
      <w:r w:rsidR="00423DBA">
        <w:t xml:space="preserve"> </w:t>
      </w:r>
      <w:r w:rsidR="00DE5EC1">
        <w:t xml:space="preserve">The </w:t>
      </w:r>
      <w:r w:rsidR="00CB7BE6">
        <w:t xml:space="preserve">linked </w:t>
      </w:r>
      <w:r w:rsidR="00DE5EC1">
        <w:t>dataset</w:t>
      </w:r>
      <w:r w:rsidR="00CB7BE6">
        <w:t xml:space="preserve"> is large, national in scope, and conservatively constructed to </w:t>
      </w:r>
      <w:r w:rsidR="00886191">
        <w:t xml:space="preserve">reduce </w:t>
      </w:r>
      <w:r w:rsidR="00CB7BE6">
        <w:t>false matches.  It</w:t>
      </w:r>
      <w:r w:rsidR="00DE5EC1">
        <w:t xml:space="preserve"> includes household heads and their </w:t>
      </w:r>
      <w:r w:rsidR="00D57C2F">
        <w:t>sons</w:t>
      </w:r>
      <w:r w:rsidR="00D63488">
        <w:t xml:space="preserve">; therefore, </w:t>
      </w:r>
      <w:r w:rsidR="00886191">
        <w:t xml:space="preserve">it </w:t>
      </w:r>
      <w:r w:rsidR="006931D7">
        <w:t>allows</w:t>
      </w:r>
      <w:r w:rsidR="00DE5EC1">
        <w:t xml:space="preserve"> us to </w:t>
      </w:r>
      <w:r w:rsidR="006931D7">
        <w:t>compare</w:t>
      </w:r>
      <w:r w:rsidR="00DE5EC1">
        <w:t xml:space="preserve"> labor market outcomes</w:t>
      </w:r>
      <w:r w:rsidR="007D6FDE">
        <w:t xml:space="preserve"> </w:t>
      </w:r>
      <w:r w:rsidR="00925E6C">
        <w:t>for</w:t>
      </w:r>
      <w:r w:rsidR="007D6FDE">
        <w:t xml:space="preserve"> immigrant and native groups</w:t>
      </w:r>
      <w:r w:rsidR="00886191">
        <w:t xml:space="preserve"> over two generations</w:t>
      </w:r>
      <w:r w:rsidR="008F151B">
        <w:t>, and to consider the second generation’s labor market outcomes in light of variation in their early life circumstances</w:t>
      </w:r>
      <w:r w:rsidR="00DE5EC1">
        <w:t xml:space="preserve">. </w:t>
      </w:r>
      <w:r w:rsidR="00423DBA">
        <w:t xml:space="preserve"> </w:t>
      </w:r>
      <w:r w:rsidR="00FC4691">
        <w:t>Moreover, t</w:t>
      </w:r>
      <w:r w:rsidR="00DE5EC1">
        <w:t>he</w:t>
      </w:r>
      <w:r w:rsidR="00DE5EC1" w:rsidRPr="003D2797">
        <w:t xml:space="preserve"> </w:t>
      </w:r>
      <w:r w:rsidR="008F151B">
        <w:t xml:space="preserve">new dataset’s </w:t>
      </w:r>
      <w:r w:rsidR="00DE5EC1" w:rsidRPr="003D2797">
        <w:t>panel structure helps us</w:t>
      </w:r>
      <w:r w:rsidR="008D7CA3">
        <w:t xml:space="preserve"> to</w:t>
      </w:r>
      <w:r w:rsidR="00DE5EC1" w:rsidRPr="003D2797">
        <w:t xml:space="preserve"> avoid biases</w:t>
      </w:r>
      <w:r w:rsidR="006931D7">
        <w:t xml:space="preserve"> from cohort</w:t>
      </w:r>
      <w:r w:rsidR="00D86FC5">
        <w:t xml:space="preserve"> </w:t>
      </w:r>
      <w:r w:rsidR="006931D7">
        <w:t>quality changes and selective return migration</w:t>
      </w:r>
      <w:r w:rsidR="00DE5EC1" w:rsidRPr="003D2797">
        <w:t xml:space="preserve"> that confound inferences from cross-sectional </w:t>
      </w:r>
      <w:r w:rsidR="008F151B">
        <w:t xml:space="preserve">census </w:t>
      </w:r>
      <w:r w:rsidR="00DE5EC1" w:rsidRPr="003D2797">
        <w:t xml:space="preserve">data </w:t>
      </w:r>
      <w:r w:rsidR="00DE5EC1">
        <w:t>(</w:t>
      </w:r>
      <w:r w:rsidR="00F846ED">
        <w:t xml:space="preserve">Lubotsky 2007; </w:t>
      </w:r>
      <w:r w:rsidR="00DE5EC1">
        <w:t>Abramitzky, Boustan, and Eriksson 2014).</w:t>
      </w:r>
      <w:r w:rsidR="00300A39">
        <w:t xml:space="preserve">  That is, because we follow a fixed set of men over time, there are no changes in sample composition.</w:t>
      </w:r>
      <w:r>
        <w:t xml:space="preserve">  The inclusion of German and British immigrants, who comprised the next largest groups of immigrants in this period, allows </w:t>
      </w:r>
      <w:r w:rsidR="001A3B85">
        <w:t xml:space="preserve">for </w:t>
      </w:r>
      <w:r>
        <w:t xml:space="preserve">useful comparisons across arrival cohorts and across immigrant groups, which </w:t>
      </w:r>
      <w:r w:rsidR="001A3B85">
        <w:t xml:space="preserve">in turn </w:t>
      </w:r>
      <w:r>
        <w:t>helps illustrate the distinc</w:t>
      </w:r>
      <w:r w:rsidR="001A3B85">
        <w:t>tiveness of the famine-era Irish</w:t>
      </w:r>
      <w:r>
        <w:t>.</w:t>
      </w:r>
    </w:p>
    <w:p w14:paraId="6E56689D" w14:textId="5D5DF536" w:rsidR="005F673A" w:rsidRDefault="0004699D">
      <w:pPr>
        <w:widowControl w:val="0"/>
        <w:ind w:firstLine="720"/>
      </w:pPr>
      <w:r>
        <w:t>The c</w:t>
      </w:r>
      <w:r w:rsidRPr="003D2797">
        <w:t>hildren’s</w:t>
      </w:r>
      <w:r w:rsidR="00DE5EC1">
        <w:t xml:space="preserve"> </w:t>
      </w:r>
      <w:r w:rsidR="00EC0744">
        <w:t xml:space="preserve">economic </w:t>
      </w:r>
      <w:r w:rsidRPr="003D2797">
        <w:t xml:space="preserve">outcomes are </w:t>
      </w:r>
      <w:r w:rsidR="006931D7">
        <w:t>especially</w:t>
      </w:r>
      <w:r w:rsidRPr="003D2797">
        <w:t xml:space="preserve"> interesting in the context of concerns about the long-run assimilation of new immigrant groups</w:t>
      </w:r>
      <w:r>
        <w:t xml:space="preserve">. </w:t>
      </w:r>
      <w:r w:rsidR="006931D7">
        <w:t xml:space="preserve"> </w:t>
      </w:r>
      <w:r w:rsidR="00FF501D">
        <w:t>Immigrants’ c</w:t>
      </w:r>
      <w:r>
        <w:t>hildren’s outcomes have garnered considerable attention in the literature on the economics of migration</w:t>
      </w:r>
      <w:r w:rsidRPr="003D2797">
        <w:t xml:space="preserve"> (e.g., </w:t>
      </w:r>
      <w:r w:rsidR="00F846ED" w:rsidRPr="003D2797">
        <w:t xml:space="preserve">Borjas </w:t>
      </w:r>
      <w:r w:rsidR="00DE45D7">
        <w:t xml:space="preserve">1992, </w:t>
      </w:r>
      <w:r w:rsidR="00F846ED" w:rsidRPr="003D2797">
        <w:t>1993</w:t>
      </w:r>
      <w:r w:rsidR="00F846ED">
        <w:t xml:space="preserve">; </w:t>
      </w:r>
      <w:r w:rsidR="00F846ED" w:rsidRPr="003D2797">
        <w:t>Card, DiNardo, and Estes 2000</w:t>
      </w:r>
      <w:r w:rsidR="00F846ED">
        <w:t xml:space="preserve">; Card 2005; Caponi 2011; </w:t>
      </w:r>
      <w:r>
        <w:t xml:space="preserve">Abramitzky, Boustan, and Eriksson 2014; </w:t>
      </w:r>
      <w:r w:rsidR="002003A2">
        <w:t>Alexander and Ward 2018</w:t>
      </w:r>
      <w:r>
        <w:t xml:space="preserve">). </w:t>
      </w:r>
      <w:r w:rsidR="00FF501D">
        <w:t xml:space="preserve"> </w:t>
      </w:r>
      <w:r w:rsidR="00FF501D" w:rsidRPr="005916B2">
        <w:rPr>
          <w:color w:val="000000" w:themeColor="text1"/>
        </w:rPr>
        <w:t xml:space="preserve">But to our knowledge, this </w:t>
      </w:r>
      <w:r w:rsidR="00EC0744" w:rsidRPr="005916B2">
        <w:rPr>
          <w:color w:val="000000" w:themeColor="text1"/>
        </w:rPr>
        <w:t>is the fir</w:t>
      </w:r>
      <w:r w:rsidR="00716007" w:rsidRPr="005916B2">
        <w:rPr>
          <w:color w:val="000000" w:themeColor="text1"/>
        </w:rPr>
        <w:t xml:space="preserve">st paper </w:t>
      </w:r>
      <w:r w:rsidR="00886191" w:rsidRPr="005916B2">
        <w:rPr>
          <w:color w:val="000000" w:themeColor="text1"/>
        </w:rPr>
        <w:t xml:space="preserve">to study the children of the </w:t>
      </w:r>
      <w:r w:rsidR="0074091D" w:rsidRPr="005916B2">
        <w:rPr>
          <w:color w:val="000000" w:themeColor="text1"/>
        </w:rPr>
        <w:t>large</w:t>
      </w:r>
      <w:r w:rsidR="00FC4691" w:rsidRPr="005916B2">
        <w:rPr>
          <w:color w:val="000000" w:themeColor="text1"/>
        </w:rPr>
        <w:t xml:space="preserve"> cohorts of</w:t>
      </w:r>
      <w:r w:rsidR="0074091D" w:rsidRPr="005916B2">
        <w:rPr>
          <w:color w:val="000000" w:themeColor="text1"/>
        </w:rPr>
        <w:t xml:space="preserve"> </w:t>
      </w:r>
      <w:r w:rsidR="00D50873" w:rsidRPr="005916B2">
        <w:rPr>
          <w:color w:val="000000" w:themeColor="text1"/>
        </w:rPr>
        <w:t>immigrant</w:t>
      </w:r>
      <w:r w:rsidR="00716007" w:rsidRPr="005916B2">
        <w:rPr>
          <w:color w:val="000000" w:themeColor="text1"/>
        </w:rPr>
        <w:t xml:space="preserve">s </w:t>
      </w:r>
      <w:r w:rsidR="00D86FC5" w:rsidRPr="005916B2">
        <w:rPr>
          <w:color w:val="000000" w:themeColor="text1"/>
        </w:rPr>
        <w:t>who</w:t>
      </w:r>
      <w:r w:rsidR="0074091D" w:rsidRPr="005916B2">
        <w:rPr>
          <w:color w:val="000000" w:themeColor="text1"/>
        </w:rPr>
        <w:t xml:space="preserve"> arrived </w:t>
      </w:r>
      <w:r w:rsidR="00716007" w:rsidRPr="005916B2">
        <w:rPr>
          <w:color w:val="000000" w:themeColor="text1"/>
        </w:rPr>
        <w:t>in the mid-nineteenth century</w:t>
      </w:r>
      <w:r w:rsidR="00862DBA">
        <w:rPr>
          <w:color w:val="000000" w:themeColor="text1"/>
        </w:rPr>
        <w:t xml:space="preserve"> US</w:t>
      </w:r>
      <w:r w:rsidR="005F673A">
        <w:rPr>
          <w:color w:val="000000" w:themeColor="text1"/>
        </w:rPr>
        <w:t xml:space="preserve">, at the start of the Age of Mass Migration.  </w:t>
      </w:r>
      <w:r w:rsidR="0046411B" w:rsidRPr="00594937">
        <w:t xml:space="preserve">This is also one of </w:t>
      </w:r>
      <w:r w:rsidR="007902EB" w:rsidRPr="00594937">
        <w:t>a small number</w:t>
      </w:r>
      <w:r w:rsidR="0046411B" w:rsidRPr="00594937">
        <w:t xml:space="preserve"> </w:t>
      </w:r>
      <w:r w:rsidR="007902EB" w:rsidRPr="00594937">
        <w:t xml:space="preserve">of </w:t>
      </w:r>
      <w:r w:rsidR="0046411B" w:rsidRPr="00594937">
        <w:t>papers</w:t>
      </w:r>
      <w:r w:rsidR="007902EB" w:rsidRPr="00594937">
        <w:t xml:space="preserve"> </w:t>
      </w:r>
      <w:r w:rsidR="0046411B" w:rsidRPr="00594937">
        <w:t>that</w:t>
      </w:r>
      <w:r w:rsidR="0046411B" w:rsidRPr="00C850B8">
        <w:t xml:space="preserve"> address </w:t>
      </w:r>
      <w:r w:rsidR="00A85CF0" w:rsidRPr="00C850B8">
        <w:t xml:space="preserve">long-run </w:t>
      </w:r>
      <w:r w:rsidR="007902EB" w:rsidRPr="00C850B8">
        <w:t>p</w:t>
      </w:r>
      <w:r w:rsidR="0046411B" w:rsidRPr="00C850B8">
        <w:t xml:space="preserve">atterns of </w:t>
      </w:r>
      <w:r w:rsidR="008F151B" w:rsidRPr="00C850B8">
        <w:t xml:space="preserve">economic </w:t>
      </w:r>
      <w:r w:rsidR="0046411B" w:rsidRPr="00C850B8">
        <w:t xml:space="preserve">assimilation by </w:t>
      </w:r>
      <w:r w:rsidR="008F151B" w:rsidRPr="00C850B8">
        <w:t>refugee</w:t>
      </w:r>
      <w:r w:rsidR="004C2602" w:rsidRPr="00C850B8">
        <w:t xml:space="preserve"> immigrants</w:t>
      </w:r>
      <w:r w:rsidR="003A1687" w:rsidRPr="00C850B8">
        <w:t xml:space="preserve"> or their children</w:t>
      </w:r>
      <w:r w:rsidR="008F151B" w:rsidRPr="00C850B8">
        <w:t xml:space="preserve">, whose experiences and outcomes may differ from those of other migrant groups </w:t>
      </w:r>
      <w:r w:rsidR="00A85CF0" w:rsidRPr="00C850B8">
        <w:t>(</w:t>
      </w:r>
      <w:r w:rsidR="007902EB" w:rsidRPr="00C850B8">
        <w:t xml:space="preserve">Edin, Fredriksson, and </w:t>
      </w:r>
      <w:r w:rsidR="00996BAB" w:rsidRPr="00C850B8">
        <w:rPr>
          <w:rFonts w:cs="Times New Roman"/>
        </w:rPr>
        <w:t>Å</w:t>
      </w:r>
      <w:r w:rsidR="007902EB" w:rsidRPr="00C850B8">
        <w:t>slund 2003</w:t>
      </w:r>
      <w:r w:rsidR="00996BAB" w:rsidRPr="00C850B8">
        <w:t>;</w:t>
      </w:r>
      <w:r w:rsidR="007902EB" w:rsidRPr="00C850B8">
        <w:t xml:space="preserve"> Cortes 2004</w:t>
      </w:r>
      <w:r w:rsidR="00996BAB" w:rsidRPr="00C850B8">
        <w:t>;</w:t>
      </w:r>
      <w:r w:rsidR="007902EB" w:rsidRPr="00C850B8">
        <w:t xml:space="preserve"> </w:t>
      </w:r>
      <w:r w:rsidR="00BA619D">
        <w:t xml:space="preserve">Beaman 2012; </w:t>
      </w:r>
      <w:r w:rsidR="00A85CF0" w:rsidRPr="00C850B8">
        <w:t>Evans and Fitzgerald 2017).</w:t>
      </w:r>
      <w:r w:rsidR="00245085">
        <w:rPr>
          <w:rStyle w:val="FootnoteReference"/>
        </w:rPr>
        <w:footnoteReference w:id="5"/>
      </w:r>
      <w:r w:rsidR="0046411B" w:rsidRPr="005916B2">
        <w:rPr>
          <w:color w:val="000000" w:themeColor="text1"/>
        </w:rPr>
        <w:t xml:space="preserve"> </w:t>
      </w:r>
      <w:r w:rsidR="00996BAB" w:rsidRPr="005916B2">
        <w:rPr>
          <w:color w:val="000000" w:themeColor="text1"/>
        </w:rPr>
        <w:t xml:space="preserve">  </w:t>
      </w:r>
    </w:p>
    <w:p w14:paraId="3CFC6782" w14:textId="645229F9" w:rsidR="00E450BA" w:rsidRDefault="0004699D" w:rsidP="009C06D3">
      <w:pPr>
        <w:widowControl w:val="0"/>
        <w:ind w:firstLine="720"/>
      </w:pPr>
      <w:r>
        <w:t>Our</w:t>
      </w:r>
      <w:r w:rsidRPr="003D2797">
        <w:t xml:space="preserve"> focus on </w:t>
      </w:r>
      <w:r>
        <w:t xml:space="preserve">the </w:t>
      </w:r>
      <w:r w:rsidR="00B61F2B">
        <w:t>im</w:t>
      </w:r>
      <w:r>
        <w:t>migrants</w:t>
      </w:r>
      <w:r w:rsidR="00474671">
        <w:t>’</w:t>
      </w:r>
      <w:r>
        <w:t xml:space="preserve"> </w:t>
      </w:r>
      <w:r w:rsidRPr="003D2797">
        <w:t xml:space="preserve">children </w:t>
      </w:r>
      <w:r>
        <w:t>is also a practical consequence of the</w:t>
      </w:r>
      <w:r w:rsidR="00E57906">
        <w:t xml:space="preserve"> </w:t>
      </w:r>
      <w:r w:rsidR="00A4532B">
        <w:t xml:space="preserve">historical </w:t>
      </w:r>
      <w:r w:rsidRPr="003D2797">
        <w:t>census data</w:t>
      </w:r>
      <w:r w:rsidR="00D50873">
        <w:t>’s limitations</w:t>
      </w:r>
      <w:r>
        <w:t xml:space="preserve">. </w:t>
      </w:r>
      <w:r w:rsidR="00D50873">
        <w:t xml:space="preserve"> The</w:t>
      </w:r>
      <w:r w:rsidRPr="003D2797">
        <w:t xml:space="preserve"> census</w:t>
      </w:r>
      <w:r>
        <w:t>es</w:t>
      </w:r>
      <w:r w:rsidRPr="003D2797">
        <w:t xml:space="preserve"> </w:t>
      </w:r>
      <w:r>
        <w:t xml:space="preserve">of this era </w:t>
      </w:r>
      <w:r w:rsidRPr="003D2797">
        <w:t xml:space="preserve">did not inquire </w:t>
      </w:r>
      <w:r>
        <w:t xml:space="preserve">directly </w:t>
      </w:r>
      <w:r w:rsidRPr="003D2797">
        <w:t xml:space="preserve">about </w:t>
      </w:r>
      <w:r w:rsidR="00474671">
        <w:t xml:space="preserve">each immigrant’s </w:t>
      </w:r>
      <w:r w:rsidR="005E5C0F">
        <w:t xml:space="preserve">year of </w:t>
      </w:r>
      <w:r w:rsidR="00474671">
        <w:t>arrival</w:t>
      </w:r>
      <w:r w:rsidR="009963BA">
        <w:t xml:space="preserve">.  This </w:t>
      </w:r>
      <w:r>
        <w:t xml:space="preserve">poses </w:t>
      </w:r>
      <w:r w:rsidRPr="003D2797">
        <w:t>a</w:t>
      </w:r>
      <w:r>
        <w:t xml:space="preserve"> major</w:t>
      </w:r>
      <w:r w:rsidRPr="003D2797">
        <w:t xml:space="preserve"> challenge to discerning between </w:t>
      </w:r>
      <w:r w:rsidR="005E5C0F">
        <w:t xml:space="preserve">those </w:t>
      </w:r>
      <w:r w:rsidRPr="003D2797">
        <w:t xml:space="preserve">who arrived before </w:t>
      </w:r>
      <w:r w:rsidR="009963BA">
        <w:t xml:space="preserve">or after </w:t>
      </w:r>
      <w:r w:rsidRPr="003D2797">
        <w:t xml:space="preserve">the </w:t>
      </w:r>
      <w:r w:rsidR="009963BA">
        <w:t xml:space="preserve">Irish </w:t>
      </w:r>
      <w:r w:rsidRPr="003D2797">
        <w:t>famine</w:t>
      </w:r>
      <w:r w:rsidR="00D50873">
        <w:t>’s onset</w:t>
      </w:r>
      <w:r w:rsidR="009963BA">
        <w:t xml:space="preserve"> and, in general, to </w:t>
      </w:r>
      <w:r w:rsidR="0091275E">
        <w:t>any study of immigrant assimilation</w:t>
      </w:r>
      <w:r w:rsidR="009963BA">
        <w:t xml:space="preserve"> in this </w:t>
      </w:r>
      <w:r w:rsidR="001E7139">
        <w:t xml:space="preserve">early </w:t>
      </w:r>
      <w:r w:rsidR="009963BA">
        <w:t>period</w:t>
      </w:r>
      <w:r w:rsidRPr="003D2797">
        <w:t>.</w:t>
      </w:r>
      <w:r w:rsidRPr="003D2797">
        <w:rPr>
          <w:rStyle w:val="FootnoteReference"/>
        </w:rPr>
        <w:footnoteReference w:id="6"/>
      </w:r>
      <w:r>
        <w:t xml:space="preserve"> </w:t>
      </w:r>
      <w:r w:rsidR="0074091D">
        <w:t xml:space="preserve"> </w:t>
      </w:r>
      <w:r>
        <w:lastRenderedPageBreak/>
        <w:t xml:space="preserve">Nonetheless, </w:t>
      </w:r>
      <w:r w:rsidR="00FC4691">
        <w:t xml:space="preserve">in 1850, we </w:t>
      </w:r>
      <w:r w:rsidRPr="003D2797">
        <w:t>can determine</w:t>
      </w:r>
      <w:r w:rsidR="00A446D4">
        <w:t xml:space="preserve"> the</w:t>
      </w:r>
      <w:r w:rsidRPr="003D2797">
        <w:t xml:space="preserve"> arrival cohort</w:t>
      </w:r>
      <w:r>
        <w:t xml:space="preserve"> </w:t>
      </w:r>
      <w:r w:rsidR="00FC4691">
        <w:t>f</w:t>
      </w:r>
      <w:r w:rsidR="00FC4691" w:rsidRPr="003D2797">
        <w:t xml:space="preserve">or many household heads </w:t>
      </w:r>
      <w:r w:rsidRPr="003D2797">
        <w:t>b</w:t>
      </w:r>
      <w:r>
        <w:t xml:space="preserve">y </w:t>
      </w:r>
      <w:r w:rsidR="00DA3617">
        <w:t xml:space="preserve">examining </w:t>
      </w:r>
      <w:r>
        <w:t>the</w:t>
      </w:r>
      <w:r w:rsidR="00DA3617">
        <w:t>ir children’s</w:t>
      </w:r>
      <w:r>
        <w:t xml:space="preserve"> birth year and birth</w:t>
      </w:r>
      <w:r w:rsidR="00DA3617">
        <w:t xml:space="preserve"> </w:t>
      </w:r>
      <w:r w:rsidRPr="003D2797">
        <w:t>place information.</w:t>
      </w:r>
      <w:r w:rsidRPr="003D2797">
        <w:rPr>
          <w:rStyle w:val="FootnoteReference"/>
        </w:rPr>
        <w:footnoteReference w:id="7"/>
      </w:r>
      <w:r w:rsidRPr="003D2797">
        <w:t xml:space="preserve">  This approach def</w:t>
      </w:r>
      <w:r w:rsidR="009B4E1E">
        <w:t>initively categorizes the household</w:t>
      </w:r>
      <w:r w:rsidR="00DA3617">
        <w:t xml:space="preserve"> head</w:t>
      </w:r>
      <w:r w:rsidR="009B4E1E">
        <w:t>’s</w:t>
      </w:r>
      <w:r w:rsidRPr="003D2797">
        <w:t xml:space="preserve"> arrival cohort</w:t>
      </w:r>
      <w:r w:rsidR="00A4532B">
        <w:t xml:space="preserve"> (“pre-famine” or “famine-era”)</w:t>
      </w:r>
      <w:r w:rsidRPr="003D2797">
        <w:t xml:space="preserve"> for about </w:t>
      </w:r>
      <w:r w:rsidR="0036664D">
        <w:t>two-thirds</w:t>
      </w:r>
      <w:r w:rsidRPr="003D2797">
        <w:t xml:space="preserve"> of th</w:t>
      </w:r>
      <w:r w:rsidR="00E97E4D">
        <w:t>e sons of Irish immigrants</w:t>
      </w:r>
      <w:r w:rsidR="00EF290B">
        <w:t>.</w:t>
      </w:r>
      <w:r w:rsidR="00542A82">
        <w:rPr>
          <w:rStyle w:val="FootnoteReference"/>
        </w:rPr>
        <w:footnoteReference w:id="8"/>
      </w:r>
      <w:r w:rsidRPr="003D2797">
        <w:t xml:space="preserve">  The relatively high classification rate</w:t>
      </w:r>
      <w:r w:rsidR="001F736A">
        <w:t xml:space="preserve"> </w:t>
      </w:r>
      <w:r w:rsidRPr="003D2797">
        <w:t>makes studying the children’s outcomes attractive—we know whether their household head arrived</w:t>
      </w:r>
      <w:r w:rsidR="00F664CB">
        <w:t xml:space="preserve"> before or </w:t>
      </w:r>
      <w:r w:rsidRPr="003D2797">
        <w:t>during the famine, observe their childhood household characteristics in</w:t>
      </w:r>
      <w:r w:rsidR="00842B5B">
        <w:t xml:space="preserve"> 1850 in</w:t>
      </w:r>
      <w:r w:rsidRPr="003D2797">
        <w:t xml:space="preserve"> detail, and </w:t>
      </w:r>
      <w:r w:rsidR="00F664CB">
        <w:t xml:space="preserve">then </w:t>
      </w:r>
      <w:r w:rsidRPr="003D2797">
        <w:t xml:space="preserve">see their labor market outcomes as prime-aged adult </w:t>
      </w:r>
      <w:r w:rsidRPr="007A6BAE">
        <w:t>workers</w:t>
      </w:r>
      <w:r w:rsidR="00842B5B">
        <w:t xml:space="preserve"> in 1880</w:t>
      </w:r>
      <w:r w:rsidRPr="007A6BAE">
        <w:t xml:space="preserve">. </w:t>
      </w:r>
      <w:r w:rsidR="00FC0536" w:rsidRPr="007A6BAE">
        <w:t xml:space="preserve"> </w:t>
      </w:r>
      <w:r w:rsidR="00A24CBB" w:rsidRPr="007A6BAE">
        <w:t xml:space="preserve">In addition, </w:t>
      </w:r>
      <w:r w:rsidR="00434005" w:rsidRPr="007A6BAE">
        <w:t>t</w:t>
      </w:r>
      <w:r w:rsidR="00E97E4D" w:rsidRPr="007A6BAE">
        <w:t>he “classified” set of children is fairly represen</w:t>
      </w:r>
      <w:r w:rsidR="00F60BF3" w:rsidRPr="007A6BAE">
        <w:t>t</w:t>
      </w:r>
      <w:r w:rsidR="00E97E4D" w:rsidRPr="007A6BAE">
        <w:t xml:space="preserve">ative of all </w:t>
      </w:r>
      <w:r w:rsidR="00D43BFC">
        <w:t xml:space="preserve">immigrants’ </w:t>
      </w:r>
      <w:r w:rsidR="00175E16">
        <w:t>children</w:t>
      </w:r>
      <w:r w:rsidR="00D43BFC">
        <w:t xml:space="preserve"> </w:t>
      </w:r>
      <w:r w:rsidR="00175E16">
        <w:t>circa 1850</w:t>
      </w:r>
      <w:r w:rsidR="00B61F2B">
        <w:t xml:space="preserve"> in terms of observable characteristics</w:t>
      </w:r>
      <w:r w:rsidR="00017C5A" w:rsidRPr="007A6BAE">
        <w:t>.</w:t>
      </w:r>
      <w:r w:rsidR="00E450BA">
        <w:t xml:space="preserve">  </w:t>
      </w:r>
    </w:p>
    <w:p w14:paraId="1CB8A650" w14:textId="3F2118BD" w:rsidR="002442C7" w:rsidRDefault="0004699D" w:rsidP="009C06D3">
      <w:pPr>
        <w:widowControl w:val="0"/>
        <w:ind w:firstLine="720"/>
        <w:rPr>
          <w:rFonts w:cs="Times New Roman"/>
        </w:rPr>
      </w:pPr>
      <w:r w:rsidRPr="004779E0">
        <w:rPr>
          <w:rFonts w:cs="Times New Roman"/>
        </w:rPr>
        <w:t xml:space="preserve">We use the new dataset to address </w:t>
      </w:r>
      <w:r w:rsidR="003A1687">
        <w:rPr>
          <w:rFonts w:cs="Times New Roman"/>
        </w:rPr>
        <w:t>three</w:t>
      </w:r>
      <w:r w:rsidR="0039594D">
        <w:rPr>
          <w:rFonts w:cs="Times New Roman"/>
        </w:rPr>
        <w:t xml:space="preserve"> main</w:t>
      </w:r>
      <w:r w:rsidRPr="004779E0">
        <w:rPr>
          <w:rFonts w:cs="Times New Roman"/>
        </w:rPr>
        <w:t xml:space="preserve"> sets of questions.  First, in 1850, how different were the households headed by famine-era </w:t>
      </w:r>
      <w:r w:rsidR="00175E16">
        <w:rPr>
          <w:rFonts w:cs="Times New Roman"/>
        </w:rPr>
        <w:t xml:space="preserve">Irish </w:t>
      </w:r>
      <w:r w:rsidRPr="004779E0">
        <w:rPr>
          <w:rFonts w:cs="Times New Roman"/>
        </w:rPr>
        <w:t xml:space="preserve">migrants from those headed by earlier Irish migrants, </w:t>
      </w:r>
      <w:r w:rsidR="00842B5B">
        <w:rPr>
          <w:rFonts w:cs="Times New Roman"/>
        </w:rPr>
        <w:t xml:space="preserve">by </w:t>
      </w:r>
      <w:r w:rsidRPr="004779E0">
        <w:rPr>
          <w:rFonts w:cs="Times New Roman"/>
        </w:rPr>
        <w:t xml:space="preserve">concurrent migrants from Germany and Britain, and </w:t>
      </w:r>
      <w:r w:rsidR="00842B5B">
        <w:rPr>
          <w:rFonts w:cs="Times New Roman"/>
        </w:rPr>
        <w:t xml:space="preserve">by </w:t>
      </w:r>
      <w:r w:rsidRPr="004779E0">
        <w:rPr>
          <w:rFonts w:cs="Times New Roman"/>
        </w:rPr>
        <w:t xml:space="preserve">US natives?  </w:t>
      </w:r>
      <w:r w:rsidR="00A446D4" w:rsidRPr="004779E0">
        <w:rPr>
          <w:rFonts w:cs="Times New Roman"/>
        </w:rPr>
        <w:t>In particular, i</w:t>
      </w:r>
      <w:r w:rsidRPr="004779E0">
        <w:rPr>
          <w:rFonts w:cs="Times New Roman"/>
        </w:rPr>
        <w:t xml:space="preserve">s there evidence of a </w:t>
      </w:r>
      <w:r w:rsidR="00E450BA">
        <w:rPr>
          <w:rFonts w:cs="Times New Roman"/>
        </w:rPr>
        <w:t xml:space="preserve">differential </w:t>
      </w:r>
      <w:r w:rsidR="004779E0">
        <w:rPr>
          <w:rFonts w:cs="Times New Roman"/>
        </w:rPr>
        <w:t>change</w:t>
      </w:r>
      <w:r w:rsidRPr="004779E0">
        <w:rPr>
          <w:rFonts w:cs="Times New Roman"/>
        </w:rPr>
        <w:t xml:space="preserve"> in Irish household heads’ human capital (reflecting changing selection) and labor market outcomes (reflecting both selection and labor market conditions for new</w:t>
      </w:r>
      <w:r w:rsidR="004779E0">
        <w:rPr>
          <w:rFonts w:cs="Times New Roman"/>
        </w:rPr>
        <w:t>ly arrived</w:t>
      </w:r>
      <w:r w:rsidRPr="004779E0">
        <w:rPr>
          <w:rFonts w:cs="Times New Roman"/>
        </w:rPr>
        <w:t xml:space="preserve"> migrants) between the pre-famine and famine-era migrants?</w:t>
      </w:r>
      <w:r w:rsidR="00E450BA">
        <w:rPr>
          <w:rFonts w:cs="Times New Roman"/>
        </w:rPr>
        <w:t xml:space="preserve">  </w:t>
      </w:r>
      <w:r w:rsidR="001B721A">
        <w:rPr>
          <w:rFonts w:cs="Times New Roman"/>
        </w:rPr>
        <w:t xml:space="preserve">Given this paper’s motivation, we care about changing migrant selection primarily </w:t>
      </w:r>
      <w:r w:rsidR="001B721A" w:rsidRPr="001B721A">
        <w:rPr>
          <w:rFonts w:cs="Times New Roman"/>
        </w:rPr>
        <w:t>because it directly influences the average household characteristics and resources of immigrants’ children</w:t>
      </w:r>
      <w:r w:rsidR="00542A2F">
        <w:rPr>
          <w:rFonts w:cs="Times New Roman"/>
        </w:rPr>
        <w:t>, though documenting the patterns of migrant selection at the time of the famine is also of independent interest</w:t>
      </w:r>
      <w:r w:rsidR="00EF290B">
        <w:rPr>
          <w:rFonts w:cs="Times New Roman"/>
        </w:rPr>
        <w:t xml:space="preserve"> (e.g., Mokyr and Ó Gráda 1982; Cohn 1995)</w:t>
      </w:r>
      <w:r w:rsidR="001B721A">
        <w:rPr>
          <w:rFonts w:cs="Times New Roman"/>
        </w:rPr>
        <w:t>.</w:t>
      </w:r>
      <w:r w:rsidR="00375912">
        <w:rPr>
          <w:rFonts w:cs="Times New Roman"/>
        </w:rPr>
        <w:t xml:space="preserve"> </w:t>
      </w:r>
      <w:r w:rsidR="001B721A">
        <w:rPr>
          <w:rFonts w:cs="Times New Roman"/>
        </w:rPr>
        <w:t xml:space="preserve"> </w:t>
      </w:r>
      <w:r w:rsidR="00443E21">
        <w:rPr>
          <w:rFonts w:cs="Times New Roman"/>
        </w:rPr>
        <w:t>Consistent with the predictions of a simple Roy (1951)-Borjas (1987) model, w</w:t>
      </w:r>
      <w:r w:rsidR="002442C7">
        <w:t xml:space="preserve">e find </w:t>
      </w:r>
      <w:r w:rsidR="002442C7" w:rsidRPr="0070135F">
        <w:t xml:space="preserve">clear evidence of deterioration in the human capital of Irish immigrant household heads with the onset of the </w:t>
      </w:r>
      <w:r w:rsidR="00A4532B">
        <w:t>famine</w:t>
      </w:r>
      <w:r w:rsidR="002442C7" w:rsidRPr="0070135F">
        <w:t xml:space="preserve">, as measured by literacy and age heaping in 1850. </w:t>
      </w:r>
      <w:r w:rsidR="004A3900">
        <w:t xml:space="preserve"> </w:t>
      </w:r>
      <w:r w:rsidR="009A56A3">
        <w:t>This is the clearest evidence to date on</w:t>
      </w:r>
      <w:r w:rsidR="00334E6E">
        <w:t xml:space="preserve"> human capital</w:t>
      </w:r>
      <w:r w:rsidR="009A56A3">
        <w:t xml:space="preserve"> differences </w:t>
      </w:r>
      <w:r w:rsidR="00334E6E">
        <w:t>between</w:t>
      </w:r>
      <w:r w:rsidR="009A56A3">
        <w:t xml:space="preserve"> pre-famine and famine-era arrivals.</w:t>
      </w:r>
      <w:r w:rsidR="00E14C07">
        <w:rPr>
          <w:rStyle w:val="FootnoteReference"/>
          <w:rFonts w:cs="Times New Roman"/>
        </w:rPr>
        <w:footnoteReference w:id="9"/>
      </w:r>
      <w:r w:rsidR="002442C7" w:rsidRPr="0070135F">
        <w:t xml:space="preserve"> </w:t>
      </w:r>
      <w:r w:rsidR="00375912">
        <w:t xml:space="preserve"> </w:t>
      </w:r>
      <w:r w:rsidR="00842B5B">
        <w:t xml:space="preserve">We also document a decline in </w:t>
      </w:r>
      <w:r w:rsidR="002442C7" w:rsidRPr="0070135F">
        <w:t>occupational status</w:t>
      </w:r>
      <w:r w:rsidR="00842B5B">
        <w:t xml:space="preserve"> between the pre-famine and famine</w:t>
      </w:r>
      <w:r w:rsidR="00C16E3D">
        <w:t>-era</w:t>
      </w:r>
      <w:r w:rsidR="00842B5B">
        <w:t xml:space="preserve"> Irish</w:t>
      </w:r>
      <w:r w:rsidR="002B2617">
        <w:t>, both absolutely and relative to</w:t>
      </w:r>
      <w:r w:rsidR="00F846ED">
        <w:t xml:space="preserve"> </w:t>
      </w:r>
      <w:r w:rsidR="002B2617">
        <w:t xml:space="preserve">differences over arrival cohorts for other </w:t>
      </w:r>
      <w:r w:rsidR="00F846ED">
        <w:t>immigrant groups</w:t>
      </w:r>
      <w:r w:rsidR="002442C7" w:rsidRPr="0070135F">
        <w:t>.</w:t>
      </w:r>
      <w:r w:rsidR="009A56A3">
        <w:t xml:space="preserve"> </w:t>
      </w:r>
      <w:r w:rsidR="00375912">
        <w:t xml:space="preserve"> </w:t>
      </w:r>
      <w:r w:rsidR="00F816E1" w:rsidRPr="00F816E1">
        <w:rPr>
          <w:rFonts w:eastAsia="MS Mincho" w:cs="Times New Roman"/>
        </w:rPr>
        <w:t xml:space="preserve">Thus, </w:t>
      </w:r>
      <w:r w:rsidR="00DE0094" w:rsidRPr="00F816E1">
        <w:rPr>
          <w:rFonts w:eastAsia="MS Mincho" w:cs="Times New Roman"/>
        </w:rPr>
        <w:t xml:space="preserve">by changing both the composition and volume of Irish migration, the </w:t>
      </w:r>
      <w:r w:rsidR="00F816E1" w:rsidRPr="00F816E1">
        <w:rPr>
          <w:rFonts w:eastAsia="MS Mincho" w:cs="Times New Roman"/>
        </w:rPr>
        <w:t xml:space="preserve">Great Famine </w:t>
      </w:r>
      <w:r w:rsidR="00DE0094" w:rsidRPr="00F816E1">
        <w:rPr>
          <w:rFonts w:eastAsia="MS Mincho" w:cs="Times New Roman"/>
        </w:rPr>
        <w:t xml:space="preserve">resulted in a large </w:t>
      </w:r>
      <w:r w:rsidR="00DE0094" w:rsidRPr="00F816E1">
        <w:rPr>
          <w:rFonts w:eastAsia="MS Mincho" w:cs="Times New Roman"/>
        </w:rPr>
        <w:lastRenderedPageBreak/>
        <w:t xml:space="preserve">cohort of relatively poor immigrant children in the US circa 1850.  </w:t>
      </w:r>
    </w:p>
    <w:p w14:paraId="277A2C02" w14:textId="5D3A2CCD" w:rsidR="00E95783" w:rsidRPr="009F51A9" w:rsidRDefault="0035193A" w:rsidP="00E450BA">
      <w:pPr>
        <w:widowControl w:val="0"/>
        <w:ind w:firstLine="720"/>
        <w:rPr>
          <w:rFonts w:eastAsia="MS Mincho" w:cs="Times New Roman"/>
        </w:rPr>
      </w:pPr>
      <w:r w:rsidRPr="004779E0">
        <w:rPr>
          <w:rFonts w:cs="Times New Roman"/>
        </w:rPr>
        <w:t xml:space="preserve">Second, in 1880, how did the adult labor market outcomes of Irish </w:t>
      </w:r>
      <w:r w:rsidR="00F81BED">
        <w:rPr>
          <w:rFonts w:cs="Times New Roman"/>
        </w:rPr>
        <w:t xml:space="preserve">famine </w:t>
      </w:r>
      <w:r w:rsidRPr="004779E0">
        <w:rPr>
          <w:rFonts w:cs="Times New Roman"/>
        </w:rPr>
        <w:t>migrants’ sons compare to those</w:t>
      </w:r>
      <w:r w:rsidR="00F81BED">
        <w:rPr>
          <w:rFonts w:cs="Times New Roman"/>
        </w:rPr>
        <w:t xml:space="preserve"> of</w:t>
      </w:r>
      <w:r w:rsidRPr="004779E0">
        <w:rPr>
          <w:rFonts w:cs="Times New Roman"/>
        </w:rPr>
        <w:t xml:space="preserve"> other immigrant</w:t>
      </w:r>
      <w:r>
        <w:rPr>
          <w:rFonts w:cs="Times New Roman"/>
        </w:rPr>
        <w:t>s</w:t>
      </w:r>
      <w:r w:rsidR="003A1687">
        <w:rPr>
          <w:rFonts w:cs="Times New Roman"/>
        </w:rPr>
        <w:t>’</w:t>
      </w:r>
      <w:r w:rsidRPr="004779E0">
        <w:rPr>
          <w:rFonts w:cs="Times New Roman"/>
        </w:rPr>
        <w:t xml:space="preserve"> and natives</w:t>
      </w:r>
      <w:r w:rsidR="003A1687">
        <w:rPr>
          <w:rFonts w:cs="Times New Roman"/>
        </w:rPr>
        <w:t>’ sons</w:t>
      </w:r>
      <w:r w:rsidRPr="004779E0">
        <w:rPr>
          <w:rFonts w:cs="Times New Roman"/>
        </w:rPr>
        <w:t xml:space="preserve">? </w:t>
      </w:r>
      <w:r w:rsidR="00A4532B">
        <w:rPr>
          <w:rFonts w:cs="Times New Roman"/>
        </w:rPr>
        <w:t xml:space="preserve"> </w:t>
      </w:r>
      <w:r w:rsidR="0009774E" w:rsidRPr="0035193A">
        <w:rPr>
          <w:rFonts w:eastAsia="MS Mincho" w:cs="Times New Roman"/>
        </w:rPr>
        <w:t xml:space="preserve">Studying </w:t>
      </w:r>
      <w:r>
        <w:rPr>
          <w:rFonts w:eastAsia="MS Mincho" w:cs="Times New Roman"/>
        </w:rPr>
        <w:t xml:space="preserve">these outcomes </w:t>
      </w:r>
      <w:r w:rsidR="0009774E" w:rsidRPr="0035193A">
        <w:rPr>
          <w:rFonts w:eastAsia="MS Mincho" w:cs="Times New Roman"/>
        </w:rPr>
        <w:t>provides perspective on the potential for long-term assimilation in a setting where</w:t>
      </w:r>
      <w:r w:rsidR="0091275E">
        <w:rPr>
          <w:rFonts w:eastAsia="MS Mincho" w:cs="Times New Roman"/>
        </w:rPr>
        <w:t xml:space="preserve"> </w:t>
      </w:r>
      <w:r w:rsidR="0009774E" w:rsidRPr="0035193A">
        <w:rPr>
          <w:rFonts w:eastAsia="MS Mincho" w:cs="Times New Roman"/>
        </w:rPr>
        <w:t>a variety of forces</w:t>
      </w:r>
      <w:r w:rsidRPr="0035193A">
        <w:rPr>
          <w:rFonts w:eastAsia="MS Mincho" w:cs="Times New Roman"/>
        </w:rPr>
        <w:t xml:space="preserve">—including </w:t>
      </w:r>
      <w:r w:rsidR="0009774E" w:rsidRPr="0035193A">
        <w:rPr>
          <w:rFonts w:eastAsia="MS Mincho" w:cs="Times New Roman"/>
        </w:rPr>
        <w:t xml:space="preserve">inauspicious early life conditions, an environment rife with anti-Irish sentiment, and a continuing influx of new </w:t>
      </w:r>
      <w:r w:rsidRPr="0035193A">
        <w:rPr>
          <w:rFonts w:eastAsia="MS Mincho" w:cs="Times New Roman"/>
        </w:rPr>
        <w:t xml:space="preserve">immigrants—may have hindered </w:t>
      </w:r>
      <w:r w:rsidR="00E450BA">
        <w:rPr>
          <w:rFonts w:eastAsia="MS Mincho" w:cs="Times New Roman"/>
        </w:rPr>
        <w:t>the</w:t>
      </w:r>
      <w:r w:rsidR="00E450BA" w:rsidRPr="0035193A">
        <w:rPr>
          <w:rFonts w:eastAsia="MS Mincho" w:cs="Times New Roman"/>
        </w:rPr>
        <w:t xml:space="preserve"> </w:t>
      </w:r>
      <w:r w:rsidR="00E450BA">
        <w:rPr>
          <w:rFonts w:eastAsia="MS Mincho" w:cs="Times New Roman"/>
        </w:rPr>
        <w:t xml:space="preserve">Irish children’s </w:t>
      </w:r>
      <w:r w:rsidRPr="0035193A">
        <w:rPr>
          <w:rFonts w:eastAsia="MS Mincho" w:cs="Times New Roman"/>
        </w:rPr>
        <w:t>advancement</w:t>
      </w:r>
      <w:r w:rsidR="0009774E" w:rsidRPr="0035193A">
        <w:rPr>
          <w:rFonts w:eastAsia="MS Mincho" w:cs="Times New Roman"/>
        </w:rPr>
        <w:t>.</w:t>
      </w:r>
      <w:r w:rsidR="004779E0" w:rsidRPr="004779E0">
        <w:rPr>
          <w:rFonts w:cs="Times New Roman"/>
        </w:rPr>
        <w:t xml:space="preserve"> </w:t>
      </w:r>
      <w:r w:rsidR="00D3535D">
        <w:rPr>
          <w:rFonts w:cs="Times New Roman"/>
        </w:rPr>
        <w:t xml:space="preserve"> </w:t>
      </w:r>
      <w:r w:rsidR="002442C7">
        <w:t>We find that</w:t>
      </w:r>
      <w:r w:rsidR="002442C7" w:rsidRPr="0070135F">
        <w:t xml:space="preserve">, on average, the sons of the </w:t>
      </w:r>
      <w:r w:rsidR="00F63570">
        <w:t xml:space="preserve">famine-era </w:t>
      </w:r>
      <w:r w:rsidR="002442C7" w:rsidRPr="0070135F">
        <w:t>Irish</w:t>
      </w:r>
      <w:r w:rsidR="00F63570">
        <w:t xml:space="preserve"> immigrants</w:t>
      </w:r>
      <w:r w:rsidR="002442C7" w:rsidRPr="0070135F">
        <w:t xml:space="preserve"> fared poorly in the labor market as adults in comparison with other groups in 1880. </w:t>
      </w:r>
      <w:r w:rsidR="002442C7">
        <w:t xml:space="preserve"> </w:t>
      </w:r>
      <w:r w:rsidR="002442C7" w:rsidRPr="0070135F">
        <w:t xml:space="preserve">Nonetheless, </w:t>
      </w:r>
      <w:r w:rsidR="002B2617" w:rsidRPr="0070135F">
        <w:t>in comparison to their fathers’ starting point</w:t>
      </w:r>
      <w:r w:rsidR="002B2617">
        <w:t>,</w:t>
      </w:r>
      <w:r w:rsidR="002B2617" w:rsidRPr="0070135F" w:rsidDel="00D3535D">
        <w:t xml:space="preserve"> </w:t>
      </w:r>
      <w:r w:rsidR="00D3535D">
        <w:t>they</w:t>
      </w:r>
      <w:r w:rsidR="00DA1999">
        <w:t xml:space="preserve"> </w:t>
      </w:r>
      <w:r w:rsidR="002442C7" w:rsidRPr="0070135F">
        <w:t xml:space="preserve">greatly narrowed the gap in occupational status relative to natives.  </w:t>
      </w:r>
      <w:r w:rsidR="00642B89">
        <w:t xml:space="preserve">The gap </w:t>
      </w:r>
      <w:r w:rsidR="00721908">
        <w:t xml:space="preserve">is </w:t>
      </w:r>
      <w:r w:rsidR="002442C7">
        <w:t xml:space="preserve">even </w:t>
      </w:r>
      <w:r w:rsidR="00642B89">
        <w:t xml:space="preserve">smaller </w:t>
      </w:r>
      <w:r w:rsidR="002442C7">
        <w:t xml:space="preserve">when </w:t>
      </w:r>
      <w:r w:rsidR="00D43BFC">
        <w:t>considering</w:t>
      </w:r>
      <w:r w:rsidR="00C87BB7">
        <w:t xml:space="preserve"> </w:t>
      </w:r>
      <w:r w:rsidR="00C224EC">
        <w:t>the</w:t>
      </w:r>
      <w:r w:rsidR="001850B5">
        <w:t>ir</w:t>
      </w:r>
      <w:r w:rsidR="00C224EC">
        <w:t xml:space="preserve"> adverse childhood environment </w:t>
      </w:r>
      <w:r w:rsidR="002B2617">
        <w:t xml:space="preserve">(i.e., </w:t>
      </w:r>
      <w:r w:rsidR="00BA3144">
        <w:t xml:space="preserve">when </w:t>
      </w:r>
      <w:r w:rsidR="00084CCA">
        <w:t>controlling for 1850 household characteristics</w:t>
      </w:r>
      <w:r w:rsidR="002B2617">
        <w:t>)</w:t>
      </w:r>
      <w:r w:rsidR="00F16FB7">
        <w:t xml:space="preserve">; that is, </w:t>
      </w:r>
      <w:r w:rsidR="00EF290B">
        <w:t>the intergenerational occupational upgrading of the famine Irish was almost the same as that of observationally similar natives</w:t>
      </w:r>
      <w:r w:rsidR="00084CCA">
        <w:t>.</w:t>
      </w:r>
      <w:r w:rsidR="00642B89">
        <w:t xml:space="preserve"> </w:t>
      </w:r>
      <w:r w:rsidR="00084CCA">
        <w:t xml:space="preserve"> </w:t>
      </w:r>
      <w:r w:rsidR="00721908" w:rsidRPr="0070135F">
        <w:t xml:space="preserve">In this sense, fairly strong </w:t>
      </w:r>
      <w:r w:rsidR="00B61F2B">
        <w:t xml:space="preserve">economic </w:t>
      </w:r>
      <w:r w:rsidR="00721908" w:rsidRPr="0070135F">
        <w:t>assimilation occurred over generations.</w:t>
      </w:r>
      <w:r w:rsidR="00642B89">
        <w:t xml:space="preserve"> </w:t>
      </w:r>
      <w:r w:rsidR="00721908">
        <w:t xml:space="preserve"> T</w:t>
      </w:r>
      <w:r w:rsidR="002442C7">
        <w:t xml:space="preserve">he labor market outcomes of </w:t>
      </w:r>
      <w:r w:rsidR="00D43BFC">
        <w:t xml:space="preserve">Irish </w:t>
      </w:r>
      <w:r w:rsidR="00A4532B">
        <w:t>im</w:t>
      </w:r>
      <w:r w:rsidR="002442C7">
        <w:t xml:space="preserve">migrants </w:t>
      </w:r>
      <w:r w:rsidR="00C16E3D">
        <w:t xml:space="preserve">circa 1850 </w:t>
      </w:r>
      <w:r w:rsidR="002442C7">
        <w:t xml:space="preserve">were </w:t>
      </w:r>
      <w:r w:rsidR="00721908">
        <w:t xml:space="preserve">thus </w:t>
      </w:r>
      <w:r w:rsidR="002442C7">
        <w:t>a poor guide to inferring the group’s ability to assimilate</w:t>
      </w:r>
      <w:r w:rsidR="001850B5">
        <w:t xml:space="preserve"> over a longer period</w:t>
      </w:r>
      <w:r w:rsidR="002442C7">
        <w:t>.</w:t>
      </w:r>
      <w:r w:rsidR="00E95783">
        <w:t xml:space="preserve"> </w:t>
      </w:r>
    </w:p>
    <w:p w14:paraId="020CAC22" w14:textId="58792656" w:rsidR="00D82102" w:rsidRPr="004A3900" w:rsidRDefault="003A1687" w:rsidP="005501DF">
      <w:pPr>
        <w:widowControl w:val="0"/>
        <w:ind w:firstLine="720"/>
      </w:pPr>
      <w:r w:rsidRPr="005179E8">
        <w:t>Finally, w</w:t>
      </w:r>
      <w:r w:rsidR="0017156B" w:rsidRPr="005179E8">
        <w:t>e</w:t>
      </w:r>
      <w:r w:rsidR="006C7F3E" w:rsidRPr="005179E8">
        <w:t xml:space="preserve"> </w:t>
      </w:r>
      <w:r w:rsidR="00613549" w:rsidRPr="005179E8">
        <w:t>examine</w:t>
      </w:r>
      <w:r w:rsidR="00DE4D1C" w:rsidRPr="005179E8">
        <w:t xml:space="preserve"> heterogeneity in the upward mobility of </w:t>
      </w:r>
      <w:r w:rsidR="005179E8" w:rsidRPr="005179E8">
        <w:t xml:space="preserve">the children of famine-era </w:t>
      </w:r>
      <w:r w:rsidR="00DE4D1C" w:rsidRPr="005179E8">
        <w:t>Irish immigrants</w:t>
      </w:r>
      <w:r w:rsidR="005179E8" w:rsidRPr="005179E8">
        <w:t xml:space="preserve"> a</w:t>
      </w:r>
      <w:r w:rsidR="002B2617" w:rsidRPr="005179E8">
        <w:t>ccording to observable characteristics</w:t>
      </w:r>
      <w:r w:rsidR="004B067D" w:rsidRPr="005179E8">
        <w:t xml:space="preserve">, including </w:t>
      </w:r>
      <w:r w:rsidR="0091275E" w:rsidRPr="005179E8">
        <w:t>measures</w:t>
      </w:r>
      <w:r w:rsidR="004B067D" w:rsidRPr="005179E8">
        <w:t xml:space="preserve"> of</w:t>
      </w:r>
      <w:r w:rsidR="005179E8" w:rsidRPr="005179E8">
        <w:t xml:space="preserve"> their</w:t>
      </w:r>
      <w:r w:rsidR="004B067D" w:rsidRPr="005179E8">
        <w:t xml:space="preserve"> </w:t>
      </w:r>
      <w:r w:rsidR="005179E8" w:rsidRPr="005179E8">
        <w:t xml:space="preserve">father’s </w:t>
      </w:r>
      <w:r w:rsidR="000C4BCE" w:rsidRPr="005179E8">
        <w:t xml:space="preserve">human capital, residence in an Irish enclave, </w:t>
      </w:r>
      <w:r w:rsidR="00BA3144" w:rsidRPr="005179E8">
        <w:t>geographic mobility</w:t>
      </w:r>
      <w:r w:rsidR="00BA3144">
        <w:t>, and</w:t>
      </w:r>
      <w:r w:rsidR="00BA3144" w:rsidRPr="005179E8">
        <w:t xml:space="preserve"> </w:t>
      </w:r>
      <w:r w:rsidR="005179E8" w:rsidRPr="005179E8">
        <w:t>s</w:t>
      </w:r>
      <w:r w:rsidR="000C4BCE" w:rsidRPr="005179E8">
        <w:t>ocial distance (</w:t>
      </w:r>
      <w:r w:rsidR="00BA3144">
        <w:t>specifically</w:t>
      </w:r>
      <w:r w:rsidR="000C4BCE" w:rsidRPr="005179E8">
        <w:t>, having a surname</w:t>
      </w:r>
      <w:r w:rsidR="00334E6E" w:rsidRPr="005179E8">
        <w:t xml:space="preserve"> that </w:t>
      </w:r>
      <w:r w:rsidR="007E639A" w:rsidRPr="005179E8">
        <w:t xml:space="preserve">we determine to be </w:t>
      </w:r>
      <w:r w:rsidR="00334E6E" w:rsidRPr="005179E8">
        <w:t>predominantly Catholic</w:t>
      </w:r>
      <w:r w:rsidR="000C4BCE" w:rsidRPr="005179E8">
        <w:t>)</w:t>
      </w:r>
      <w:r w:rsidR="00DE4D1C" w:rsidRPr="005179E8">
        <w:t xml:space="preserve">. </w:t>
      </w:r>
      <w:r w:rsidR="006C7F3E" w:rsidRPr="005179E8">
        <w:t xml:space="preserve"> </w:t>
      </w:r>
      <w:r w:rsidR="00613549" w:rsidRPr="005179E8">
        <w:t>The</w:t>
      </w:r>
      <w:r w:rsidR="006C7F3E" w:rsidRPr="005179E8">
        <w:t xml:space="preserve"> </w:t>
      </w:r>
      <w:r w:rsidR="00DE4D1C" w:rsidRPr="005179E8">
        <w:t xml:space="preserve">data </w:t>
      </w:r>
      <w:r w:rsidR="00613549" w:rsidRPr="005179E8">
        <w:t xml:space="preserve">and setting </w:t>
      </w:r>
      <w:r w:rsidR="00DE4D1C" w:rsidRPr="005179E8">
        <w:t xml:space="preserve">do not </w:t>
      </w:r>
      <w:r w:rsidR="00613549" w:rsidRPr="005179E8">
        <w:t xml:space="preserve">allow </w:t>
      </w:r>
      <w:r w:rsidR="005179E8" w:rsidRPr="005179E8">
        <w:t xml:space="preserve">clear </w:t>
      </w:r>
      <w:r w:rsidR="00613549" w:rsidRPr="005179E8">
        <w:t xml:space="preserve">identification of </w:t>
      </w:r>
      <w:r w:rsidR="00DE4D1C" w:rsidRPr="005179E8">
        <w:t>causal relationships</w:t>
      </w:r>
      <w:r w:rsidR="000C4BCE" w:rsidRPr="005179E8">
        <w:t xml:space="preserve">; </w:t>
      </w:r>
      <w:r w:rsidR="00613549" w:rsidRPr="005179E8">
        <w:t>they</w:t>
      </w:r>
      <w:r w:rsidR="008B5EAC" w:rsidRPr="005179E8">
        <w:t xml:space="preserve"> do</w:t>
      </w:r>
      <w:r w:rsidR="000C4BCE" w:rsidRPr="005179E8">
        <w:t>, however,</w:t>
      </w:r>
      <w:r w:rsidR="005179E8" w:rsidRPr="005179E8">
        <w:t xml:space="preserve"> provide novel evidence on </w:t>
      </w:r>
      <w:r w:rsidR="00954D85">
        <w:t>factors</w:t>
      </w:r>
      <w:r w:rsidR="00613549" w:rsidRPr="005179E8">
        <w:t xml:space="preserve"> </w:t>
      </w:r>
      <w:r w:rsidR="004B067D" w:rsidRPr="005179E8">
        <w:t>that may have facilitated or impeded</w:t>
      </w:r>
      <w:r w:rsidR="00613549" w:rsidRPr="005179E8">
        <w:t xml:space="preserve"> </w:t>
      </w:r>
      <w:r w:rsidR="000C4BCE" w:rsidRPr="005179E8">
        <w:t xml:space="preserve">immigrants’ </w:t>
      </w:r>
      <w:r w:rsidR="00613549" w:rsidRPr="005179E8">
        <w:t xml:space="preserve">intergenerational </w:t>
      </w:r>
      <w:r w:rsidR="005179E8" w:rsidRPr="005179E8">
        <w:t>gain</w:t>
      </w:r>
      <w:r w:rsidR="005179E8" w:rsidRPr="00FA7FB1">
        <w:t>s</w:t>
      </w:r>
      <w:r w:rsidR="000C4BCE" w:rsidRPr="00FA7FB1">
        <w:t>.</w:t>
      </w:r>
      <w:r w:rsidR="00F81BED" w:rsidRPr="00FA7FB1">
        <w:t xml:space="preserve">  In particular, we find that having a more Catholic surname and being born in Ireland were associated with less upward mobility</w:t>
      </w:r>
      <w:r w:rsidR="00FA7FB1">
        <w:t>, conditional on other observables</w:t>
      </w:r>
      <w:r w:rsidR="00FA7FB1" w:rsidRPr="00FA7FB1">
        <w:t>.  This</w:t>
      </w:r>
      <w:r w:rsidR="00946DB9">
        <w:t xml:space="preserve"> pattern</w:t>
      </w:r>
      <w:r w:rsidR="00FA7FB1" w:rsidRPr="00FA7FB1">
        <w:t xml:space="preserve"> is c</w:t>
      </w:r>
      <w:r w:rsidR="008D7570" w:rsidRPr="00FA7FB1">
        <w:t xml:space="preserve">onsistent with </w:t>
      </w:r>
      <w:r w:rsidR="00FA7FB1" w:rsidRPr="00FA7FB1">
        <w:t xml:space="preserve">the presence of </w:t>
      </w:r>
      <w:r w:rsidR="008D7570" w:rsidRPr="00FA7FB1">
        <w:t>discrimination</w:t>
      </w:r>
      <w:r w:rsidR="00FA7FB1">
        <w:t xml:space="preserve"> against Irish Catholics, </w:t>
      </w:r>
      <w:r w:rsidR="00360FD5">
        <w:t>lower</w:t>
      </w:r>
      <w:r w:rsidR="008D7570" w:rsidRPr="00FA7FB1">
        <w:t xml:space="preserve"> </w:t>
      </w:r>
      <w:r w:rsidR="00360FD5">
        <w:t xml:space="preserve">levels of </w:t>
      </w:r>
      <w:r w:rsidR="008D7570" w:rsidRPr="00FA7FB1">
        <w:t>human capital</w:t>
      </w:r>
      <w:r w:rsidR="00FA7FB1" w:rsidRPr="00FA7FB1">
        <w:t xml:space="preserve"> </w:t>
      </w:r>
      <w:r w:rsidR="009F6B52">
        <w:t>for</w:t>
      </w:r>
      <w:r w:rsidR="009F6B52" w:rsidRPr="00FA7FB1">
        <w:t xml:space="preserve"> </w:t>
      </w:r>
      <w:r w:rsidR="00FA7FB1" w:rsidRPr="00FA7FB1">
        <w:t>Irish Catholic</w:t>
      </w:r>
      <w:r w:rsidR="00360FD5">
        <w:t>s</w:t>
      </w:r>
      <w:r w:rsidR="008D7570" w:rsidRPr="00FA7FB1">
        <w:t xml:space="preserve">, and </w:t>
      </w:r>
      <w:r w:rsidR="00FA7FB1" w:rsidRPr="00FA7FB1">
        <w:t>long-term negative consequences from exposure to the famine</w:t>
      </w:r>
      <w:r w:rsidR="009F6B52">
        <w:t>, all of which merit closer examination in future research</w:t>
      </w:r>
      <w:r w:rsidR="008D7570" w:rsidRPr="00FA7FB1">
        <w:t xml:space="preserve">.  </w:t>
      </w:r>
    </w:p>
    <w:p w14:paraId="08CAEB43" w14:textId="5BCDB4EC" w:rsidR="00D81524" w:rsidRDefault="002A78DF" w:rsidP="009C06D3">
      <w:pPr>
        <w:widowControl w:val="0"/>
        <w:rPr>
          <w:color w:val="0000FF"/>
        </w:rPr>
      </w:pPr>
      <w:r w:rsidRPr="005916B2">
        <w:rPr>
          <w:color w:val="000000" w:themeColor="text1"/>
        </w:rPr>
        <w:tab/>
      </w:r>
      <w:r w:rsidR="003E67CB" w:rsidRPr="005916B2">
        <w:rPr>
          <w:color w:val="000000" w:themeColor="text1"/>
        </w:rPr>
        <w:t xml:space="preserve"> </w:t>
      </w:r>
      <w:r w:rsidR="001C1729" w:rsidRPr="005916B2">
        <w:rPr>
          <w:color w:val="000000" w:themeColor="text1"/>
        </w:rPr>
        <w:t>T</w:t>
      </w:r>
      <w:r w:rsidR="006B5D50" w:rsidRPr="005916B2">
        <w:rPr>
          <w:color w:val="000000" w:themeColor="text1"/>
        </w:rPr>
        <w:t>his paper</w:t>
      </w:r>
      <w:r w:rsidR="001C1729" w:rsidRPr="005916B2">
        <w:rPr>
          <w:color w:val="000000" w:themeColor="text1"/>
        </w:rPr>
        <w:t xml:space="preserve"> </w:t>
      </w:r>
      <w:r w:rsidR="001E7139" w:rsidRPr="005916B2">
        <w:rPr>
          <w:color w:val="000000" w:themeColor="text1"/>
        </w:rPr>
        <w:t xml:space="preserve">contributes </w:t>
      </w:r>
      <w:r w:rsidR="003E67CB" w:rsidRPr="005916B2">
        <w:rPr>
          <w:color w:val="000000" w:themeColor="text1"/>
        </w:rPr>
        <w:t>to the literature on the economics of immigration</w:t>
      </w:r>
      <w:r w:rsidR="006B3D15" w:rsidRPr="005916B2">
        <w:rPr>
          <w:color w:val="000000" w:themeColor="text1"/>
        </w:rPr>
        <w:t xml:space="preserve"> </w:t>
      </w:r>
      <w:r w:rsidR="001E7139" w:rsidRPr="005916B2">
        <w:rPr>
          <w:color w:val="000000" w:themeColor="text1"/>
        </w:rPr>
        <w:t>in several dimensions</w:t>
      </w:r>
      <w:r w:rsidR="003E67CB" w:rsidRPr="005916B2">
        <w:rPr>
          <w:color w:val="000000" w:themeColor="text1"/>
        </w:rPr>
        <w:t>.</w:t>
      </w:r>
      <w:r w:rsidR="0062426C" w:rsidRPr="005916B2">
        <w:rPr>
          <w:color w:val="000000" w:themeColor="text1"/>
        </w:rPr>
        <w:t xml:space="preserve"> </w:t>
      </w:r>
      <w:r w:rsidR="00D82102" w:rsidRPr="005916B2">
        <w:rPr>
          <w:color w:val="000000" w:themeColor="text1"/>
        </w:rPr>
        <w:t xml:space="preserve"> </w:t>
      </w:r>
      <w:r w:rsidR="00D0220E">
        <w:rPr>
          <w:color w:val="000000" w:themeColor="text1"/>
        </w:rPr>
        <w:t xml:space="preserve">Most directly, the </w:t>
      </w:r>
      <w:r w:rsidR="00D0220E" w:rsidRPr="005916B2">
        <w:rPr>
          <w:color w:val="000000" w:themeColor="text1"/>
        </w:rPr>
        <w:t xml:space="preserve">paper advances </w:t>
      </w:r>
      <w:r w:rsidR="00D0220E">
        <w:rPr>
          <w:color w:val="000000" w:themeColor="text1"/>
        </w:rPr>
        <w:t xml:space="preserve">our </w:t>
      </w:r>
      <w:r w:rsidR="00D0220E" w:rsidRPr="005916B2">
        <w:rPr>
          <w:color w:val="000000" w:themeColor="text1"/>
        </w:rPr>
        <w:t>knowledge of the Age of Mass Migration</w:t>
      </w:r>
      <w:r w:rsidR="00D0220E">
        <w:rPr>
          <w:color w:val="000000" w:themeColor="text1"/>
        </w:rPr>
        <w:t xml:space="preserve"> generally and of Irish migration during the </w:t>
      </w:r>
      <w:r w:rsidR="00F16FB7">
        <w:rPr>
          <w:color w:val="000000" w:themeColor="text1"/>
        </w:rPr>
        <w:t>f</w:t>
      </w:r>
      <w:r w:rsidR="00D0220E">
        <w:rPr>
          <w:color w:val="000000" w:themeColor="text1"/>
        </w:rPr>
        <w:t xml:space="preserve">amine specifically. </w:t>
      </w:r>
      <w:r w:rsidR="00BA3144">
        <w:rPr>
          <w:color w:val="000000" w:themeColor="text1"/>
        </w:rPr>
        <w:t xml:space="preserve"> </w:t>
      </w:r>
      <w:r w:rsidR="00D0220E">
        <w:rPr>
          <w:color w:val="000000" w:themeColor="text1"/>
        </w:rPr>
        <w:t xml:space="preserve">It is thus complementary to </w:t>
      </w:r>
      <w:r w:rsidR="00D0220E" w:rsidRPr="005916B2">
        <w:rPr>
          <w:color w:val="000000" w:themeColor="text1"/>
        </w:rPr>
        <w:t>research by Hatton and Williamson (1998), Ferrie (1999), Cohn (2009), and Abramitzky, Boustan, and Eriksson (2012, 2014), among others.</w:t>
      </w:r>
      <w:r w:rsidR="00D0220E">
        <w:rPr>
          <w:color w:val="000000" w:themeColor="text1"/>
        </w:rPr>
        <w:t xml:space="preserve">  By studying immigrants’ </w:t>
      </w:r>
      <w:r w:rsidR="00D0220E" w:rsidRPr="005916B2">
        <w:rPr>
          <w:color w:val="000000" w:themeColor="text1"/>
        </w:rPr>
        <w:t>experienc</w:t>
      </w:r>
      <w:r w:rsidR="00D0220E">
        <w:rPr>
          <w:color w:val="000000" w:themeColor="text1"/>
        </w:rPr>
        <w:t>es</w:t>
      </w:r>
      <w:r w:rsidR="00D0220E" w:rsidRPr="005916B2">
        <w:rPr>
          <w:color w:val="000000" w:themeColor="text1"/>
        </w:rPr>
        <w:t xml:space="preserve"> in the early portion of this period</w:t>
      </w:r>
      <w:r w:rsidR="00D0220E">
        <w:rPr>
          <w:color w:val="000000" w:themeColor="text1"/>
        </w:rPr>
        <w:t>,</w:t>
      </w:r>
      <w:r w:rsidR="00D0220E" w:rsidRPr="005916B2">
        <w:rPr>
          <w:color w:val="000000" w:themeColor="text1"/>
        </w:rPr>
        <w:t xml:space="preserve"> i</w:t>
      </w:r>
      <w:r w:rsidR="00D0220E">
        <w:rPr>
          <w:color w:val="000000" w:themeColor="text1"/>
        </w:rPr>
        <w:t>n contrast to a recent scholarship that has</w:t>
      </w:r>
      <w:r w:rsidR="00D0220E" w:rsidRPr="005916B2">
        <w:rPr>
          <w:color w:val="000000" w:themeColor="text1"/>
        </w:rPr>
        <w:t xml:space="preserve"> focus</w:t>
      </w:r>
      <w:r w:rsidR="00D0220E">
        <w:rPr>
          <w:color w:val="000000" w:themeColor="text1"/>
        </w:rPr>
        <w:t>ed</w:t>
      </w:r>
      <w:r w:rsidR="00D0220E" w:rsidRPr="005916B2">
        <w:rPr>
          <w:color w:val="000000" w:themeColor="text1"/>
        </w:rPr>
        <w:t xml:space="preserve"> on the post-1900 period</w:t>
      </w:r>
      <w:r w:rsidR="00D0220E">
        <w:rPr>
          <w:color w:val="000000" w:themeColor="text1"/>
        </w:rPr>
        <w:t xml:space="preserve">, the paper brings the </w:t>
      </w:r>
      <w:r w:rsidR="00F16FB7">
        <w:rPr>
          <w:color w:val="000000" w:themeColor="text1"/>
        </w:rPr>
        <w:t xml:space="preserve">first </w:t>
      </w:r>
      <w:r w:rsidR="00D0220E">
        <w:rPr>
          <w:color w:val="000000" w:themeColor="text1"/>
        </w:rPr>
        <w:t xml:space="preserve">cohorts of the Age of Mass Migration into sharper focus.  </w:t>
      </w:r>
      <w:r w:rsidR="00033DAC">
        <w:rPr>
          <w:color w:val="000000" w:themeColor="text1"/>
        </w:rPr>
        <w:t>More broadly,</w:t>
      </w:r>
      <w:r w:rsidR="00C56F7D">
        <w:rPr>
          <w:color w:val="000000" w:themeColor="text1"/>
        </w:rPr>
        <w:t xml:space="preserve"> stud</w:t>
      </w:r>
      <w:r w:rsidR="00C56F7D" w:rsidRPr="00F96079">
        <w:t>ying</w:t>
      </w:r>
      <w:r w:rsidR="00033DAC" w:rsidRPr="00F96079">
        <w:t xml:space="preserve"> </w:t>
      </w:r>
      <w:r w:rsidR="00C56F7D" w:rsidRPr="00F96079">
        <w:t xml:space="preserve">the experience of Irish famine-era migrants may yield broader insights into the economics of large-scale </w:t>
      </w:r>
      <w:r w:rsidR="00C56F7D" w:rsidRPr="00F96079">
        <w:lastRenderedPageBreak/>
        <w:t>migration due to natural or man-made disasters.</w:t>
      </w:r>
      <w:r w:rsidR="00C56F7D" w:rsidRPr="00F96079">
        <w:rPr>
          <w:rStyle w:val="FootnoteReference"/>
        </w:rPr>
        <w:footnoteReference w:id="10"/>
      </w:r>
      <w:r w:rsidR="00C56F7D" w:rsidRPr="00F96079">
        <w:t xml:space="preserve">  By studying a large wave of migrants and their offspring long before the implementation of restrictive immigration policies, the paper yields insight into the migration process and potential for assimilation in a setting where virtually open borders and lack of labor, housing, or other regulation allowed economic forces to predominate.</w:t>
      </w:r>
      <w:r w:rsidR="00A74E69" w:rsidRPr="00F96079">
        <w:t xml:space="preserve"> </w:t>
      </w:r>
      <w:r w:rsidR="00C56F7D" w:rsidRPr="00F96079">
        <w:t xml:space="preserve"> </w:t>
      </w:r>
      <w:r w:rsidR="001547C3">
        <w:rPr>
          <w:color w:val="000000" w:themeColor="text1"/>
        </w:rPr>
        <w:t xml:space="preserve">Finally, our </w:t>
      </w:r>
      <w:r w:rsidR="007E234C" w:rsidRPr="005916B2">
        <w:rPr>
          <w:color w:val="000000" w:themeColor="text1"/>
        </w:rPr>
        <w:t xml:space="preserve">emphasis on economic assimilation in the long </w:t>
      </w:r>
      <w:r w:rsidR="007E234C" w:rsidRPr="00F96079">
        <w:t>run speaks to a core theme of the international migration literature, both historical and contemporary.</w:t>
      </w:r>
      <w:r w:rsidR="007E234C" w:rsidRPr="00F96079">
        <w:rPr>
          <w:rStyle w:val="FootnoteReference"/>
        </w:rPr>
        <w:footnoteReference w:id="11"/>
      </w:r>
      <w:r w:rsidR="007E234C" w:rsidRPr="00F96079">
        <w:t xml:space="preserve">  </w:t>
      </w:r>
      <w:r w:rsidR="00033DAC" w:rsidRPr="00F96079">
        <w:t>Issues of migrant assimilation have become particularly salient</w:t>
      </w:r>
      <w:r w:rsidR="004F1A9D" w:rsidRPr="00F96079">
        <w:t xml:space="preserve"> in recent years,</w:t>
      </w:r>
      <w:r w:rsidR="00033DAC" w:rsidRPr="00F96079">
        <w:t xml:space="preserve"> as large numbers of refugees have sought residence in the United States and Europe (United Nations High Commissioner for Refugees 2017)</w:t>
      </w:r>
      <w:r w:rsidR="004F1A9D" w:rsidRPr="00F96079">
        <w:t>.  This has</w:t>
      </w:r>
      <w:r w:rsidR="00033DAC" w:rsidRPr="00F96079">
        <w:t xml:space="preserve"> fuel</w:t>
      </w:r>
      <w:r w:rsidR="004F1A9D" w:rsidRPr="00F96079">
        <w:t>ed</w:t>
      </w:r>
      <w:r w:rsidR="00033DAC" w:rsidRPr="00F96079">
        <w:t xml:space="preserve"> a debate in which concerns about immigrants’ assimilation have been cited as justification for more restrictive policies (e.g., Kelly 2018), such as proposals that potential entrants be screened to favor those with a greater “likelihood of successful assimilation and contribution to the United States” (US Department of State et al. 2017, p. 8). </w:t>
      </w:r>
      <w:r w:rsidR="004F1A9D" w:rsidRPr="00F96079">
        <w:t xml:space="preserve"> In the Irish case, we find that despite a notable deterioration in migrant selection and a significant political backlash, the migrants’ children converged strongly, albeit incompletely, on natives’ outcomes by 1880.  In this sense, they showed clear evidence of “assimilation and contribution” to the American economy. </w:t>
      </w:r>
    </w:p>
    <w:p w14:paraId="67B37C4A" w14:textId="77777777" w:rsidR="00C90FFF" w:rsidRDefault="00C90FFF" w:rsidP="009C06D3">
      <w:pPr>
        <w:widowControl w:val="0"/>
      </w:pPr>
    </w:p>
    <w:p w14:paraId="4C30B2BC" w14:textId="1821EFA8" w:rsidR="00F46470" w:rsidRDefault="0004699D" w:rsidP="009C06D3">
      <w:pPr>
        <w:widowControl w:val="0"/>
        <w:rPr>
          <w:b/>
        </w:rPr>
      </w:pPr>
      <w:r>
        <w:rPr>
          <w:b/>
        </w:rPr>
        <w:t>2</w:t>
      </w:r>
      <w:r w:rsidR="005C3C5B">
        <w:rPr>
          <w:b/>
        </w:rPr>
        <w:t xml:space="preserve">. </w:t>
      </w:r>
      <w:r w:rsidR="00F50545">
        <w:rPr>
          <w:b/>
        </w:rPr>
        <w:t>B</w:t>
      </w:r>
      <w:r w:rsidR="00DC455F" w:rsidRPr="00CA4C2C">
        <w:rPr>
          <w:b/>
        </w:rPr>
        <w:t>ackground</w:t>
      </w:r>
      <w:r w:rsidR="00126E93">
        <w:rPr>
          <w:b/>
        </w:rPr>
        <w:t xml:space="preserve"> on Ireland’s Great Famine</w:t>
      </w:r>
      <w:r w:rsidR="00CA4C2C">
        <w:rPr>
          <w:b/>
        </w:rPr>
        <w:t xml:space="preserve"> </w:t>
      </w:r>
      <w:r w:rsidR="0002644C">
        <w:rPr>
          <w:b/>
        </w:rPr>
        <w:t>and Migration</w:t>
      </w:r>
      <w:r w:rsidR="00F46470">
        <w:rPr>
          <w:b/>
        </w:rPr>
        <w:t xml:space="preserve"> to the US</w:t>
      </w:r>
    </w:p>
    <w:p w14:paraId="71A60A1D" w14:textId="584A69AF" w:rsidR="002235A3" w:rsidRDefault="00353830" w:rsidP="009C06D3">
      <w:pPr>
        <w:widowControl w:val="0"/>
        <w:ind w:firstLine="720"/>
        <w:rPr>
          <w:rFonts w:eastAsia="MS Mincho" w:cs="Times New Roman"/>
        </w:rPr>
      </w:pPr>
      <w:r>
        <w:rPr>
          <w:rFonts w:eastAsia="MS Mincho" w:cs="Times New Roman"/>
        </w:rPr>
        <w:t xml:space="preserve">On the eve of the Great Famine, two-thirds of Irish families were employed </w:t>
      </w:r>
      <w:r w:rsidR="00336625">
        <w:rPr>
          <w:rFonts w:eastAsia="MS Mincho" w:cs="Times New Roman"/>
        </w:rPr>
        <w:t xml:space="preserve">primarily </w:t>
      </w:r>
      <w:r>
        <w:rPr>
          <w:rFonts w:eastAsia="MS Mincho" w:cs="Times New Roman"/>
        </w:rPr>
        <w:t>in agriculture</w:t>
      </w:r>
      <w:r w:rsidRPr="00E85C10">
        <w:rPr>
          <w:rFonts w:eastAsia="MS Mincho" w:cs="Times New Roman"/>
        </w:rPr>
        <w:t xml:space="preserve"> (Commissioners 1843, p. xviii).  </w:t>
      </w:r>
      <w:r>
        <w:rPr>
          <w:rFonts w:eastAsia="MS Mincho" w:cs="Times New Roman"/>
        </w:rPr>
        <w:t xml:space="preserve">Most </w:t>
      </w:r>
      <w:r w:rsidRPr="00E85C10">
        <w:rPr>
          <w:rFonts w:eastAsia="MS Mincho" w:cs="Times New Roman"/>
        </w:rPr>
        <w:t>owned little or no land (Ó Gráda 1999, p. 25)</w:t>
      </w:r>
      <w:r w:rsidR="00073537">
        <w:rPr>
          <w:rFonts w:eastAsia="MS Mincho" w:cs="Times New Roman"/>
        </w:rPr>
        <w:t xml:space="preserve"> and</w:t>
      </w:r>
      <w:r w:rsidR="00404462">
        <w:rPr>
          <w:rFonts w:eastAsia="MS Mincho" w:cs="Times New Roman"/>
        </w:rPr>
        <w:t xml:space="preserve"> had few financial resources</w:t>
      </w:r>
      <w:r w:rsidR="002235A3">
        <w:rPr>
          <w:rFonts w:eastAsia="MS Mincho" w:cs="Times New Roman"/>
        </w:rPr>
        <w:t xml:space="preserve">. </w:t>
      </w:r>
      <w:r w:rsidR="00696DD1">
        <w:rPr>
          <w:rFonts w:eastAsia="MS Mincho" w:cs="Times New Roman"/>
        </w:rPr>
        <w:t xml:space="preserve"> </w:t>
      </w:r>
      <w:r w:rsidR="000858C3">
        <w:rPr>
          <w:rFonts w:eastAsia="MS Mincho" w:cs="Times New Roman"/>
        </w:rPr>
        <w:t xml:space="preserve">Widespread </w:t>
      </w:r>
      <w:r w:rsidR="002235A3">
        <w:rPr>
          <w:rFonts w:eastAsia="MS Mincho" w:cs="Times New Roman"/>
        </w:rPr>
        <w:t>poverty</w:t>
      </w:r>
      <w:r w:rsidR="00C26B2E">
        <w:rPr>
          <w:rFonts w:eastAsia="MS Mincho" w:cs="Times New Roman"/>
        </w:rPr>
        <w:t xml:space="preserve"> and</w:t>
      </w:r>
      <w:r w:rsidR="002235A3">
        <w:rPr>
          <w:rFonts w:eastAsia="MS Mincho" w:cs="Times New Roman"/>
        </w:rPr>
        <w:t xml:space="preserve"> heavy reliance on </w:t>
      </w:r>
      <w:r w:rsidR="000858C3">
        <w:rPr>
          <w:rFonts w:eastAsia="MS Mincho" w:cs="Times New Roman"/>
        </w:rPr>
        <w:t xml:space="preserve">the </w:t>
      </w:r>
      <w:r w:rsidR="002235A3">
        <w:rPr>
          <w:rFonts w:eastAsia="MS Mincho" w:cs="Times New Roman"/>
        </w:rPr>
        <w:t xml:space="preserve">potato left the Irish vulnerable to </w:t>
      </w:r>
      <w:r w:rsidR="00404462">
        <w:rPr>
          <w:rFonts w:eastAsia="MS Mincho" w:cs="Times New Roman"/>
        </w:rPr>
        <w:t xml:space="preserve">large and </w:t>
      </w:r>
      <w:r w:rsidR="002235A3">
        <w:rPr>
          <w:rFonts w:eastAsia="MS Mincho" w:cs="Times New Roman"/>
        </w:rPr>
        <w:t xml:space="preserve">repeated failures of the potato crop, as occurred in 1845 and 1846 </w:t>
      </w:r>
      <w:r w:rsidR="00404462">
        <w:rPr>
          <w:rFonts w:eastAsia="MS Mincho" w:cs="Times New Roman"/>
        </w:rPr>
        <w:t xml:space="preserve">due to the spread of </w:t>
      </w:r>
      <w:r w:rsidR="00DC28F1">
        <w:rPr>
          <w:rFonts w:eastAsia="MS Mincho" w:cs="Times New Roman"/>
        </w:rPr>
        <w:t>a microorganism that causes blight</w:t>
      </w:r>
      <w:r w:rsidR="00404462">
        <w:rPr>
          <w:rFonts w:eastAsia="MS Mincho" w:cs="Times New Roman"/>
        </w:rPr>
        <w:t xml:space="preserve"> (</w:t>
      </w:r>
      <w:r w:rsidR="00404462" w:rsidRPr="00404462">
        <w:rPr>
          <w:i/>
        </w:rPr>
        <w:t>Phytophthora infestans</w:t>
      </w:r>
      <w:r w:rsidR="00404462">
        <w:rPr>
          <w:rFonts w:eastAsia="MS Mincho" w:cs="Times New Roman"/>
        </w:rPr>
        <w:t>)</w:t>
      </w:r>
      <w:r w:rsidR="002235A3" w:rsidRPr="00E85C10">
        <w:rPr>
          <w:rFonts w:eastAsia="MS Mincho" w:cs="Times New Roman"/>
        </w:rPr>
        <w:t>.</w:t>
      </w:r>
      <w:r w:rsidR="00404462">
        <w:rPr>
          <w:rFonts w:eastAsia="MS Mincho" w:cs="Times New Roman"/>
        </w:rPr>
        <w:t xml:space="preserve">  </w:t>
      </w:r>
      <w:r w:rsidR="002235A3">
        <w:rPr>
          <w:rFonts w:eastAsia="MS Mincho" w:cs="Times New Roman"/>
        </w:rPr>
        <w:t>By late 1846, Ireland was in the grips of a</w:t>
      </w:r>
      <w:r w:rsidR="002A5749">
        <w:rPr>
          <w:rFonts w:eastAsia="MS Mincho" w:cs="Times New Roman"/>
        </w:rPr>
        <w:t xml:space="preserve"> historic</w:t>
      </w:r>
      <w:r w:rsidR="002235A3">
        <w:rPr>
          <w:rFonts w:eastAsia="MS Mincho" w:cs="Times New Roman"/>
        </w:rPr>
        <w:t xml:space="preserve"> famine</w:t>
      </w:r>
      <w:r w:rsidR="00765EBF">
        <w:rPr>
          <w:rFonts w:eastAsia="MS Mincho" w:cs="Times New Roman"/>
        </w:rPr>
        <w:t xml:space="preserve">.  </w:t>
      </w:r>
      <w:r w:rsidR="00765EBF" w:rsidRPr="00F96079">
        <w:rPr>
          <w:rFonts w:eastAsia="MS Mincho" w:cs="Times New Roman"/>
        </w:rPr>
        <w:t xml:space="preserve">The relatively good yields of 1847 were of little avail as farmers had shifted away from planting potatoes. </w:t>
      </w:r>
      <w:r w:rsidR="00765EBF" w:rsidRPr="00CE05E6">
        <w:rPr>
          <w:rFonts w:eastAsia="MS Mincho" w:cs="Times New Roman"/>
        </w:rPr>
        <w:t xml:space="preserve"> The </w:t>
      </w:r>
      <w:r w:rsidR="00765EBF">
        <w:rPr>
          <w:rFonts w:eastAsia="MS Mincho" w:cs="Times New Roman"/>
        </w:rPr>
        <w:t>famine was</w:t>
      </w:r>
      <w:r w:rsidR="002235A3">
        <w:rPr>
          <w:rFonts w:eastAsia="MS Mincho" w:cs="Times New Roman"/>
        </w:rPr>
        <w:t xml:space="preserve"> </w:t>
      </w:r>
      <w:r w:rsidR="00765EBF">
        <w:rPr>
          <w:rFonts w:eastAsia="MS Mincho" w:cs="Times New Roman"/>
        </w:rPr>
        <w:t xml:space="preserve">then </w:t>
      </w:r>
      <w:r w:rsidR="002235A3">
        <w:rPr>
          <w:rFonts w:eastAsia="MS Mincho" w:cs="Times New Roman"/>
        </w:rPr>
        <w:t>exacerbated by crop failures in 1848 and</w:t>
      </w:r>
      <w:r w:rsidR="005F1D07">
        <w:rPr>
          <w:rFonts w:eastAsia="MS Mincho" w:cs="Times New Roman"/>
        </w:rPr>
        <w:t>,</w:t>
      </w:r>
      <w:r w:rsidR="002235A3">
        <w:rPr>
          <w:rFonts w:eastAsia="MS Mincho" w:cs="Times New Roman"/>
        </w:rPr>
        <w:t xml:space="preserve"> less severely</w:t>
      </w:r>
      <w:r w:rsidR="005F1D07">
        <w:rPr>
          <w:rFonts w:eastAsia="MS Mincho" w:cs="Times New Roman"/>
        </w:rPr>
        <w:t xml:space="preserve">, </w:t>
      </w:r>
      <w:r w:rsidR="002235A3">
        <w:rPr>
          <w:rFonts w:eastAsia="MS Mincho" w:cs="Times New Roman"/>
        </w:rPr>
        <w:t>in 1849 and 1850.</w:t>
      </w:r>
      <w:r w:rsidR="002235A3">
        <w:rPr>
          <w:rStyle w:val="FootnoteReference"/>
          <w:rFonts w:eastAsia="MS Mincho" w:cs="Times New Roman"/>
        </w:rPr>
        <w:footnoteReference w:id="12"/>
      </w:r>
      <w:r w:rsidR="00765EBF">
        <w:rPr>
          <w:rFonts w:eastAsia="MS Mincho" w:cs="Times New Roman"/>
        </w:rPr>
        <w:t xml:space="preserve"> </w:t>
      </w:r>
    </w:p>
    <w:p w14:paraId="1105C65F" w14:textId="1A10F646" w:rsidR="0080681A" w:rsidRDefault="0080681A" w:rsidP="009C06D3">
      <w:pPr>
        <w:widowControl w:val="0"/>
        <w:ind w:firstLine="720"/>
        <w:rPr>
          <w:rFonts w:eastAsia="MS Mincho" w:cs="Times New Roman"/>
        </w:rPr>
      </w:pPr>
      <w:r>
        <w:rPr>
          <w:rFonts w:eastAsia="MS Mincho" w:cs="Times New Roman"/>
        </w:rPr>
        <w:t xml:space="preserve">Even </w:t>
      </w:r>
      <w:r w:rsidR="007D1DC0">
        <w:rPr>
          <w:rFonts w:eastAsia="MS Mincho" w:cs="Times New Roman"/>
        </w:rPr>
        <w:t xml:space="preserve">before </w:t>
      </w:r>
      <w:r>
        <w:rPr>
          <w:rFonts w:eastAsia="MS Mincho" w:cs="Times New Roman"/>
        </w:rPr>
        <w:t xml:space="preserve">the </w:t>
      </w:r>
      <w:r w:rsidR="007D1DC0">
        <w:rPr>
          <w:rFonts w:eastAsia="MS Mincho" w:cs="Times New Roman"/>
        </w:rPr>
        <w:t>f</w:t>
      </w:r>
      <w:r>
        <w:rPr>
          <w:rFonts w:eastAsia="MS Mincho" w:cs="Times New Roman"/>
        </w:rPr>
        <w:t xml:space="preserve">amine, </w:t>
      </w:r>
      <w:r w:rsidR="007D1DC0">
        <w:rPr>
          <w:rFonts w:eastAsia="MS Mincho" w:cs="Times New Roman"/>
        </w:rPr>
        <w:t>the m</w:t>
      </w:r>
      <w:r>
        <w:rPr>
          <w:rFonts w:eastAsia="MS Mincho" w:cs="Times New Roman"/>
        </w:rPr>
        <w:t>igration</w:t>
      </w:r>
      <w:r w:rsidR="007D1DC0">
        <w:rPr>
          <w:rFonts w:eastAsia="MS Mincho" w:cs="Times New Roman"/>
        </w:rPr>
        <w:t xml:space="preserve"> flow</w:t>
      </w:r>
      <w:r>
        <w:rPr>
          <w:rFonts w:eastAsia="MS Mincho" w:cs="Times New Roman"/>
        </w:rPr>
        <w:t xml:space="preserve"> from Ireland to the US</w:t>
      </w:r>
      <w:r w:rsidR="007D1DC0">
        <w:rPr>
          <w:rFonts w:eastAsia="MS Mincho" w:cs="Times New Roman"/>
        </w:rPr>
        <w:t xml:space="preserve"> was substantial</w:t>
      </w:r>
      <w:r w:rsidR="00532EEF">
        <w:rPr>
          <w:rFonts w:eastAsia="MS Mincho" w:cs="Times New Roman"/>
        </w:rPr>
        <w:t xml:space="preserve"> (Mokyr and Ó Gráda 1982)</w:t>
      </w:r>
      <w:r w:rsidR="0008057E">
        <w:rPr>
          <w:rFonts w:eastAsia="MS Mincho" w:cs="Times New Roman"/>
        </w:rPr>
        <w:t xml:space="preserve">. </w:t>
      </w:r>
      <w:r w:rsidR="007D1DC0">
        <w:rPr>
          <w:rFonts w:eastAsia="MS Mincho" w:cs="Times New Roman"/>
        </w:rPr>
        <w:t xml:space="preserve"> </w:t>
      </w:r>
      <w:r>
        <w:rPr>
          <w:rFonts w:cs="Times New Roman"/>
        </w:rPr>
        <w:t xml:space="preserve">Historians suggest that </w:t>
      </w:r>
      <w:r>
        <w:rPr>
          <w:rFonts w:eastAsia="MS Mincho" w:cs="Times New Roman"/>
        </w:rPr>
        <w:t xml:space="preserve">pre-famine migrants were likely drawn from above the Irish median in terms of skill and socioeconomic status, but perhaps less so over time </w:t>
      </w:r>
      <w:r w:rsidR="0008057E">
        <w:rPr>
          <w:rFonts w:eastAsia="MS Mincho" w:cs="Times New Roman"/>
        </w:rPr>
        <w:t xml:space="preserve">as costs of migration declined </w:t>
      </w:r>
      <w:r>
        <w:rPr>
          <w:rFonts w:eastAsia="MS Mincho" w:cs="Times New Roman"/>
        </w:rPr>
        <w:t>(Miller 1985, pp. 193-201).  Consistent with the impression of positive selection, whereas approximately 40 percent of men</w:t>
      </w:r>
      <w:r w:rsidR="00F81BED">
        <w:rPr>
          <w:rFonts w:eastAsia="MS Mincho" w:cs="Times New Roman"/>
        </w:rPr>
        <w:t xml:space="preserve"> (ages 16-45)</w:t>
      </w:r>
      <w:r>
        <w:rPr>
          <w:rFonts w:eastAsia="MS Mincho" w:cs="Times New Roman"/>
        </w:rPr>
        <w:t xml:space="preserve"> in Ireland could</w:t>
      </w:r>
      <w:r w:rsidR="00F81BED">
        <w:rPr>
          <w:rFonts w:eastAsia="MS Mincho" w:cs="Times New Roman"/>
        </w:rPr>
        <w:t xml:space="preserve"> neither read nor write in 1841</w:t>
      </w:r>
      <w:r>
        <w:rPr>
          <w:rFonts w:eastAsia="MS Mincho" w:cs="Times New Roman"/>
        </w:rPr>
        <w:t xml:space="preserve"> (Commissioners 1843, p. xxxvi), only 15 percent of Irish-born men</w:t>
      </w:r>
      <w:r w:rsidR="00F81BED">
        <w:rPr>
          <w:rFonts w:eastAsia="MS Mincho" w:cs="Times New Roman"/>
        </w:rPr>
        <w:t xml:space="preserve"> (ages 25-54)</w:t>
      </w:r>
      <w:r>
        <w:rPr>
          <w:rFonts w:eastAsia="MS Mincho" w:cs="Times New Roman"/>
        </w:rPr>
        <w:t xml:space="preserve"> were classified as illiterate in the 1850 US census.</w:t>
      </w:r>
      <w:r>
        <w:rPr>
          <w:rStyle w:val="FootnoteReference"/>
          <w:rFonts w:eastAsia="MS Mincho" w:cs="Times New Roman"/>
        </w:rPr>
        <w:footnoteReference w:id="13"/>
      </w:r>
    </w:p>
    <w:p w14:paraId="45966F09" w14:textId="5556794B" w:rsidR="00224060" w:rsidRDefault="0060680C" w:rsidP="00E93489">
      <w:pPr>
        <w:widowControl w:val="0"/>
        <w:ind w:firstLine="720"/>
        <w:rPr>
          <w:rFonts w:eastAsia="MS Mincho" w:cs="Times New Roman"/>
        </w:rPr>
      </w:pPr>
      <w:r>
        <w:rPr>
          <w:rFonts w:eastAsia="MS Mincho" w:cs="Times New Roman"/>
        </w:rPr>
        <w:t xml:space="preserve">The bulk of the Irish famine emigrants, including many of those who originally landed in Canada, settled in the US (McInnis 2000; Cohn 2009).  Passenger records from US ports of entry suggest that the </w:t>
      </w:r>
      <w:r w:rsidRPr="00A6067F">
        <w:rPr>
          <w:rFonts w:eastAsia="MS Mincho" w:cs="Times New Roman"/>
        </w:rPr>
        <w:t xml:space="preserve">annual rate of Irish immigration </w:t>
      </w:r>
      <w:r>
        <w:rPr>
          <w:rFonts w:eastAsia="MS Mincho" w:cs="Times New Roman"/>
        </w:rPr>
        <w:t>n</w:t>
      </w:r>
      <w:r w:rsidRPr="00A6067F">
        <w:rPr>
          <w:rFonts w:eastAsia="MS Mincho" w:cs="Times New Roman"/>
        </w:rPr>
        <w:t>early doubled with the</w:t>
      </w:r>
      <w:r>
        <w:rPr>
          <w:rFonts w:eastAsia="MS Mincho" w:cs="Times New Roman"/>
        </w:rPr>
        <w:t xml:space="preserve"> famine’s onset.</w:t>
      </w:r>
      <w:r w:rsidRPr="00A6067F">
        <w:rPr>
          <w:rFonts w:eastAsia="MS Mincho" w:cs="Times New Roman"/>
          <w:vertAlign w:val="superscript"/>
        </w:rPr>
        <w:footnoteReference w:id="14"/>
      </w:r>
      <w:r>
        <w:rPr>
          <w:rFonts w:eastAsia="MS Mincho" w:cs="Times New Roman"/>
        </w:rPr>
        <w:t xml:space="preserve">  By June 1850, when the US population census was taken, there were nearly one million Irish-born residents.  </w:t>
      </w:r>
      <w:r w:rsidR="001B7390">
        <w:rPr>
          <w:rFonts w:eastAsia="MS Mincho" w:cs="Times New Roman"/>
        </w:rPr>
        <w:t>To be sure</w:t>
      </w:r>
      <w:r w:rsidR="00336625">
        <w:rPr>
          <w:rFonts w:eastAsia="MS Mincho" w:cs="Times New Roman"/>
        </w:rPr>
        <w:t>,</w:t>
      </w:r>
      <w:r w:rsidR="00353830" w:rsidRPr="00091439">
        <w:rPr>
          <w:rFonts w:eastAsia="MS Mincho" w:cs="Times New Roman"/>
        </w:rPr>
        <w:t xml:space="preserve"> some of those who migrated during the famine would have left</w:t>
      </w:r>
      <w:r>
        <w:rPr>
          <w:rFonts w:eastAsia="MS Mincho" w:cs="Times New Roman"/>
        </w:rPr>
        <w:t xml:space="preserve"> Ireland</w:t>
      </w:r>
      <w:r w:rsidR="00353830" w:rsidRPr="00091439">
        <w:rPr>
          <w:rFonts w:eastAsia="MS Mincho" w:cs="Times New Roman"/>
        </w:rPr>
        <w:t xml:space="preserve"> in any case. </w:t>
      </w:r>
      <w:r w:rsidR="009846CF">
        <w:rPr>
          <w:rFonts w:eastAsia="MS Mincho" w:cs="Times New Roman"/>
        </w:rPr>
        <w:t xml:space="preserve"> </w:t>
      </w:r>
      <w:r w:rsidR="00353830" w:rsidRPr="00091439">
        <w:rPr>
          <w:rFonts w:eastAsia="MS Mincho" w:cs="Times New Roman"/>
        </w:rPr>
        <w:t>But Ó Gráda points out that</w:t>
      </w:r>
      <w:r w:rsidR="005F1D07">
        <w:rPr>
          <w:rFonts w:eastAsia="MS Mincho" w:cs="Times New Roman"/>
        </w:rPr>
        <w:t xml:space="preserve"> </w:t>
      </w:r>
      <w:r w:rsidR="00353830" w:rsidRPr="00091439">
        <w:rPr>
          <w:rFonts w:eastAsia="MS Mincho" w:cs="Times New Roman"/>
        </w:rPr>
        <w:t>“</w:t>
      </w:r>
      <w:r w:rsidR="005F1D07">
        <w:rPr>
          <w:rFonts w:eastAsia="MS Mincho" w:cs="Times New Roman"/>
        </w:rPr>
        <w:t>…</w:t>
      </w:r>
      <w:r w:rsidR="00066A1C">
        <w:rPr>
          <w:rFonts w:eastAsia="MS Mincho" w:cs="Times New Roman"/>
        </w:rPr>
        <w:t xml:space="preserve"> </w:t>
      </w:r>
      <w:r w:rsidR="005F1D07">
        <w:rPr>
          <w:rFonts w:eastAsia="MS Mincho" w:cs="Times New Roman"/>
        </w:rPr>
        <w:t>m</w:t>
      </w:r>
      <w:r w:rsidR="00353830" w:rsidRPr="00091439">
        <w:rPr>
          <w:rFonts w:eastAsia="MS Mincho" w:cs="Times New Roman"/>
        </w:rPr>
        <w:t>ost of the mass emigration of the late 1840s was part of the famine tragedy.  It was push migration with a vengeance, and its tragic character has been rightly at the center of historical writings about it” (1999, p. 105).  Miller writes of a “mass, indiscriminate rush to leave” Ireland in the wake of the potato blight (1985, p. 292).</w:t>
      </w:r>
      <w:r w:rsidR="00353830">
        <w:rPr>
          <w:rFonts w:eastAsia="MS Mincho" w:cs="Times New Roman"/>
        </w:rPr>
        <w:t xml:space="preserve">  </w:t>
      </w:r>
      <w:r w:rsidR="00353830" w:rsidRPr="00091439">
        <w:rPr>
          <w:rFonts w:eastAsia="MS Mincho" w:cs="Times New Roman"/>
        </w:rPr>
        <w:t>Many of the migrants were making a leap of faith in a desperate context</w:t>
      </w:r>
      <w:r w:rsidR="0091275E">
        <w:rPr>
          <w:rFonts w:eastAsia="MS Mincho" w:cs="Times New Roman"/>
        </w:rPr>
        <w:t xml:space="preserve"> characterized by widespread death and social collapse</w:t>
      </w:r>
      <w:r w:rsidR="00353830" w:rsidRPr="00091439">
        <w:rPr>
          <w:rFonts w:eastAsia="MS Mincho" w:cs="Times New Roman"/>
        </w:rPr>
        <w:t>.</w:t>
      </w:r>
      <w:r w:rsidR="0067056A">
        <w:rPr>
          <w:rFonts w:eastAsia="MS Mincho" w:cs="Times New Roman"/>
        </w:rPr>
        <w:t xml:space="preserve"> </w:t>
      </w:r>
      <w:r w:rsidR="0091275E">
        <w:rPr>
          <w:rFonts w:eastAsia="MS Mincho" w:cs="Times New Roman"/>
        </w:rPr>
        <w:t xml:space="preserve"> </w:t>
      </w:r>
      <w:r w:rsidR="00B83D3E">
        <w:rPr>
          <w:rFonts w:eastAsia="MS Mincho" w:cs="Times New Roman"/>
        </w:rPr>
        <w:t>Like modern day refugees, their departure was precipitated by an imminent threat to survival, often undertaken hastily, and</w:t>
      </w:r>
      <w:r w:rsidR="00E93489">
        <w:rPr>
          <w:rFonts w:eastAsia="MS Mincho" w:cs="Times New Roman"/>
        </w:rPr>
        <w:t xml:space="preserve"> generally irreversible.</w:t>
      </w:r>
      <w:r w:rsidR="00E93489">
        <w:rPr>
          <w:rStyle w:val="FootnoteReference"/>
          <w:rFonts w:eastAsia="MS Mincho" w:cs="Times New Roman"/>
        </w:rPr>
        <w:footnoteReference w:id="15"/>
      </w:r>
      <w:r w:rsidR="00E93489">
        <w:rPr>
          <w:rFonts w:eastAsia="MS Mincho" w:cs="Times New Roman"/>
        </w:rPr>
        <w:t xml:space="preserve"> </w:t>
      </w:r>
      <w:r w:rsidR="007C49D0">
        <w:rPr>
          <w:rFonts w:eastAsia="MS Mincho" w:cs="Times New Roman"/>
        </w:rPr>
        <w:t xml:space="preserve"> </w:t>
      </w:r>
      <w:r w:rsidR="0091275E">
        <w:rPr>
          <w:rFonts w:eastAsia="MS Mincho" w:cs="Times New Roman"/>
        </w:rPr>
        <w:t xml:space="preserve">A major difference, of course, is that migrants fleeing to the US during the famine did not face the legal restrictions on </w:t>
      </w:r>
      <w:r>
        <w:rPr>
          <w:rFonts w:eastAsia="MS Mincho" w:cs="Times New Roman"/>
        </w:rPr>
        <w:t>entry</w:t>
      </w:r>
      <w:r w:rsidR="0091275E">
        <w:rPr>
          <w:rFonts w:eastAsia="MS Mincho" w:cs="Times New Roman"/>
        </w:rPr>
        <w:t xml:space="preserve"> that are prevalent today. </w:t>
      </w:r>
    </w:p>
    <w:p w14:paraId="683E0718" w14:textId="1541BA8D" w:rsidR="0067056A" w:rsidRPr="00305892" w:rsidRDefault="00305892" w:rsidP="009C06D3">
      <w:pPr>
        <w:widowControl w:val="0"/>
        <w:ind w:firstLine="720"/>
        <w:rPr>
          <w:rFonts w:eastAsia="MS Mincho" w:cs="Times New Roman"/>
        </w:rPr>
      </w:pPr>
      <w:r>
        <w:rPr>
          <w:rFonts w:eastAsia="MS Mincho" w:cs="Times New Roman"/>
        </w:rPr>
        <w:t xml:space="preserve">In addition to </w:t>
      </w:r>
      <w:r w:rsidR="00517F9C">
        <w:rPr>
          <w:rFonts w:eastAsia="MS Mincho" w:cs="Times New Roman"/>
        </w:rPr>
        <w:t xml:space="preserve">generating </w:t>
      </w:r>
      <w:r>
        <w:rPr>
          <w:rFonts w:eastAsia="MS Mincho" w:cs="Times New Roman"/>
        </w:rPr>
        <w:t>a surge in the volume of migration, t</w:t>
      </w:r>
      <w:r w:rsidRPr="00A6067F">
        <w:rPr>
          <w:rFonts w:eastAsia="MS Mincho" w:cs="Times New Roman"/>
        </w:rPr>
        <w:t>he</w:t>
      </w:r>
      <w:r>
        <w:rPr>
          <w:rFonts w:eastAsia="MS Mincho" w:cs="Times New Roman"/>
        </w:rPr>
        <w:t>re are indications</w:t>
      </w:r>
      <w:r w:rsidR="007D1DC0">
        <w:rPr>
          <w:rFonts w:eastAsia="MS Mincho" w:cs="Times New Roman"/>
        </w:rPr>
        <w:t xml:space="preserve"> that the famine </w:t>
      </w:r>
      <w:r w:rsidR="003D58CF">
        <w:rPr>
          <w:rFonts w:eastAsia="MS Mincho" w:cs="Times New Roman"/>
        </w:rPr>
        <w:t>may have led</w:t>
      </w:r>
      <w:r w:rsidR="007D1DC0">
        <w:rPr>
          <w:rFonts w:eastAsia="MS Mincho" w:cs="Times New Roman"/>
        </w:rPr>
        <w:t xml:space="preserve"> to a change in </w:t>
      </w:r>
      <w:r w:rsidRPr="00A6067F">
        <w:rPr>
          <w:rFonts w:eastAsia="MS Mincho" w:cs="Times New Roman"/>
        </w:rPr>
        <w:t xml:space="preserve">the </w:t>
      </w:r>
      <w:r w:rsidR="005845AF">
        <w:rPr>
          <w:rFonts w:eastAsia="MS Mincho" w:cs="Times New Roman"/>
        </w:rPr>
        <w:t>composition</w:t>
      </w:r>
      <w:r w:rsidRPr="00A6067F">
        <w:rPr>
          <w:rFonts w:eastAsia="MS Mincho" w:cs="Times New Roman"/>
        </w:rPr>
        <w:t xml:space="preserve"> of Irish</w:t>
      </w:r>
      <w:r w:rsidR="003D58CF">
        <w:rPr>
          <w:rFonts w:eastAsia="MS Mincho" w:cs="Times New Roman"/>
        </w:rPr>
        <w:t xml:space="preserve"> </w:t>
      </w:r>
      <w:r>
        <w:rPr>
          <w:rFonts w:eastAsia="MS Mincho" w:cs="Times New Roman"/>
        </w:rPr>
        <w:t>migration to the US.</w:t>
      </w:r>
      <w:r w:rsidR="003D58CF">
        <w:rPr>
          <w:rFonts w:eastAsia="MS Mincho" w:cs="Times New Roman"/>
        </w:rPr>
        <w:t xml:space="preserve">  </w:t>
      </w:r>
      <w:r w:rsidR="00551078">
        <w:rPr>
          <w:rFonts w:eastAsia="MS Mincho" w:cs="Times New Roman"/>
        </w:rPr>
        <w:t xml:space="preserve">Some clues come from </w:t>
      </w:r>
      <w:r w:rsidR="003D58CF">
        <w:rPr>
          <w:rFonts w:eastAsia="MS Mincho" w:cs="Times New Roman"/>
        </w:rPr>
        <w:t xml:space="preserve">fragmentary information on </w:t>
      </w:r>
      <w:r w:rsidR="00551078">
        <w:rPr>
          <w:rFonts w:eastAsia="MS Mincho" w:cs="Times New Roman"/>
        </w:rPr>
        <w:t>the migrants</w:t>
      </w:r>
      <w:r w:rsidR="003D58CF">
        <w:rPr>
          <w:rFonts w:eastAsia="MS Mincho" w:cs="Times New Roman"/>
        </w:rPr>
        <w:t>’ places of origin</w:t>
      </w:r>
      <w:r w:rsidR="00551078">
        <w:rPr>
          <w:rFonts w:eastAsia="MS Mincho" w:cs="Times New Roman"/>
        </w:rPr>
        <w:t>.</w:t>
      </w:r>
      <w:r w:rsidR="003D58CF">
        <w:rPr>
          <w:rFonts w:eastAsia="MS Mincho" w:cs="Times New Roman"/>
        </w:rPr>
        <w:t xml:space="preserve"> </w:t>
      </w:r>
      <w:r w:rsidR="00551078">
        <w:rPr>
          <w:rFonts w:eastAsia="MS Mincho" w:cs="Times New Roman"/>
        </w:rPr>
        <w:t xml:space="preserve"> </w:t>
      </w:r>
      <w:r w:rsidR="003D58CF">
        <w:rPr>
          <w:rFonts w:eastAsia="MS Mincho" w:cs="Times New Roman"/>
        </w:rPr>
        <w:t>It</w:t>
      </w:r>
      <w:r w:rsidR="00BA0987">
        <w:rPr>
          <w:rFonts w:cs="Times New Roman"/>
        </w:rPr>
        <w:t xml:space="preserve"> appears that</w:t>
      </w:r>
      <w:r w:rsidR="00353830" w:rsidRPr="00A6067F">
        <w:rPr>
          <w:rFonts w:cs="Times New Roman"/>
        </w:rPr>
        <w:t xml:space="preserve"> the main sources </w:t>
      </w:r>
      <w:r w:rsidR="00F55E13">
        <w:rPr>
          <w:rFonts w:cs="Times New Roman"/>
        </w:rPr>
        <w:t>shifted</w:t>
      </w:r>
      <w:r w:rsidR="00A4340A">
        <w:rPr>
          <w:rFonts w:cs="Times New Roman"/>
        </w:rPr>
        <w:t xml:space="preserve"> somewhat</w:t>
      </w:r>
      <w:r w:rsidR="00353830" w:rsidRPr="00A6067F">
        <w:rPr>
          <w:rFonts w:cs="Times New Roman"/>
        </w:rPr>
        <w:t xml:space="preserve"> from the North and East (Ulster and Leinster) toward the South and the West (Munster and Connacht)</w:t>
      </w:r>
      <w:r w:rsidR="00353830">
        <w:rPr>
          <w:rFonts w:cs="Times New Roman"/>
        </w:rPr>
        <w:t xml:space="preserve"> (</w:t>
      </w:r>
      <w:r w:rsidR="009A1FE8" w:rsidRPr="00A6067F">
        <w:rPr>
          <w:rFonts w:cs="Times New Roman"/>
        </w:rPr>
        <w:t>Ó Grá</w:t>
      </w:r>
      <w:r w:rsidR="009A1FE8">
        <w:rPr>
          <w:rFonts w:cs="Times New Roman"/>
        </w:rPr>
        <w:t xml:space="preserve">da </w:t>
      </w:r>
      <w:r w:rsidR="009A1FE8" w:rsidRPr="00A6067F">
        <w:rPr>
          <w:rFonts w:cs="Times New Roman"/>
        </w:rPr>
        <w:t>1999, p. 113</w:t>
      </w:r>
      <w:r w:rsidR="009A1FE8">
        <w:rPr>
          <w:rFonts w:cs="Times New Roman"/>
        </w:rPr>
        <w:t xml:space="preserve">; </w:t>
      </w:r>
      <w:r w:rsidR="00353830">
        <w:rPr>
          <w:rFonts w:cs="Times New Roman"/>
        </w:rPr>
        <w:t xml:space="preserve">Anbinder and McCaffrey 2015; </w:t>
      </w:r>
      <w:r w:rsidR="00FD567D">
        <w:rPr>
          <w:rFonts w:cs="Times New Roman"/>
        </w:rPr>
        <w:t>Anbinder, Ó Gráda, and Wegge 2017</w:t>
      </w:r>
      <w:r w:rsidR="00353830" w:rsidRPr="00A6067F">
        <w:rPr>
          <w:rFonts w:cs="Times New Roman"/>
        </w:rPr>
        <w:t>)</w:t>
      </w:r>
      <w:r w:rsidR="002E3F95">
        <w:rPr>
          <w:rFonts w:cs="Times New Roman"/>
        </w:rPr>
        <w:t>.</w:t>
      </w:r>
      <w:r w:rsidR="00353830" w:rsidRPr="00A6067F">
        <w:rPr>
          <w:rFonts w:cs="Times New Roman"/>
        </w:rPr>
        <w:t xml:space="preserve"> </w:t>
      </w:r>
      <w:r w:rsidR="00650056">
        <w:rPr>
          <w:rFonts w:cs="Times New Roman"/>
        </w:rPr>
        <w:t xml:space="preserve"> </w:t>
      </w:r>
      <w:r w:rsidR="0099238D">
        <w:rPr>
          <w:rFonts w:cs="Times New Roman"/>
        </w:rPr>
        <w:t xml:space="preserve">This </w:t>
      </w:r>
      <w:r w:rsidR="00353830" w:rsidRPr="00A6067F">
        <w:rPr>
          <w:rFonts w:cs="Times New Roman"/>
        </w:rPr>
        <w:t xml:space="preserve">suggests that the characteristics of </w:t>
      </w:r>
      <w:r w:rsidR="00353830">
        <w:rPr>
          <w:rFonts w:cs="Times New Roman"/>
        </w:rPr>
        <w:t>migrants may have changed</w:t>
      </w:r>
      <w:r w:rsidR="006A2D3F">
        <w:rPr>
          <w:rFonts w:cs="Times New Roman"/>
        </w:rPr>
        <w:t xml:space="preserve"> because r</w:t>
      </w:r>
      <w:r w:rsidR="00353830" w:rsidRPr="00A6067F">
        <w:rPr>
          <w:rFonts w:cs="Times New Roman"/>
        </w:rPr>
        <w:t>esidents of the South and West were more agricultural and less literate than elsewhere</w:t>
      </w:r>
      <w:r w:rsidR="005C621A">
        <w:rPr>
          <w:rFonts w:cs="Times New Roman"/>
        </w:rPr>
        <w:t xml:space="preserve"> (Commissioners 1843, Geary 1996</w:t>
      </w:r>
      <w:r w:rsidR="00353830" w:rsidRPr="00A6067F">
        <w:rPr>
          <w:rFonts w:cs="Times New Roman"/>
        </w:rPr>
        <w:t xml:space="preserve">); they were also more likely </w:t>
      </w:r>
      <w:r w:rsidR="00BA0987">
        <w:rPr>
          <w:rFonts w:cs="Times New Roman"/>
        </w:rPr>
        <w:t xml:space="preserve">to be </w:t>
      </w:r>
      <w:r w:rsidR="00353830" w:rsidRPr="00A6067F">
        <w:rPr>
          <w:rFonts w:cs="Times New Roman"/>
        </w:rPr>
        <w:t>Catholic and to speak Irish.</w:t>
      </w:r>
      <w:r w:rsidR="00E47F9C">
        <w:rPr>
          <w:rFonts w:cs="Times New Roman"/>
        </w:rPr>
        <w:t xml:space="preserve"> </w:t>
      </w:r>
      <w:r w:rsidR="003D58CF">
        <w:rPr>
          <w:rFonts w:cs="Times New Roman"/>
        </w:rPr>
        <w:t xml:space="preserve"> </w:t>
      </w:r>
      <w:r w:rsidR="00B63FCF">
        <w:rPr>
          <w:rFonts w:cs="Times New Roman"/>
        </w:rPr>
        <w:t>P</w:t>
      </w:r>
      <w:r w:rsidR="00353830" w:rsidRPr="00A6067F">
        <w:rPr>
          <w:rFonts w:cs="Times New Roman"/>
        </w:rPr>
        <w:t xml:space="preserve">assenger lists </w:t>
      </w:r>
      <w:r w:rsidR="00BA0987">
        <w:rPr>
          <w:rFonts w:cs="Times New Roman"/>
        </w:rPr>
        <w:t>of</w:t>
      </w:r>
      <w:r w:rsidR="00353830" w:rsidRPr="00A6067F">
        <w:rPr>
          <w:rFonts w:cs="Times New Roman"/>
        </w:rPr>
        <w:t xml:space="preserve"> ships entering US ports</w:t>
      </w:r>
      <w:r w:rsidR="00B63FCF">
        <w:rPr>
          <w:rFonts w:cs="Times New Roman"/>
        </w:rPr>
        <w:t xml:space="preserve"> are </w:t>
      </w:r>
      <w:r w:rsidR="0091275E">
        <w:rPr>
          <w:rFonts w:cs="Times New Roman"/>
        </w:rPr>
        <w:t xml:space="preserve">also </w:t>
      </w:r>
      <w:r w:rsidR="0099292D">
        <w:rPr>
          <w:rFonts w:cs="Times New Roman"/>
        </w:rPr>
        <w:t xml:space="preserve">potentially </w:t>
      </w:r>
      <w:r w:rsidR="00B63FCF">
        <w:rPr>
          <w:rFonts w:cs="Times New Roman"/>
        </w:rPr>
        <w:t xml:space="preserve">informative </w:t>
      </w:r>
      <w:r w:rsidR="0099292D">
        <w:rPr>
          <w:rFonts w:cs="Times New Roman"/>
        </w:rPr>
        <w:t xml:space="preserve">about </w:t>
      </w:r>
      <w:r w:rsidR="00B63FCF">
        <w:rPr>
          <w:rFonts w:cs="Times New Roman"/>
        </w:rPr>
        <w:t>changing selection</w:t>
      </w:r>
      <w:r w:rsidR="00A4340A">
        <w:rPr>
          <w:rFonts w:cs="Times New Roman"/>
        </w:rPr>
        <w:t xml:space="preserve">.  The lists </w:t>
      </w:r>
      <w:r w:rsidR="00353830" w:rsidRPr="00A6067F">
        <w:rPr>
          <w:rFonts w:cs="Times New Roman"/>
        </w:rPr>
        <w:t xml:space="preserve">include </w:t>
      </w:r>
      <w:r w:rsidR="00FA162D">
        <w:rPr>
          <w:rFonts w:cs="Times New Roman"/>
        </w:rPr>
        <w:t>self-reported</w:t>
      </w:r>
      <w:r w:rsidR="00353830" w:rsidRPr="00A6067F">
        <w:rPr>
          <w:rFonts w:cs="Times New Roman"/>
        </w:rPr>
        <w:t xml:space="preserve"> occupation</w:t>
      </w:r>
      <w:r w:rsidR="009F2D9D">
        <w:rPr>
          <w:rFonts w:cs="Times New Roman"/>
        </w:rPr>
        <w:t xml:space="preserve"> and age</w:t>
      </w:r>
      <w:r w:rsidR="00353830" w:rsidRPr="00A6067F">
        <w:rPr>
          <w:rFonts w:cs="Times New Roman"/>
        </w:rPr>
        <w:t>, typically reco</w:t>
      </w:r>
      <w:r w:rsidR="00353830">
        <w:rPr>
          <w:rFonts w:cs="Times New Roman"/>
        </w:rPr>
        <w:t xml:space="preserve">rded at the </w:t>
      </w:r>
      <w:r w:rsidR="00642B89">
        <w:rPr>
          <w:rFonts w:cs="Times New Roman"/>
        </w:rPr>
        <w:t xml:space="preserve">European </w:t>
      </w:r>
      <w:r w:rsidR="00353830">
        <w:rPr>
          <w:rFonts w:cs="Times New Roman"/>
        </w:rPr>
        <w:t>port of embarkation</w:t>
      </w:r>
      <w:r w:rsidR="00BA0987">
        <w:rPr>
          <w:rFonts w:cs="Times New Roman"/>
        </w:rPr>
        <w:t xml:space="preserve">. </w:t>
      </w:r>
      <w:r w:rsidR="00F55E13">
        <w:rPr>
          <w:rFonts w:cs="Times New Roman"/>
        </w:rPr>
        <w:t xml:space="preserve"> </w:t>
      </w:r>
      <w:r w:rsidR="00105372">
        <w:rPr>
          <w:rFonts w:cs="Times New Roman"/>
        </w:rPr>
        <w:t>The</w:t>
      </w:r>
      <w:r w:rsidR="00A4340A">
        <w:rPr>
          <w:rFonts w:cs="Times New Roman"/>
        </w:rPr>
        <w:t>y</w:t>
      </w:r>
      <w:r w:rsidR="00353830" w:rsidRPr="00A6067F">
        <w:rPr>
          <w:rFonts w:cs="Times New Roman"/>
        </w:rPr>
        <w:t xml:space="preserve"> provide</w:t>
      </w:r>
      <w:r w:rsidR="008643A9">
        <w:rPr>
          <w:rFonts w:cs="Times New Roman"/>
        </w:rPr>
        <w:t xml:space="preserve"> a window</w:t>
      </w:r>
      <w:r w:rsidR="00353830" w:rsidRPr="00A6067F">
        <w:rPr>
          <w:rFonts w:cs="Times New Roman"/>
        </w:rPr>
        <w:t xml:space="preserve"> on the pre-</w:t>
      </w:r>
      <w:r w:rsidR="008643A9">
        <w:rPr>
          <w:rFonts w:cs="Times New Roman"/>
        </w:rPr>
        <w:t>departure</w:t>
      </w:r>
      <w:r w:rsidR="00353830" w:rsidRPr="00A6067F">
        <w:rPr>
          <w:rFonts w:cs="Times New Roman"/>
        </w:rPr>
        <w:t xml:space="preserve"> activity of migrants</w:t>
      </w:r>
      <w:r w:rsidR="00353830">
        <w:rPr>
          <w:rFonts w:cs="Times New Roman"/>
        </w:rPr>
        <w:t xml:space="preserve">, but </w:t>
      </w:r>
      <w:r w:rsidR="00AC7419">
        <w:rPr>
          <w:rFonts w:cs="Times New Roman"/>
        </w:rPr>
        <w:t xml:space="preserve">the evidence is ambiguous and </w:t>
      </w:r>
      <w:r w:rsidR="001B6228">
        <w:rPr>
          <w:rFonts w:cs="Times New Roman"/>
        </w:rPr>
        <w:t xml:space="preserve">much </w:t>
      </w:r>
      <w:r w:rsidR="00353830">
        <w:rPr>
          <w:rFonts w:cs="Times New Roman"/>
        </w:rPr>
        <w:t xml:space="preserve">caution is necessary </w:t>
      </w:r>
      <w:r w:rsidR="00353830" w:rsidRPr="00A6067F">
        <w:rPr>
          <w:rFonts w:cs="Times New Roman"/>
        </w:rPr>
        <w:t>(Cohn 2009, ch. 5)</w:t>
      </w:r>
      <w:r w:rsidR="00105372">
        <w:rPr>
          <w:rFonts w:cs="Times New Roman"/>
        </w:rPr>
        <w:t xml:space="preserve">, </w:t>
      </w:r>
      <w:r w:rsidR="00481D7E">
        <w:rPr>
          <w:rFonts w:cs="Times New Roman"/>
        </w:rPr>
        <w:t>which</w:t>
      </w:r>
      <w:r w:rsidR="00105372">
        <w:rPr>
          <w:rFonts w:cs="Times New Roman"/>
        </w:rPr>
        <w:t xml:space="preserve"> </w:t>
      </w:r>
      <w:r w:rsidR="00563E38">
        <w:rPr>
          <w:rFonts w:cs="Times New Roman"/>
        </w:rPr>
        <w:t xml:space="preserve">is one factor that </w:t>
      </w:r>
      <w:r w:rsidR="00353830">
        <w:rPr>
          <w:rFonts w:cs="Times New Roman"/>
        </w:rPr>
        <w:t>motivat</w:t>
      </w:r>
      <w:r w:rsidR="00105372">
        <w:rPr>
          <w:rFonts w:cs="Times New Roman"/>
        </w:rPr>
        <w:t>e</w:t>
      </w:r>
      <w:r w:rsidR="00563E38">
        <w:rPr>
          <w:rFonts w:cs="Times New Roman"/>
        </w:rPr>
        <w:t>s</w:t>
      </w:r>
      <w:r w:rsidR="00353830">
        <w:rPr>
          <w:rFonts w:cs="Times New Roman"/>
        </w:rPr>
        <w:t xml:space="preserve"> our census-based approach</w:t>
      </w:r>
      <w:r w:rsidR="00353830" w:rsidRPr="00F704F0">
        <w:rPr>
          <w:rFonts w:cs="Times New Roman"/>
        </w:rPr>
        <w:t>.</w:t>
      </w:r>
      <w:r w:rsidR="00105372" w:rsidRPr="00F704F0">
        <w:rPr>
          <w:rStyle w:val="FootnoteReference"/>
          <w:rFonts w:cs="Times New Roman"/>
        </w:rPr>
        <w:footnoteReference w:id="16"/>
      </w:r>
      <w:r w:rsidR="00353830" w:rsidRPr="00F704F0">
        <w:rPr>
          <w:rFonts w:cs="Times New Roman"/>
        </w:rPr>
        <w:t xml:space="preserve"> </w:t>
      </w:r>
      <w:r w:rsidR="0099292D" w:rsidRPr="00F704F0">
        <w:rPr>
          <w:rFonts w:cs="Times New Roman"/>
        </w:rPr>
        <w:t xml:space="preserve"> </w:t>
      </w:r>
      <w:r w:rsidR="00ED513E" w:rsidRPr="00F704F0">
        <w:rPr>
          <w:rFonts w:eastAsia="MS Mincho" w:cs="Times New Roman"/>
        </w:rPr>
        <w:t xml:space="preserve">Cohn (1995) finds a slight decrease in the fraction of Irish immigrants who were </w:t>
      </w:r>
      <w:r w:rsidR="004A433C" w:rsidRPr="00F704F0">
        <w:rPr>
          <w:rFonts w:eastAsia="MS Mincho" w:cs="Times New Roman"/>
        </w:rPr>
        <w:t xml:space="preserve">reported as </w:t>
      </w:r>
      <w:r w:rsidR="00ED513E" w:rsidRPr="00F704F0">
        <w:rPr>
          <w:rFonts w:eastAsia="MS Mincho" w:cs="Times New Roman"/>
        </w:rPr>
        <w:t>laborers after 1845</w:t>
      </w:r>
      <w:r w:rsidR="0099238D" w:rsidRPr="00F704F0">
        <w:rPr>
          <w:rFonts w:eastAsia="MS Mincho" w:cs="Times New Roman"/>
        </w:rPr>
        <w:t>, whereas</w:t>
      </w:r>
      <w:r w:rsidR="0099238D">
        <w:rPr>
          <w:rFonts w:eastAsia="MS Mincho" w:cs="Times New Roman"/>
        </w:rPr>
        <w:t xml:space="preserve"> </w:t>
      </w:r>
      <w:r w:rsidR="00B470FA" w:rsidRPr="00A6067F">
        <w:rPr>
          <w:rFonts w:cs="Times New Roman"/>
        </w:rPr>
        <w:t xml:space="preserve">Mokyr and Ó Gráda (1982) </w:t>
      </w:r>
      <w:r w:rsidR="00DF7003">
        <w:rPr>
          <w:rFonts w:cs="Times New Roman"/>
        </w:rPr>
        <w:t xml:space="preserve">find an increase in </w:t>
      </w:r>
      <w:r w:rsidR="00797ECC">
        <w:rPr>
          <w:rFonts w:cs="Times New Roman"/>
        </w:rPr>
        <w:t xml:space="preserve">innumeracy as implied by </w:t>
      </w:r>
      <w:r w:rsidR="00DF7003">
        <w:rPr>
          <w:rFonts w:cs="Times New Roman"/>
        </w:rPr>
        <w:t xml:space="preserve">age heaping in passenger lists </w:t>
      </w:r>
      <w:r w:rsidR="00B470FA" w:rsidRPr="00A6067F">
        <w:rPr>
          <w:rFonts w:cs="Times New Roman"/>
        </w:rPr>
        <w:t>after 1845</w:t>
      </w:r>
      <w:r w:rsidR="00B470FA">
        <w:rPr>
          <w:rFonts w:cs="Times New Roman"/>
        </w:rPr>
        <w:t>.</w:t>
      </w:r>
      <w:r w:rsidR="00945BF1">
        <w:rPr>
          <w:rFonts w:cs="Times New Roman"/>
        </w:rPr>
        <w:t xml:space="preserve">  </w:t>
      </w:r>
    </w:p>
    <w:p w14:paraId="630B9A0A" w14:textId="3E677332" w:rsidR="00255403" w:rsidRPr="0073038E" w:rsidRDefault="00F47110">
      <w:pPr>
        <w:widowControl w:val="0"/>
        <w:ind w:firstLine="720"/>
        <w:rPr>
          <w:rFonts w:cs="Times New Roman"/>
        </w:rPr>
      </w:pPr>
      <w:r>
        <w:rPr>
          <w:rFonts w:cs="Times New Roman"/>
        </w:rPr>
        <w:t>In</w:t>
      </w:r>
      <w:r w:rsidR="00353830" w:rsidRPr="006A5AF9">
        <w:rPr>
          <w:rFonts w:cs="Times New Roman"/>
        </w:rPr>
        <w:t xml:space="preserve"> the</w:t>
      </w:r>
      <w:r w:rsidR="0067056A">
        <w:rPr>
          <w:rFonts w:cs="Times New Roman"/>
        </w:rPr>
        <w:t xml:space="preserve"> </w:t>
      </w:r>
      <w:r w:rsidR="0099292D">
        <w:rPr>
          <w:rFonts w:cs="Times New Roman"/>
        </w:rPr>
        <w:t>US</w:t>
      </w:r>
      <w:r w:rsidR="0067056A">
        <w:rPr>
          <w:rFonts w:cs="Times New Roman"/>
        </w:rPr>
        <w:t xml:space="preserve">, </w:t>
      </w:r>
      <w:r w:rsidR="0067056A">
        <w:rPr>
          <w:rFonts w:eastAsia="MS Mincho" w:cs="Times New Roman"/>
        </w:rPr>
        <w:t>Irish immigrants were over-represented in urban areas of the Northeast.  It is worth emphasizing, however, that most Irish immigrants, including those we identify as famine-era arrivals, did not reside in New York City (13.8 percent of all Irish-born) or Boston (3.5 percent)</w:t>
      </w:r>
      <w:r w:rsidR="006C34F9">
        <w:rPr>
          <w:rFonts w:eastAsia="MS Mincho" w:cs="Times New Roman"/>
        </w:rPr>
        <w:t xml:space="preserve"> in 1850</w:t>
      </w:r>
      <w:r w:rsidR="0067056A">
        <w:rPr>
          <w:rFonts w:eastAsia="MS Mincho" w:cs="Times New Roman"/>
        </w:rPr>
        <w:t>.</w:t>
      </w:r>
      <w:r w:rsidR="0067056A">
        <w:rPr>
          <w:rStyle w:val="FootnoteReference"/>
          <w:rFonts w:eastAsia="MS Mincho" w:cs="Times New Roman"/>
        </w:rPr>
        <w:footnoteReference w:id="17"/>
      </w:r>
      <w:r w:rsidR="0067056A">
        <w:rPr>
          <w:rFonts w:eastAsia="MS Mincho" w:cs="Times New Roman"/>
        </w:rPr>
        <w:t xml:space="preserve">  Landmarks in the historical literature tend to focus on these cities (Handlin 1991 [1941], Ernst 1949), but a much broader geographic scope is required to describe the experience of the Irish immigrants.</w:t>
      </w:r>
      <w:r w:rsidR="004A433C">
        <w:rPr>
          <w:rFonts w:eastAsia="MS Mincho" w:cs="Times New Roman"/>
        </w:rPr>
        <w:t xml:space="preserve"> S</w:t>
      </w:r>
      <w:r>
        <w:rPr>
          <w:rFonts w:cs="Times New Roman"/>
        </w:rPr>
        <w:t>c</w:t>
      </w:r>
      <w:r w:rsidR="00563E38">
        <w:rPr>
          <w:rFonts w:cs="Times New Roman"/>
        </w:rPr>
        <w:t xml:space="preserve">holars have long </w:t>
      </w:r>
      <w:r>
        <w:rPr>
          <w:rFonts w:cs="Times New Roman"/>
        </w:rPr>
        <w:t xml:space="preserve">understood </w:t>
      </w:r>
      <w:r w:rsidR="00563E38">
        <w:rPr>
          <w:rFonts w:cs="Times New Roman"/>
        </w:rPr>
        <w:t xml:space="preserve">that Irish immigrants were disproportionately employed in relatively low-skill, low-paying lines of </w:t>
      </w:r>
      <w:r w:rsidR="00642B89">
        <w:rPr>
          <w:rFonts w:cs="Times New Roman"/>
        </w:rPr>
        <w:t>work</w:t>
      </w:r>
      <w:r w:rsidR="00563E38">
        <w:rPr>
          <w:rFonts w:cs="Times New Roman"/>
        </w:rPr>
        <w:t xml:space="preserve"> (</w:t>
      </w:r>
      <w:r w:rsidR="009A1FE8" w:rsidRPr="003D2797">
        <w:t>Handlin 1991 [1941]</w:t>
      </w:r>
      <w:r w:rsidR="009A1FE8">
        <w:t xml:space="preserve">; </w:t>
      </w:r>
      <w:r w:rsidR="00C54167">
        <w:rPr>
          <w:rFonts w:cs="Times New Roman"/>
        </w:rPr>
        <w:t>Ernst 1949</w:t>
      </w:r>
      <w:r w:rsidR="009A1FE8">
        <w:rPr>
          <w:rFonts w:cs="Times New Roman"/>
        </w:rPr>
        <w:t>;</w:t>
      </w:r>
      <w:r w:rsidR="00C54167" w:rsidRPr="003D2797">
        <w:t xml:space="preserve"> Miller 1985</w:t>
      </w:r>
      <w:r w:rsidR="00563E38">
        <w:rPr>
          <w:rFonts w:cs="Times New Roman"/>
        </w:rPr>
        <w:t xml:space="preserve">).  </w:t>
      </w:r>
      <w:r w:rsidR="00353830" w:rsidRPr="006A5AF9">
        <w:rPr>
          <w:rFonts w:cs="Times New Roman"/>
        </w:rPr>
        <w:t>Ferrie (1994, 1995, 1997</w:t>
      </w:r>
      <w:r w:rsidR="007F7510">
        <w:rPr>
          <w:rFonts w:cs="Times New Roman"/>
        </w:rPr>
        <w:t>a</w:t>
      </w:r>
      <w:r w:rsidR="00353830" w:rsidRPr="006A5AF9">
        <w:rPr>
          <w:rFonts w:cs="Times New Roman"/>
        </w:rPr>
        <w:t>, 1999)</w:t>
      </w:r>
      <w:r w:rsidR="00563E38">
        <w:rPr>
          <w:rFonts w:cs="Times New Roman"/>
        </w:rPr>
        <w:t xml:space="preserve"> provides a more dynamic </w:t>
      </w:r>
      <w:r w:rsidR="00F50545">
        <w:rPr>
          <w:rFonts w:cs="Times New Roman"/>
        </w:rPr>
        <w:t>v</w:t>
      </w:r>
      <w:r w:rsidR="00563E38">
        <w:rPr>
          <w:rFonts w:cs="Times New Roman"/>
        </w:rPr>
        <w:t>iew by</w:t>
      </w:r>
      <w:r w:rsidR="00353830" w:rsidRPr="006A5AF9">
        <w:rPr>
          <w:rFonts w:cs="Times New Roman"/>
        </w:rPr>
        <w:t xml:space="preserve"> </w:t>
      </w:r>
      <w:r w:rsidR="003F5934">
        <w:rPr>
          <w:rFonts w:cs="Times New Roman"/>
        </w:rPr>
        <w:t>drawing</w:t>
      </w:r>
      <w:r w:rsidR="00353830" w:rsidRPr="006A5AF9">
        <w:rPr>
          <w:rFonts w:cs="Times New Roman"/>
        </w:rPr>
        <w:t xml:space="preserve"> </w:t>
      </w:r>
      <w:r w:rsidR="00F46470">
        <w:rPr>
          <w:rFonts w:cs="Times New Roman"/>
        </w:rPr>
        <w:t xml:space="preserve">a sample of </w:t>
      </w:r>
      <w:r w:rsidR="004A433C">
        <w:rPr>
          <w:rFonts w:cs="Times New Roman"/>
        </w:rPr>
        <w:t xml:space="preserve">immigrant </w:t>
      </w:r>
      <w:r w:rsidR="00C677DD">
        <w:rPr>
          <w:rFonts w:cs="Times New Roman"/>
        </w:rPr>
        <w:t xml:space="preserve">men from </w:t>
      </w:r>
      <w:r w:rsidR="00353830" w:rsidRPr="006A5AF9">
        <w:rPr>
          <w:rFonts w:cs="Times New Roman"/>
        </w:rPr>
        <w:t xml:space="preserve">New York </w:t>
      </w:r>
      <w:r w:rsidR="00642B89">
        <w:rPr>
          <w:rFonts w:cs="Times New Roman"/>
        </w:rPr>
        <w:t>City</w:t>
      </w:r>
      <w:r w:rsidR="00C677DD">
        <w:rPr>
          <w:rFonts w:cs="Times New Roman"/>
        </w:rPr>
        <w:t>’s</w:t>
      </w:r>
      <w:r w:rsidR="00642B89">
        <w:rPr>
          <w:rFonts w:cs="Times New Roman"/>
        </w:rPr>
        <w:t xml:space="preserve"> </w:t>
      </w:r>
      <w:r w:rsidR="00353830" w:rsidRPr="006A5AF9">
        <w:rPr>
          <w:rFonts w:cs="Times New Roman"/>
        </w:rPr>
        <w:t>passenger lists</w:t>
      </w:r>
      <w:r w:rsidR="00C677DD">
        <w:rPr>
          <w:rFonts w:cs="Times New Roman"/>
        </w:rPr>
        <w:t xml:space="preserve"> in the 1840s</w:t>
      </w:r>
      <w:r w:rsidR="003F5934">
        <w:rPr>
          <w:rFonts w:cs="Times New Roman"/>
        </w:rPr>
        <w:t xml:space="preserve"> and linking them</w:t>
      </w:r>
      <w:r w:rsidR="00353830" w:rsidRPr="006A5AF9">
        <w:rPr>
          <w:rFonts w:cs="Times New Roman"/>
        </w:rPr>
        <w:t xml:space="preserve"> to </w:t>
      </w:r>
      <w:r w:rsidR="003F5934">
        <w:rPr>
          <w:rFonts w:cs="Times New Roman"/>
        </w:rPr>
        <w:t xml:space="preserve">census records in </w:t>
      </w:r>
      <w:r w:rsidR="00353830" w:rsidRPr="006A5AF9">
        <w:rPr>
          <w:rFonts w:cs="Times New Roman"/>
        </w:rPr>
        <w:t xml:space="preserve">1850 or 1860. </w:t>
      </w:r>
      <w:r w:rsidR="00945BF1">
        <w:rPr>
          <w:rFonts w:cs="Times New Roman"/>
        </w:rPr>
        <w:t xml:space="preserve"> </w:t>
      </w:r>
      <w:r w:rsidR="00353830" w:rsidRPr="006A5AF9">
        <w:rPr>
          <w:rFonts w:cs="Times New Roman"/>
        </w:rPr>
        <w:t xml:space="preserve">He finds a great deal of mobility between </w:t>
      </w:r>
      <w:r w:rsidR="00BF219D">
        <w:rPr>
          <w:rFonts w:cs="Times New Roman"/>
        </w:rPr>
        <w:t xml:space="preserve">pre-migration </w:t>
      </w:r>
      <w:r w:rsidR="00353830" w:rsidRPr="006A5AF9">
        <w:rPr>
          <w:rFonts w:cs="Times New Roman"/>
        </w:rPr>
        <w:t>occupation</w:t>
      </w:r>
      <w:r w:rsidR="00563E38">
        <w:rPr>
          <w:rFonts w:cs="Times New Roman"/>
        </w:rPr>
        <w:t>al</w:t>
      </w:r>
      <w:r w:rsidR="00353830" w:rsidRPr="006A5AF9">
        <w:rPr>
          <w:rFonts w:cs="Times New Roman"/>
        </w:rPr>
        <w:t xml:space="preserve"> categories</w:t>
      </w:r>
      <w:r w:rsidR="008C446C">
        <w:rPr>
          <w:rFonts w:cs="Times New Roman"/>
        </w:rPr>
        <w:t>,</w:t>
      </w:r>
      <w:r w:rsidR="00353830" w:rsidRPr="006A5AF9">
        <w:rPr>
          <w:rFonts w:cs="Times New Roman"/>
        </w:rPr>
        <w:t xml:space="preserve"> coded from</w:t>
      </w:r>
      <w:r w:rsidR="00BF219D">
        <w:rPr>
          <w:rFonts w:cs="Times New Roman"/>
        </w:rPr>
        <w:t xml:space="preserve"> </w:t>
      </w:r>
      <w:r w:rsidR="00353830" w:rsidRPr="006A5AF9">
        <w:rPr>
          <w:rFonts w:cs="Times New Roman"/>
        </w:rPr>
        <w:t>passenger lists</w:t>
      </w:r>
      <w:r w:rsidR="008C446C">
        <w:rPr>
          <w:rFonts w:cs="Times New Roman"/>
        </w:rPr>
        <w:t>,</w:t>
      </w:r>
      <w:r w:rsidR="00353830" w:rsidRPr="006A5AF9">
        <w:rPr>
          <w:rFonts w:cs="Times New Roman"/>
        </w:rPr>
        <w:t xml:space="preserve"> and </w:t>
      </w:r>
      <w:r w:rsidR="003F5934">
        <w:rPr>
          <w:rFonts w:cs="Times New Roman"/>
        </w:rPr>
        <w:t xml:space="preserve">those reported in </w:t>
      </w:r>
      <w:r w:rsidR="00353830" w:rsidRPr="006A5AF9">
        <w:rPr>
          <w:rFonts w:cs="Times New Roman"/>
        </w:rPr>
        <w:t xml:space="preserve">the 1850 or 1860 </w:t>
      </w:r>
      <w:r w:rsidR="00BF219D">
        <w:rPr>
          <w:rFonts w:cs="Times New Roman"/>
        </w:rPr>
        <w:t xml:space="preserve">US </w:t>
      </w:r>
      <w:r w:rsidR="00353830" w:rsidRPr="006A5AF9">
        <w:rPr>
          <w:rFonts w:cs="Times New Roman"/>
        </w:rPr>
        <w:t xml:space="preserve">census (1999, Table 5-2). </w:t>
      </w:r>
      <w:r w:rsidR="00C1657A">
        <w:rPr>
          <w:rFonts w:cs="Times New Roman"/>
        </w:rPr>
        <w:t xml:space="preserve"> </w:t>
      </w:r>
      <w:r w:rsidR="00353830" w:rsidRPr="006A5AF9">
        <w:rPr>
          <w:rFonts w:cs="Times New Roman"/>
        </w:rPr>
        <w:t>Irish</w:t>
      </w:r>
      <w:r w:rsidR="00C1657A">
        <w:rPr>
          <w:rFonts w:cs="Times New Roman"/>
        </w:rPr>
        <w:t xml:space="preserve"> men</w:t>
      </w:r>
      <w:r w:rsidR="00353830" w:rsidRPr="006A5AF9">
        <w:rPr>
          <w:rFonts w:cs="Times New Roman"/>
        </w:rPr>
        <w:t xml:space="preserve"> had lower </w:t>
      </w:r>
      <w:r w:rsidR="0068135A">
        <w:rPr>
          <w:rFonts w:cs="Times New Roman"/>
        </w:rPr>
        <w:t xml:space="preserve">pre-migration </w:t>
      </w:r>
      <w:r w:rsidR="00353830" w:rsidRPr="006A5AF9">
        <w:rPr>
          <w:rFonts w:cs="Times New Roman"/>
        </w:rPr>
        <w:t>occupational status than the British and Germans based on the passenger lists</w:t>
      </w:r>
      <w:r w:rsidR="004A433C">
        <w:rPr>
          <w:rFonts w:cs="Times New Roman"/>
        </w:rPr>
        <w:t xml:space="preserve"> (i.e., more unskilled laborers)</w:t>
      </w:r>
      <w:r w:rsidR="00353830" w:rsidRPr="006A5AF9">
        <w:rPr>
          <w:rFonts w:cs="Times New Roman"/>
        </w:rPr>
        <w:t>, had lower rates of upward mobility from the unskilled category, and accumulated less real estate wealth (1999, Table 6-4)</w:t>
      </w:r>
      <w:r w:rsidR="00353830" w:rsidRPr="00573A37">
        <w:rPr>
          <w:rFonts w:cs="Times New Roman"/>
        </w:rPr>
        <w:t>.</w:t>
      </w:r>
      <w:r w:rsidR="004C26DA">
        <w:rPr>
          <w:rFonts w:cs="Times New Roman"/>
        </w:rPr>
        <w:t xml:space="preserve">  Even so, </w:t>
      </w:r>
      <w:r w:rsidR="004C26DA" w:rsidRPr="00573A37">
        <w:rPr>
          <w:rFonts w:cs="Times New Roman"/>
        </w:rPr>
        <w:t>Anbinder, Ó Gráda, and Wegge (2017) find evidence of upward mobility in the</w:t>
      </w:r>
      <w:r w:rsidR="004C26DA">
        <w:rPr>
          <w:rFonts w:cs="Times New Roman"/>
        </w:rPr>
        <w:t xml:space="preserve"> account records of </w:t>
      </w:r>
      <w:r w:rsidR="00945BF1">
        <w:rPr>
          <w:rFonts w:cs="Times New Roman"/>
        </w:rPr>
        <w:t>Irish immigrants at the</w:t>
      </w:r>
      <w:r w:rsidR="004C26DA" w:rsidRPr="00573A37">
        <w:rPr>
          <w:rFonts w:cs="Times New Roman"/>
        </w:rPr>
        <w:t xml:space="preserve"> Emigrant Industrial Savings Bank in New York. </w:t>
      </w:r>
    </w:p>
    <w:p w14:paraId="22EADEFA" w14:textId="7C9F671D" w:rsidR="005266F6" w:rsidRPr="00F96079" w:rsidRDefault="008C446C" w:rsidP="009C06D3">
      <w:pPr>
        <w:widowControl w:val="0"/>
        <w:ind w:firstLine="720"/>
        <w:rPr>
          <w:rFonts w:cs="Times New Roman"/>
        </w:rPr>
      </w:pPr>
      <w:r w:rsidRPr="00F96079">
        <w:rPr>
          <w:rFonts w:cs="Times New Roman"/>
        </w:rPr>
        <w:t>In addition to their economic</w:t>
      </w:r>
      <w:r w:rsidR="00E02B7D" w:rsidRPr="00F96079">
        <w:rPr>
          <w:rFonts w:cs="Times New Roman"/>
        </w:rPr>
        <w:t xml:space="preserve"> struggles</w:t>
      </w:r>
      <w:r w:rsidRPr="00F96079">
        <w:rPr>
          <w:rFonts w:cs="Times New Roman"/>
        </w:rPr>
        <w:t xml:space="preserve">, </w:t>
      </w:r>
      <w:r w:rsidR="005266F6" w:rsidRPr="00F96079">
        <w:rPr>
          <w:rFonts w:cs="Times New Roman"/>
        </w:rPr>
        <w:t>mid-century</w:t>
      </w:r>
      <w:r w:rsidRPr="00F96079">
        <w:rPr>
          <w:rFonts w:cs="Times New Roman"/>
        </w:rPr>
        <w:t xml:space="preserve"> </w:t>
      </w:r>
      <w:r w:rsidR="005266F6" w:rsidRPr="00F96079">
        <w:rPr>
          <w:rFonts w:cs="Times New Roman"/>
        </w:rPr>
        <w:t>Irish immigrants were subject to a sharp nativist backlash that was rooted in long-standing anti-Catholic sentiment in the US and heightened by the sheer volume of mass migration.</w:t>
      </w:r>
      <w:r w:rsidR="005266F6" w:rsidRPr="00F96079">
        <w:rPr>
          <w:rStyle w:val="FootnoteReference"/>
          <w:rFonts w:cs="Times New Roman"/>
        </w:rPr>
        <w:footnoteReference w:id="18"/>
      </w:r>
      <w:r w:rsidR="005266F6" w:rsidRPr="00F96079">
        <w:rPr>
          <w:rFonts w:cs="Times New Roman"/>
        </w:rPr>
        <w:t xml:space="preserve"> </w:t>
      </w:r>
      <w:r w:rsidR="00D21101" w:rsidRPr="00F96079">
        <w:rPr>
          <w:rFonts w:cs="Times New Roman"/>
        </w:rPr>
        <w:t xml:space="preserve"> </w:t>
      </w:r>
      <w:r w:rsidR="00344969" w:rsidRPr="00F96079">
        <w:rPr>
          <w:rFonts w:cs="Times New Roman"/>
        </w:rPr>
        <w:t>Hirota (2017, p. 2) writes, “The newcomers’ religion triggered an outburst of anti-Irish nativism in these states [New York and Massachusetts], but so too did the immigrants’ poverty.”  H</w:t>
      </w:r>
      <w:r w:rsidR="00D21101" w:rsidRPr="00F96079">
        <w:rPr>
          <w:rFonts w:cs="Times New Roman"/>
        </w:rPr>
        <w:t>irota (2017</w:t>
      </w:r>
      <w:r w:rsidR="001E1FDD" w:rsidRPr="00F96079">
        <w:rPr>
          <w:rFonts w:cs="Times New Roman"/>
        </w:rPr>
        <w:t>, ch. 2</w:t>
      </w:r>
      <w:r w:rsidR="00D21101" w:rsidRPr="00F96079">
        <w:rPr>
          <w:rFonts w:cs="Times New Roman"/>
        </w:rPr>
        <w:t>) documents cases of deportation and efforts to prevent</w:t>
      </w:r>
      <w:r w:rsidR="001E1FDD" w:rsidRPr="00F96079">
        <w:rPr>
          <w:rFonts w:cs="Times New Roman"/>
        </w:rPr>
        <w:t xml:space="preserve"> destitute</w:t>
      </w:r>
      <w:r w:rsidR="00D21101" w:rsidRPr="00F96079">
        <w:rPr>
          <w:rFonts w:cs="Times New Roman"/>
        </w:rPr>
        <w:t xml:space="preserve"> Irish passengers from disembarking </w:t>
      </w:r>
      <w:r w:rsidR="00344969" w:rsidRPr="00F96079">
        <w:rPr>
          <w:rFonts w:cs="Times New Roman"/>
        </w:rPr>
        <w:t xml:space="preserve">in Massachusetts.  </w:t>
      </w:r>
      <w:r w:rsidR="005266F6" w:rsidRPr="00F96079">
        <w:rPr>
          <w:rFonts w:cs="Times New Roman"/>
        </w:rPr>
        <w:t>A salient manifestation of this backlash was the success of the “Know Nothing” party in the early 1850s, which advanced the ideas that “Protestantism defined American society” and that “Catholicism was not compatible with the basic values Americans cherished most” (Anbinder 1992, p. 104)</w:t>
      </w:r>
      <w:r w:rsidR="005266F6" w:rsidRPr="00F96079">
        <w:rPr>
          <w:rFonts w:eastAsia="MS Mincho" w:cs="Times New Roman"/>
        </w:rPr>
        <w:t>.</w:t>
      </w:r>
      <w:r w:rsidR="00344969" w:rsidRPr="00F96079">
        <w:rPr>
          <w:rFonts w:eastAsia="MS Mincho" w:cs="Times New Roman"/>
        </w:rPr>
        <w:t xml:space="preserve">  </w:t>
      </w:r>
      <w:r w:rsidR="00F7343E" w:rsidRPr="00F96079">
        <w:rPr>
          <w:rFonts w:eastAsia="MS Mincho" w:cs="Times New Roman"/>
        </w:rPr>
        <w:t xml:space="preserve">  </w:t>
      </w:r>
    </w:p>
    <w:p w14:paraId="4C0AF582" w14:textId="204163F9" w:rsidR="00D962D2" w:rsidRDefault="008F5933">
      <w:pPr>
        <w:widowControl w:val="0"/>
        <w:ind w:firstLine="720"/>
        <w:rPr>
          <w:rFonts w:cs="Times New Roman"/>
        </w:rPr>
      </w:pPr>
      <w:r>
        <w:rPr>
          <w:rFonts w:cs="Times New Roman"/>
        </w:rPr>
        <w:t xml:space="preserve">Despite </w:t>
      </w:r>
      <w:r w:rsidR="0091275E">
        <w:rPr>
          <w:rFonts w:cs="Times New Roman"/>
        </w:rPr>
        <w:t xml:space="preserve">much </w:t>
      </w:r>
      <w:r>
        <w:rPr>
          <w:rFonts w:cs="Times New Roman"/>
        </w:rPr>
        <w:t xml:space="preserve">valuable </w:t>
      </w:r>
      <w:r w:rsidR="00E52C82">
        <w:rPr>
          <w:rFonts w:cs="Times New Roman"/>
        </w:rPr>
        <w:t xml:space="preserve">scholarship </w:t>
      </w:r>
      <w:r>
        <w:rPr>
          <w:rFonts w:cs="Times New Roman"/>
        </w:rPr>
        <w:t xml:space="preserve">on </w:t>
      </w:r>
      <w:r w:rsidR="00917342">
        <w:rPr>
          <w:rFonts w:cs="Times New Roman"/>
        </w:rPr>
        <w:t xml:space="preserve">Irish </w:t>
      </w:r>
      <w:r w:rsidR="00441866">
        <w:rPr>
          <w:rFonts w:cs="Times New Roman"/>
        </w:rPr>
        <w:t>im</w:t>
      </w:r>
      <w:r w:rsidR="00E52C82">
        <w:rPr>
          <w:rFonts w:cs="Times New Roman"/>
        </w:rPr>
        <w:t>migrants</w:t>
      </w:r>
      <w:r w:rsidR="00917342">
        <w:rPr>
          <w:rFonts w:cs="Times New Roman"/>
        </w:rPr>
        <w:t xml:space="preserve"> </w:t>
      </w:r>
      <w:r w:rsidR="00441866">
        <w:rPr>
          <w:rFonts w:cs="Times New Roman"/>
        </w:rPr>
        <w:t>in</w:t>
      </w:r>
      <w:r w:rsidR="00917342">
        <w:rPr>
          <w:rFonts w:cs="Times New Roman"/>
        </w:rPr>
        <w:t xml:space="preserve"> the US</w:t>
      </w:r>
      <w:r>
        <w:rPr>
          <w:rFonts w:cs="Times New Roman"/>
        </w:rPr>
        <w:t xml:space="preserve">, </w:t>
      </w:r>
      <w:r w:rsidR="00E56979">
        <w:rPr>
          <w:rFonts w:cs="Times New Roman"/>
        </w:rPr>
        <w:t xml:space="preserve">a number of </w:t>
      </w:r>
      <w:r w:rsidR="00E52C82">
        <w:rPr>
          <w:rFonts w:cs="Times New Roman"/>
        </w:rPr>
        <w:t xml:space="preserve">important </w:t>
      </w:r>
      <w:r w:rsidR="00E56979">
        <w:rPr>
          <w:rFonts w:cs="Times New Roman"/>
        </w:rPr>
        <w:t>gaps</w:t>
      </w:r>
      <w:r w:rsidR="0091009C">
        <w:rPr>
          <w:rFonts w:cs="Times New Roman"/>
        </w:rPr>
        <w:t xml:space="preserve"> remain</w:t>
      </w:r>
      <w:r w:rsidR="00E56979">
        <w:rPr>
          <w:rFonts w:cs="Times New Roman"/>
        </w:rPr>
        <w:t xml:space="preserve"> in </w:t>
      </w:r>
      <w:r w:rsidR="00691C06">
        <w:rPr>
          <w:rFonts w:cs="Times New Roman"/>
        </w:rPr>
        <w:t>our</w:t>
      </w:r>
      <w:r w:rsidR="00E52C82">
        <w:rPr>
          <w:rFonts w:cs="Times New Roman"/>
        </w:rPr>
        <w:t xml:space="preserve"> </w:t>
      </w:r>
      <w:r w:rsidR="00E56979">
        <w:rPr>
          <w:rFonts w:cs="Times New Roman"/>
        </w:rPr>
        <w:t xml:space="preserve">understanding of the </w:t>
      </w:r>
      <w:r w:rsidR="00691C06">
        <w:rPr>
          <w:rFonts w:cs="Times New Roman"/>
        </w:rPr>
        <w:t xml:space="preserve">famine </w:t>
      </w:r>
      <w:r w:rsidR="004A433C">
        <w:rPr>
          <w:rFonts w:cs="Times New Roman"/>
        </w:rPr>
        <w:t>migrants’</w:t>
      </w:r>
      <w:r w:rsidR="00691C06">
        <w:rPr>
          <w:rFonts w:cs="Times New Roman"/>
        </w:rPr>
        <w:t xml:space="preserve"> experience.  </w:t>
      </w:r>
      <w:r w:rsidR="0091009C">
        <w:rPr>
          <w:rFonts w:cs="Times New Roman"/>
        </w:rPr>
        <w:t xml:space="preserve">First, </w:t>
      </w:r>
      <w:r w:rsidR="00441866">
        <w:rPr>
          <w:rFonts w:cs="Times New Roman"/>
        </w:rPr>
        <w:t xml:space="preserve">there is no clear picture of </w:t>
      </w:r>
      <w:r w:rsidR="00975A0C">
        <w:rPr>
          <w:rFonts w:cs="Times New Roman"/>
        </w:rPr>
        <w:t xml:space="preserve">differences </w:t>
      </w:r>
      <w:r w:rsidR="00691C06">
        <w:rPr>
          <w:rFonts w:cs="Times New Roman"/>
        </w:rPr>
        <w:t xml:space="preserve">between </w:t>
      </w:r>
      <w:r w:rsidR="004A433C">
        <w:rPr>
          <w:rFonts w:cs="Times New Roman"/>
        </w:rPr>
        <w:t xml:space="preserve">the </w:t>
      </w:r>
      <w:r w:rsidR="00441866">
        <w:rPr>
          <w:rFonts w:cs="Times New Roman"/>
        </w:rPr>
        <w:t>Irish</w:t>
      </w:r>
      <w:r w:rsidR="00975A0C">
        <w:rPr>
          <w:rFonts w:cs="Times New Roman"/>
        </w:rPr>
        <w:t xml:space="preserve"> </w:t>
      </w:r>
      <w:r w:rsidR="00441866">
        <w:rPr>
          <w:rFonts w:cs="Times New Roman"/>
        </w:rPr>
        <w:t>who arrived before the famine and those who arrived during the famine.</w:t>
      </w:r>
      <w:r w:rsidR="006C34F9">
        <w:rPr>
          <w:rFonts w:cs="Times New Roman"/>
        </w:rPr>
        <w:t xml:space="preserve">  To date, the evidence is somewhat fragmentary and inconclusive.</w:t>
      </w:r>
      <w:r w:rsidR="00441866">
        <w:rPr>
          <w:rFonts w:cs="Times New Roman"/>
        </w:rPr>
        <w:t xml:space="preserve">  </w:t>
      </w:r>
      <w:r w:rsidR="00975A0C">
        <w:rPr>
          <w:rFonts w:cs="Times New Roman"/>
        </w:rPr>
        <w:t xml:space="preserve">Moreover, </w:t>
      </w:r>
      <w:r w:rsidR="00441866">
        <w:rPr>
          <w:rFonts w:cs="Times New Roman"/>
        </w:rPr>
        <w:t xml:space="preserve">although scholars have explored </w:t>
      </w:r>
      <w:r w:rsidR="00975A0C">
        <w:rPr>
          <w:rFonts w:cs="Times New Roman"/>
        </w:rPr>
        <w:t xml:space="preserve">the </w:t>
      </w:r>
      <w:r w:rsidR="00D1521D">
        <w:rPr>
          <w:rFonts w:cs="Times New Roman"/>
        </w:rPr>
        <w:t>economic</w:t>
      </w:r>
      <w:r w:rsidR="004A433C">
        <w:rPr>
          <w:rFonts w:cs="Times New Roman"/>
        </w:rPr>
        <w:t xml:space="preserve"> </w:t>
      </w:r>
      <w:r w:rsidR="00975A0C">
        <w:rPr>
          <w:rFonts w:cs="Times New Roman"/>
        </w:rPr>
        <w:t xml:space="preserve">assimilation of first-generation </w:t>
      </w:r>
      <w:r w:rsidR="00441866">
        <w:rPr>
          <w:rFonts w:cs="Times New Roman"/>
        </w:rPr>
        <w:t xml:space="preserve">Irish </w:t>
      </w:r>
      <w:r w:rsidR="00975A0C">
        <w:rPr>
          <w:rFonts w:cs="Times New Roman"/>
        </w:rPr>
        <w:t xml:space="preserve">immigrants (e.g., Ferrie 1999), </w:t>
      </w:r>
      <w:r w:rsidR="00441866">
        <w:rPr>
          <w:rFonts w:cs="Times New Roman"/>
        </w:rPr>
        <w:t xml:space="preserve">there is </w:t>
      </w:r>
      <w:r w:rsidR="00975A0C">
        <w:rPr>
          <w:rFonts w:cs="Times New Roman"/>
        </w:rPr>
        <w:t xml:space="preserve">no information available on the </w:t>
      </w:r>
      <w:r w:rsidR="006C34F9">
        <w:rPr>
          <w:rFonts w:cs="Times New Roman"/>
        </w:rPr>
        <w:t xml:space="preserve">assimilation </w:t>
      </w:r>
      <w:r w:rsidR="00975A0C">
        <w:rPr>
          <w:rFonts w:cs="Times New Roman"/>
        </w:rPr>
        <w:t xml:space="preserve">experience of </w:t>
      </w:r>
      <w:r w:rsidR="00441866">
        <w:rPr>
          <w:rFonts w:cs="Times New Roman"/>
        </w:rPr>
        <w:t xml:space="preserve">the </w:t>
      </w:r>
      <w:r w:rsidR="00975A0C">
        <w:rPr>
          <w:rFonts w:cs="Times New Roman"/>
        </w:rPr>
        <w:t xml:space="preserve">immigrants’ children. </w:t>
      </w:r>
      <w:r w:rsidR="008C446C">
        <w:rPr>
          <w:rFonts w:cs="Times New Roman"/>
        </w:rPr>
        <w:t xml:space="preserve"> </w:t>
      </w:r>
      <w:r w:rsidR="00975A0C">
        <w:rPr>
          <w:rFonts w:cs="Times New Roman"/>
        </w:rPr>
        <w:t xml:space="preserve">This absence stands out relative to studies of modern migrant assimilation (e.g., Borjas 1993; Card 2005), in which </w:t>
      </w:r>
      <w:r w:rsidR="0091009C">
        <w:rPr>
          <w:rFonts w:cs="Times New Roman"/>
        </w:rPr>
        <w:t xml:space="preserve">children’s </w:t>
      </w:r>
      <w:r w:rsidR="00975A0C">
        <w:rPr>
          <w:rFonts w:cs="Times New Roman"/>
        </w:rPr>
        <w:t>outcomes are of fundamental interest</w:t>
      </w:r>
      <w:r w:rsidR="00975A0C" w:rsidRPr="00CA6A60">
        <w:rPr>
          <w:rFonts w:cs="Times New Roman"/>
        </w:rPr>
        <w:t xml:space="preserve">. </w:t>
      </w:r>
      <w:r w:rsidR="00441866" w:rsidRPr="00CA6A60">
        <w:rPr>
          <w:rFonts w:cs="Times New Roman"/>
        </w:rPr>
        <w:t xml:space="preserve"> </w:t>
      </w:r>
      <w:r w:rsidR="00876D19" w:rsidRPr="00CA6A60">
        <w:rPr>
          <w:rFonts w:cs="Times New Roman"/>
        </w:rPr>
        <w:t>Finall</w:t>
      </w:r>
      <w:r w:rsidR="006C34F9">
        <w:rPr>
          <w:rFonts w:cs="Times New Roman"/>
        </w:rPr>
        <w:t xml:space="preserve">y, the economic mobility of the famine Irish </w:t>
      </w:r>
      <w:r w:rsidR="00441866" w:rsidRPr="00CA6A60">
        <w:rPr>
          <w:rFonts w:cs="Times New Roman"/>
        </w:rPr>
        <w:t xml:space="preserve">has </w:t>
      </w:r>
      <w:r w:rsidR="00876D19" w:rsidRPr="00CA6A60">
        <w:rPr>
          <w:rFonts w:cs="Times New Roman"/>
        </w:rPr>
        <w:t xml:space="preserve">not been </w:t>
      </w:r>
      <w:r w:rsidR="006C34F9">
        <w:rPr>
          <w:rFonts w:cs="Times New Roman"/>
        </w:rPr>
        <w:t xml:space="preserve">closely </w:t>
      </w:r>
      <w:r w:rsidR="00876D19" w:rsidRPr="00CA6A60">
        <w:rPr>
          <w:rFonts w:cs="Times New Roman"/>
        </w:rPr>
        <w:t xml:space="preserve">compared to </w:t>
      </w:r>
      <w:r w:rsidR="00441866" w:rsidRPr="00CA6A60">
        <w:rPr>
          <w:rFonts w:cs="Times New Roman"/>
        </w:rPr>
        <w:t xml:space="preserve">that </w:t>
      </w:r>
      <w:r w:rsidR="00876D19" w:rsidRPr="00CA6A60">
        <w:rPr>
          <w:rFonts w:cs="Times New Roman"/>
        </w:rPr>
        <w:t>of natives</w:t>
      </w:r>
      <w:r w:rsidR="005E768F" w:rsidRPr="00CA6A60">
        <w:rPr>
          <w:rFonts w:cs="Times New Roman"/>
        </w:rPr>
        <w:t>, let alone in an intergenerational framework</w:t>
      </w:r>
      <w:r w:rsidR="006C34F9">
        <w:rPr>
          <w:rFonts w:cs="Times New Roman"/>
        </w:rPr>
        <w:t xml:space="preserve"> that allows us to tie children’s outcomes to their early life circumstances at an individual level</w:t>
      </w:r>
      <w:r w:rsidR="00876D19" w:rsidRPr="00CA6A60">
        <w:rPr>
          <w:rFonts w:cs="Times New Roman"/>
        </w:rPr>
        <w:t>.</w:t>
      </w:r>
      <w:r w:rsidR="008C446C" w:rsidRPr="00CA6A60">
        <w:rPr>
          <w:rFonts w:cs="Times New Roman"/>
        </w:rPr>
        <w:t xml:space="preserve"> </w:t>
      </w:r>
      <w:r w:rsidR="00876D19" w:rsidRPr="00CA6A60">
        <w:rPr>
          <w:rFonts w:cs="Times New Roman"/>
        </w:rPr>
        <w:t xml:space="preserve"> The mid-nineteenth century was a period of high </w:t>
      </w:r>
      <w:r w:rsidR="0091009C" w:rsidRPr="00CA6A60">
        <w:rPr>
          <w:rFonts w:cs="Times New Roman"/>
        </w:rPr>
        <w:t xml:space="preserve">intergenerational </w:t>
      </w:r>
      <w:r w:rsidR="00876D19" w:rsidRPr="00CA6A60">
        <w:rPr>
          <w:rFonts w:cs="Times New Roman"/>
        </w:rPr>
        <w:t xml:space="preserve">mobility among </w:t>
      </w:r>
      <w:r w:rsidR="000B6677" w:rsidRPr="00CA6A60">
        <w:rPr>
          <w:rFonts w:cs="Times New Roman"/>
        </w:rPr>
        <w:t xml:space="preserve">US </w:t>
      </w:r>
      <w:r w:rsidR="00876D19" w:rsidRPr="00CA6A60">
        <w:rPr>
          <w:rFonts w:cs="Times New Roman"/>
        </w:rPr>
        <w:t>natives (Long and Ferrie 2013).</w:t>
      </w:r>
      <w:r w:rsidR="008C446C" w:rsidRPr="00CA6A60">
        <w:rPr>
          <w:rFonts w:cs="Times New Roman"/>
        </w:rPr>
        <w:t xml:space="preserve"> </w:t>
      </w:r>
      <w:r w:rsidR="00876D19" w:rsidRPr="00CA6A60">
        <w:rPr>
          <w:rFonts w:cs="Times New Roman"/>
        </w:rPr>
        <w:t xml:space="preserve"> It is thus essential to compare immigrant</w:t>
      </w:r>
      <w:r w:rsidR="00ED6E76" w:rsidRPr="00CA6A60">
        <w:rPr>
          <w:rFonts w:cs="Times New Roman"/>
        </w:rPr>
        <w:t>s</w:t>
      </w:r>
      <w:r w:rsidR="00876D19" w:rsidRPr="00CA6A60">
        <w:rPr>
          <w:rFonts w:cs="Times New Roman"/>
        </w:rPr>
        <w:t xml:space="preserve"> and native</w:t>
      </w:r>
      <w:r w:rsidR="00ED6E76" w:rsidRPr="00CA6A60">
        <w:rPr>
          <w:rFonts w:cs="Times New Roman"/>
        </w:rPr>
        <w:t>s</w:t>
      </w:r>
      <w:r w:rsidR="00876D19" w:rsidRPr="00CA6A60">
        <w:rPr>
          <w:rFonts w:cs="Times New Roman"/>
        </w:rPr>
        <w:t xml:space="preserve"> to determine whether immigrant</w:t>
      </w:r>
      <w:r w:rsidR="0091009C" w:rsidRPr="00CA6A60">
        <w:rPr>
          <w:rFonts w:cs="Times New Roman"/>
        </w:rPr>
        <w:t>s</w:t>
      </w:r>
      <w:r w:rsidR="00ED6E76" w:rsidRPr="00CA6A60">
        <w:rPr>
          <w:rFonts w:cs="Times New Roman"/>
        </w:rPr>
        <w:t xml:space="preserve"> </w:t>
      </w:r>
      <w:r w:rsidR="0091009C" w:rsidRPr="00CA6A60">
        <w:rPr>
          <w:rFonts w:cs="Times New Roman"/>
        </w:rPr>
        <w:t xml:space="preserve">closed the </w:t>
      </w:r>
      <w:r w:rsidR="00876D19" w:rsidRPr="00CA6A60">
        <w:rPr>
          <w:rFonts w:cs="Times New Roman"/>
        </w:rPr>
        <w:t xml:space="preserve">gap </w:t>
      </w:r>
      <w:r w:rsidR="00ED6E76" w:rsidRPr="00CA6A60">
        <w:rPr>
          <w:rFonts w:cs="Times New Roman"/>
        </w:rPr>
        <w:t xml:space="preserve">in economic status </w:t>
      </w:r>
      <w:r w:rsidR="0091009C" w:rsidRPr="00CA6A60">
        <w:rPr>
          <w:rFonts w:cs="Times New Roman"/>
        </w:rPr>
        <w:t xml:space="preserve">and, in </w:t>
      </w:r>
      <w:r w:rsidR="00ED6E76" w:rsidRPr="00CA6A60">
        <w:rPr>
          <w:rFonts w:cs="Times New Roman"/>
        </w:rPr>
        <w:t>that</w:t>
      </w:r>
      <w:r w:rsidR="0091009C" w:rsidRPr="00CA6A60">
        <w:rPr>
          <w:rFonts w:cs="Times New Roman"/>
        </w:rPr>
        <w:t xml:space="preserve"> sense, assimilated over generations</w:t>
      </w:r>
      <w:r w:rsidR="00876D19" w:rsidRPr="00CA6A60">
        <w:rPr>
          <w:rFonts w:cs="Times New Roman"/>
        </w:rPr>
        <w:t>.</w:t>
      </w:r>
      <w:r w:rsidR="006112AE">
        <w:rPr>
          <w:rFonts w:cs="Times New Roman"/>
        </w:rPr>
        <w:t xml:space="preserve"> </w:t>
      </w:r>
      <w:r w:rsidR="008C446C">
        <w:rPr>
          <w:rFonts w:cs="Times New Roman"/>
        </w:rPr>
        <w:t xml:space="preserve"> </w:t>
      </w:r>
      <w:r w:rsidR="006112AE">
        <w:rPr>
          <w:rFonts w:cs="Times New Roman"/>
        </w:rPr>
        <w:t>This paper develops new evidence on all of these fronts.</w:t>
      </w:r>
    </w:p>
    <w:p w14:paraId="162B4290" w14:textId="258E74E4" w:rsidR="003B40EC" w:rsidRPr="00C947F7" w:rsidRDefault="003B40EC" w:rsidP="009C06D3">
      <w:pPr>
        <w:widowControl w:val="0"/>
        <w:rPr>
          <w:rFonts w:eastAsia="MS Mincho" w:cs="Times New Roman"/>
        </w:rPr>
      </w:pPr>
    </w:p>
    <w:p w14:paraId="515E52DB" w14:textId="2D4A08B7" w:rsidR="00DF4343" w:rsidRPr="001D775E" w:rsidRDefault="00FD7196" w:rsidP="009C06D3">
      <w:pPr>
        <w:widowControl w:val="0"/>
        <w:rPr>
          <w:b/>
        </w:rPr>
      </w:pPr>
      <w:r>
        <w:rPr>
          <w:b/>
        </w:rPr>
        <w:t>3</w:t>
      </w:r>
      <w:r w:rsidR="005C3C5B">
        <w:rPr>
          <w:b/>
        </w:rPr>
        <w:t xml:space="preserve">. </w:t>
      </w:r>
      <w:r w:rsidR="00DC455F" w:rsidRPr="00170AAA">
        <w:rPr>
          <w:b/>
        </w:rPr>
        <w:t>Data</w:t>
      </w:r>
      <w:r w:rsidR="0027064C">
        <w:rPr>
          <w:b/>
        </w:rPr>
        <w:t xml:space="preserve"> sources and construction</w:t>
      </w:r>
    </w:p>
    <w:p w14:paraId="422C7863" w14:textId="4C870FE8" w:rsidR="00C7250C" w:rsidRDefault="006C34F9" w:rsidP="009C06D3">
      <w:pPr>
        <w:widowControl w:val="0"/>
        <w:ind w:firstLine="720"/>
      </w:pPr>
      <w:r>
        <w:t xml:space="preserve">To construct the dataset, we first </w:t>
      </w:r>
      <w:r w:rsidR="00C7250C">
        <w:t xml:space="preserve">obtained the complete count US census data for 1850 </w:t>
      </w:r>
      <w:r>
        <w:t xml:space="preserve">(Ruggles et al. 2015; </w:t>
      </w:r>
      <w:r w:rsidR="00C7250C" w:rsidRPr="00B802EC">
        <w:t>Minnesota Population Cen</w:t>
      </w:r>
      <w:r>
        <w:t>ter 2017)</w:t>
      </w:r>
      <w:r w:rsidR="00C7250C" w:rsidRPr="00B802EC">
        <w:t>.</w:t>
      </w:r>
      <w:r w:rsidR="00C7250C" w:rsidRPr="0033342D">
        <w:t xml:space="preserve"> </w:t>
      </w:r>
      <w:r w:rsidR="004A3900">
        <w:t xml:space="preserve"> </w:t>
      </w:r>
      <w:r w:rsidR="00A2034D">
        <w:t xml:space="preserve">Because this census </w:t>
      </w:r>
      <w:r w:rsidR="00486F78">
        <w:t>(</w:t>
      </w:r>
      <w:r w:rsidR="00A2034D">
        <w:t>and all those prior to 1890</w:t>
      </w:r>
      <w:r w:rsidR="00486F78">
        <w:t>)</w:t>
      </w:r>
      <w:r w:rsidR="00A2034D">
        <w:t xml:space="preserve"> did not</w:t>
      </w:r>
      <w:r w:rsidR="0067353C">
        <w:t xml:space="preserve"> inquire about </w:t>
      </w:r>
      <w:r w:rsidR="0028725B">
        <w:t xml:space="preserve">immigrants’ </w:t>
      </w:r>
      <w:r w:rsidR="0067353C">
        <w:t>year</w:t>
      </w:r>
      <w:r w:rsidR="00D92EA5">
        <w:t xml:space="preserve"> </w:t>
      </w:r>
      <w:r w:rsidR="0067353C">
        <w:t>of</w:t>
      </w:r>
      <w:r w:rsidR="00D92EA5">
        <w:t xml:space="preserve"> </w:t>
      </w:r>
      <w:r w:rsidR="0067353C">
        <w:t>arrival in the US</w:t>
      </w:r>
      <w:r w:rsidR="00A2034D">
        <w:t>,</w:t>
      </w:r>
      <w:r w:rsidR="00C07159">
        <w:t xml:space="preserve"> our first task was to develop an alternative approach to distinguish </w:t>
      </w:r>
      <w:r w:rsidR="00A2034D">
        <w:t>th</w:t>
      </w:r>
      <w:r w:rsidR="00677A7C">
        <w:t xml:space="preserve">e Irish who arrived during the </w:t>
      </w:r>
      <w:r w:rsidR="0091275E">
        <w:t>f</w:t>
      </w:r>
      <w:r w:rsidR="00A2034D">
        <w:t>amine from those who arrived prior to it</w:t>
      </w:r>
      <w:r w:rsidR="0067353C">
        <w:t xml:space="preserve">.  </w:t>
      </w:r>
      <w:r w:rsidR="001E2469">
        <w:t>W</w:t>
      </w:r>
      <w:r w:rsidR="0067353C">
        <w:t>e determine</w:t>
      </w:r>
      <w:r w:rsidR="0028725B">
        <w:t>d</w:t>
      </w:r>
      <w:r w:rsidR="0067353C">
        <w:t xml:space="preserve"> the arrival cohort </w:t>
      </w:r>
      <w:r w:rsidR="001E2469">
        <w:t xml:space="preserve">for each Irish-born head of household </w:t>
      </w:r>
      <w:r w:rsidR="0067353C">
        <w:t>based on the ages and places of birth of children in the household in the 1850 census.</w:t>
      </w:r>
      <w:r w:rsidR="0067353C">
        <w:rPr>
          <w:rStyle w:val="FootnoteReference"/>
        </w:rPr>
        <w:footnoteReference w:id="19"/>
      </w:r>
      <w:r w:rsidR="0067353C">
        <w:t xml:space="preserve">  Household</w:t>
      </w:r>
      <w:r w:rsidR="00B84778">
        <w:t xml:space="preserve"> heads</w:t>
      </w:r>
      <w:r w:rsidR="0067353C">
        <w:t xml:space="preserve"> with a child </w:t>
      </w:r>
      <w:r w:rsidR="00071063" w:rsidRPr="00F96079">
        <w:t>(son or daughter)</w:t>
      </w:r>
      <w:r w:rsidR="00071063" w:rsidRPr="00282929">
        <w:t xml:space="preserve"> </w:t>
      </w:r>
      <w:r w:rsidR="0067353C">
        <w:t xml:space="preserve">born in the </w:t>
      </w:r>
      <w:r w:rsidR="001850B5">
        <w:t>US</w:t>
      </w:r>
      <w:r w:rsidR="0067353C">
        <w:t xml:space="preserve"> in 1845 or earlier are categorized in the pre-famine group, while those with a child born </w:t>
      </w:r>
      <w:r w:rsidR="00A427EF">
        <w:t>in Ireland</w:t>
      </w:r>
      <w:r w:rsidR="0067353C">
        <w:t xml:space="preserve"> in 1846 or late</w:t>
      </w:r>
      <w:r w:rsidR="00C07159">
        <w:t>r are in the famine-era group.</w:t>
      </w:r>
      <w:r w:rsidR="00C07159">
        <w:rPr>
          <w:rStyle w:val="FootnoteReference"/>
        </w:rPr>
        <w:footnoteReference w:id="20"/>
      </w:r>
      <w:r w:rsidR="0053242F">
        <w:t xml:space="preserve"> </w:t>
      </w:r>
      <w:r w:rsidR="0028725B">
        <w:t xml:space="preserve"> </w:t>
      </w:r>
      <w:r w:rsidR="00A427EF">
        <w:t>We perform</w:t>
      </w:r>
      <w:r w:rsidR="0028725B">
        <w:t>ed</w:t>
      </w:r>
      <w:r w:rsidR="00A427EF">
        <w:t xml:space="preserve"> a similar classification for British- and German-born heads of household in 1850.</w:t>
      </w:r>
      <w:r w:rsidR="00B84778">
        <w:rPr>
          <w:rStyle w:val="FootnoteReference"/>
        </w:rPr>
        <w:footnoteReference w:id="21"/>
      </w:r>
      <w:r w:rsidR="00A427EF">
        <w:t xml:space="preserve"> </w:t>
      </w:r>
      <w:r w:rsidR="00AC2482">
        <w:t xml:space="preserve"> </w:t>
      </w:r>
      <w:r w:rsidR="00A427EF">
        <w:t>We include the Germans and British</w:t>
      </w:r>
      <w:r w:rsidR="0028725B">
        <w:t xml:space="preserve"> in this study</w:t>
      </w:r>
      <w:r w:rsidR="00A427EF">
        <w:t xml:space="preserve"> because, after the Irish, they were the largest groups of immigrants before 1850 (Barde, Carter, and Sutch 2006, p. 1-560)</w:t>
      </w:r>
      <w:r w:rsidR="007C49D0">
        <w:t>,</w:t>
      </w:r>
      <w:r w:rsidR="0028725B">
        <w:t xml:space="preserve"> and t</w:t>
      </w:r>
      <w:r w:rsidR="00A427EF">
        <w:t>hey provide a useful point of comparison.</w:t>
      </w:r>
      <w:r w:rsidR="0053242F">
        <w:t xml:space="preserve"> </w:t>
      </w:r>
      <w:r w:rsidR="0028725B">
        <w:t xml:space="preserve"> </w:t>
      </w:r>
      <w:r w:rsidR="0053242F">
        <w:t xml:space="preserve">This classification scheme </w:t>
      </w:r>
      <w:r w:rsidR="009E4BA7">
        <w:t>leads to</w:t>
      </w:r>
      <w:r w:rsidR="0053242F">
        <w:t xml:space="preserve"> six categories of</w:t>
      </w:r>
      <w:r w:rsidR="002A65DB">
        <w:t xml:space="preserve"> immigrant</w:t>
      </w:r>
      <w:r w:rsidR="0053242F">
        <w:t xml:space="preserve"> h</w:t>
      </w:r>
      <w:r w:rsidR="009E4BA7">
        <w:t xml:space="preserve">ousehold heads: </w:t>
      </w:r>
      <w:r w:rsidR="0053242F">
        <w:t>pre-famine Irish, famine</w:t>
      </w:r>
      <w:r w:rsidR="00B615C1">
        <w:t>-era</w:t>
      </w:r>
      <w:r w:rsidR="0053242F">
        <w:t xml:space="preserve"> Irish, and similar</w:t>
      </w:r>
      <w:r w:rsidR="00B615C1">
        <w:t xml:space="preserve"> cohorts</w:t>
      </w:r>
      <w:r w:rsidR="0053242F">
        <w:t xml:space="preserve"> for </w:t>
      </w:r>
      <w:r w:rsidR="00B615C1">
        <w:t xml:space="preserve">the </w:t>
      </w:r>
      <w:r w:rsidR="0053242F">
        <w:t>British and Germans.</w:t>
      </w:r>
      <w:r w:rsidR="009E4BA7">
        <w:t xml:space="preserve">  </w:t>
      </w:r>
      <w:r w:rsidR="00585B4F">
        <w:t xml:space="preserve">We also include </w:t>
      </w:r>
      <w:r w:rsidR="009E4BA7">
        <w:t>households</w:t>
      </w:r>
      <w:r w:rsidR="00A855D8">
        <w:t xml:space="preserve"> headed by native-born white men</w:t>
      </w:r>
      <w:r w:rsidR="009E4BA7">
        <w:t xml:space="preserve"> for comparison.</w:t>
      </w:r>
      <w:r w:rsidR="004E089D">
        <w:t xml:space="preserve">  </w:t>
      </w:r>
    </w:p>
    <w:p w14:paraId="3F133346" w14:textId="5E254F90" w:rsidR="00C7250C" w:rsidRDefault="002A65DB" w:rsidP="009C06D3">
      <w:pPr>
        <w:widowControl w:val="0"/>
        <w:ind w:firstLine="720"/>
      </w:pPr>
      <w:r>
        <w:t>We assigned</w:t>
      </w:r>
      <w:r w:rsidR="00614986">
        <w:t xml:space="preserve"> the </w:t>
      </w:r>
      <w:r w:rsidR="00476750">
        <w:t xml:space="preserve">household heads’ </w:t>
      </w:r>
      <w:r w:rsidR="00614986">
        <w:t xml:space="preserve">arrival cohort classification </w:t>
      </w:r>
      <w:r w:rsidR="00E435FA">
        <w:t>and ethnicity to their sons aged 18 or younger.</w:t>
      </w:r>
      <w:r w:rsidR="008D75DC">
        <w:t xml:space="preserve"> </w:t>
      </w:r>
      <w:r w:rsidR="00476750">
        <w:t xml:space="preserve"> </w:t>
      </w:r>
      <w:r w:rsidR="00B84778">
        <w:t xml:space="preserve">For example, </w:t>
      </w:r>
      <w:r w:rsidR="00AC2482">
        <w:t>sons</w:t>
      </w:r>
      <w:r w:rsidR="00B84778">
        <w:t xml:space="preserve"> of an Irish father who arrived in the </w:t>
      </w:r>
      <w:r w:rsidR="00476750">
        <w:t>US between</w:t>
      </w:r>
      <w:r w:rsidR="00B84778">
        <w:t xml:space="preserve"> 1846</w:t>
      </w:r>
      <w:r w:rsidR="00476750">
        <w:t xml:space="preserve"> and </w:t>
      </w:r>
      <w:r w:rsidR="00B84778">
        <w:t xml:space="preserve">1850 </w:t>
      </w:r>
      <w:r w:rsidR="00AC2482">
        <w:t>are</w:t>
      </w:r>
      <w:r w:rsidR="00B84778">
        <w:t xml:space="preserve"> referred to as </w:t>
      </w:r>
      <w:r w:rsidR="00476750">
        <w:t xml:space="preserve">members of the </w:t>
      </w:r>
      <w:r w:rsidR="00B84778">
        <w:t>“famine</w:t>
      </w:r>
      <w:r w:rsidR="008D75DC">
        <w:t>-era</w:t>
      </w:r>
      <w:r w:rsidR="00B84778">
        <w:t xml:space="preserve"> Irish.”</w:t>
      </w:r>
      <w:r w:rsidR="005431FD">
        <w:rPr>
          <w:rStyle w:val="FootnoteReference"/>
        </w:rPr>
        <w:footnoteReference w:id="22"/>
      </w:r>
      <w:r w:rsidR="008D75DC">
        <w:t xml:space="preserve"> </w:t>
      </w:r>
      <w:r w:rsidR="00B84778">
        <w:t xml:space="preserve"> Importantly, not all children in Irish, British, or German-headed households were foreign-born.  It follows that not al</w:t>
      </w:r>
      <w:r w:rsidR="00487558">
        <w:t xml:space="preserve">l children classified as being </w:t>
      </w:r>
      <w:r w:rsidR="00B84778">
        <w:t>famine</w:t>
      </w:r>
      <w:r w:rsidR="008D75DC">
        <w:t>-era</w:t>
      </w:r>
      <w:r w:rsidR="00AA15AD">
        <w:t xml:space="preserve"> Irish</w:t>
      </w:r>
      <w:r w:rsidR="00B84778">
        <w:t xml:space="preserve"> would have </w:t>
      </w:r>
      <w:r w:rsidR="00B84778" w:rsidRPr="00CA6A60">
        <w:t xml:space="preserve">experienced the famine in Ireland (though </w:t>
      </w:r>
      <w:r w:rsidR="00AA15AD" w:rsidRPr="00CA6A60">
        <w:t>40</w:t>
      </w:r>
      <w:r w:rsidR="00B84778" w:rsidRPr="00CA6A60">
        <w:t xml:space="preserve"> percent </w:t>
      </w:r>
      <w:r w:rsidR="00AA15AD" w:rsidRPr="00CA6A60">
        <w:t xml:space="preserve">of our benchmark sample </w:t>
      </w:r>
      <w:r w:rsidR="00865CAD">
        <w:t xml:space="preserve">of famine Irish sons </w:t>
      </w:r>
      <w:r w:rsidR="00847B56" w:rsidRPr="00CA6A60">
        <w:t>were born in Ireland during the famine</w:t>
      </w:r>
      <w:r w:rsidR="00B84778" w:rsidRPr="00CA6A60">
        <w:t xml:space="preserve">).  Given that the paper’s main goal is to characterize long-term assimilation as revealed in the outcomes of immigrants’ children, partitioning the data this way provides simple but </w:t>
      </w:r>
      <w:r w:rsidRPr="00CA6A60">
        <w:t xml:space="preserve">new </w:t>
      </w:r>
      <w:r w:rsidR="00B84778" w:rsidRPr="00CA6A60">
        <w:t>insights.</w:t>
      </w:r>
    </w:p>
    <w:p w14:paraId="51305AA3" w14:textId="256FDBBD" w:rsidR="00844E6F" w:rsidRDefault="008A4F56" w:rsidP="009C06D3">
      <w:pPr>
        <w:widowControl w:val="0"/>
        <w:ind w:firstLine="720"/>
      </w:pPr>
      <w:r>
        <w:t xml:space="preserve">Table </w:t>
      </w:r>
      <w:r w:rsidR="00210467">
        <w:t>1</w:t>
      </w:r>
      <w:r>
        <w:t xml:space="preserve"> </w:t>
      </w:r>
      <w:r w:rsidR="004001FD">
        <w:t xml:space="preserve">divides </w:t>
      </w:r>
      <w:r>
        <w:t xml:space="preserve">each immigrant group </w:t>
      </w:r>
      <w:r w:rsidR="00B75E11">
        <w:t>using</w:t>
      </w:r>
      <w:r w:rsidR="004001FD">
        <w:t xml:space="preserve"> </w:t>
      </w:r>
      <w:r w:rsidR="00E35909">
        <w:t xml:space="preserve">the categorization </w:t>
      </w:r>
      <w:r w:rsidR="00B615C1">
        <w:t xml:space="preserve">described </w:t>
      </w:r>
      <w:r w:rsidR="00E35909">
        <w:t xml:space="preserve">above, reporting for </w:t>
      </w:r>
      <w:r w:rsidR="00AC2482">
        <w:t>heads of household in columns (1)</w:t>
      </w:r>
      <w:r w:rsidR="002A65DB">
        <w:t xml:space="preserve"> to </w:t>
      </w:r>
      <w:r w:rsidR="00AC2482">
        <w:t xml:space="preserve">(3) and </w:t>
      </w:r>
      <w:r w:rsidR="00E35909">
        <w:t xml:space="preserve">for </w:t>
      </w:r>
      <w:r w:rsidR="00AC2482">
        <w:t>sons in columns (4)</w:t>
      </w:r>
      <w:r w:rsidR="002A65DB">
        <w:t xml:space="preserve"> to </w:t>
      </w:r>
      <w:r w:rsidR="00AC2482">
        <w:t>(6).</w:t>
      </w:r>
      <w:r>
        <w:t xml:space="preserve">  </w:t>
      </w:r>
      <w:r w:rsidR="00E35909">
        <w:t>T</w:t>
      </w:r>
      <w:r>
        <w:t xml:space="preserve">he fraction of individuals categorized definitely into the pre-famine or famine-era cohorts was </w:t>
      </w:r>
      <w:r w:rsidRPr="00CA6A60">
        <w:t>approximately 65 percent for the Irish</w:t>
      </w:r>
      <w:r>
        <w:t xml:space="preserve"> </w:t>
      </w:r>
      <w:r w:rsidR="00F655F1">
        <w:t>sons</w:t>
      </w:r>
      <w:r w:rsidR="00B75E11">
        <w:t>,</w:t>
      </w:r>
      <w:r>
        <w:t xml:space="preserve"> </w:t>
      </w:r>
      <w:r w:rsidR="00844E6F">
        <w:t>but</w:t>
      </w:r>
      <w:r>
        <w:t xml:space="preserve"> only about 44 percent for</w:t>
      </w:r>
      <w:r w:rsidR="00844E6F">
        <w:t xml:space="preserve"> all</w:t>
      </w:r>
      <w:r>
        <w:t xml:space="preserve"> Irish </w:t>
      </w:r>
      <w:r w:rsidR="00053256">
        <w:t>heads of household</w:t>
      </w:r>
      <w:r w:rsidR="00844E6F">
        <w:t xml:space="preserve"> (including those without children)</w:t>
      </w:r>
      <w:r>
        <w:t>.</w:t>
      </w:r>
      <w:r w:rsidR="00F655F1">
        <w:rPr>
          <w:rStyle w:val="FootnoteReference"/>
        </w:rPr>
        <w:footnoteReference w:id="23"/>
      </w:r>
      <w:r w:rsidR="00844E6F">
        <w:t xml:space="preserve"> </w:t>
      </w:r>
      <w:r>
        <w:t xml:space="preserve">The Germans and British exhibit similar patterns.  As mentioned earlier, the greater ability to categorize children than </w:t>
      </w:r>
      <w:r w:rsidR="002A0AC8">
        <w:t>heads of households or other adults</w:t>
      </w:r>
      <w:r>
        <w:t xml:space="preserve"> is part of our motivation for focusing on the children’s long-term outcomes</w:t>
      </w:r>
      <w:r w:rsidR="003B1C9C" w:rsidRPr="00BA4A0B">
        <w:t>:</w:t>
      </w:r>
      <w:r w:rsidRPr="005072C7">
        <w:t xml:space="preserve"> </w:t>
      </w:r>
      <w:r w:rsidR="003B1C9C" w:rsidRPr="00F96079">
        <w:t>t</w:t>
      </w:r>
      <w:r w:rsidR="004E089D" w:rsidRPr="00F96079">
        <w:t>he children</w:t>
      </w:r>
      <w:r w:rsidR="003B1C9C" w:rsidRPr="00F96079">
        <w:t xml:space="preserve"> who</w:t>
      </w:r>
      <w:r w:rsidR="004E089D" w:rsidRPr="00F96079">
        <w:t xml:space="preserve"> we can categorize are fairly representative of the population of immigrants’ children (discussed in </w:t>
      </w:r>
      <w:r w:rsidR="00353CB0" w:rsidRPr="00F96079">
        <w:t xml:space="preserve">more </w:t>
      </w:r>
      <w:r w:rsidR="004E089D" w:rsidRPr="00F96079">
        <w:t>detail below), whereas immigrants with children are not likely to be representative of all</w:t>
      </w:r>
      <w:r w:rsidR="00353CB0" w:rsidRPr="00F96079">
        <w:t xml:space="preserve"> adult</w:t>
      </w:r>
      <w:r w:rsidR="004E089D" w:rsidRPr="00F96079">
        <w:t xml:space="preserve"> immigrants.</w:t>
      </w:r>
      <w:r w:rsidR="004E089D" w:rsidRPr="00BA4A0B">
        <w:t xml:space="preserve">   </w:t>
      </w:r>
    </w:p>
    <w:p w14:paraId="69F255C9" w14:textId="2C646047" w:rsidR="008863CF" w:rsidRDefault="00F86CAB" w:rsidP="009C06D3">
      <w:pPr>
        <w:widowControl w:val="0"/>
        <w:ind w:firstLine="720"/>
      </w:pPr>
      <w:r w:rsidRPr="00B802EC">
        <w:t xml:space="preserve">In the next </w:t>
      </w:r>
      <w:r w:rsidR="00870A64">
        <w:t>step</w:t>
      </w:r>
      <w:r w:rsidRPr="00B802EC">
        <w:t xml:space="preserve">, we linked </w:t>
      </w:r>
      <w:r w:rsidR="00870A64">
        <w:t>all the males</w:t>
      </w:r>
      <w:r w:rsidR="00870A64" w:rsidRPr="00870A64">
        <w:t xml:space="preserve"> </w:t>
      </w:r>
      <w:r w:rsidR="00870A64">
        <w:t xml:space="preserve">who were born in Ireland, Britain, Germany, and the US and </w:t>
      </w:r>
      <w:r w:rsidRPr="00B802EC">
        <w:t xml:space="preserve">observed in </w:t>
      </w:r>
      <w:r w:rsidR="00870A64">
        <w:t xml:space="preserve">the </w:t>
      </w:r>
      <w:r w:rsidRPr="00B802EC">
        <w:t>1850</w:t>
      </w:r>
      <w:r w:rsidR="00870A64">
        <w:t xml:space="preserve"> </w:t>
      </w:r>
      <w:r w:rsidR="00BA73EE">
        <w:t xml:space="preserve">US </w:t>
      </w:r>
      <w:r w:rsidR="00870A64">
        <w:t>census</w:t>
      </w:r>
      <w:r w:rsidRPr="00B802EC">
        <w:t xml:space="preserve"> to the </w:t>
      </w:r>
      <w:r w:rsidR="006130AD" w:rsidRPr="00B802EC">
        <w:t xml:space="preserve">full count </w:t>
      </w:r>
      <w:r w:rsidRPr="00B802EC">
        <w:t xml:space="preserve">1880 </w:t>
      </w:r>
      <w:r w:rsidR="00BA73EE">
        <w:t xml:space="preserve">US </w:t>
      </w:r>
      <w:r w:rsidRPr="00B802EC">
        <w:t>census</w:t>
      </w:r>
      <w:r w:rsidR="008C008B">
        <w:t xml:space="preserve"> (</w:t>
      </w:r>
      <w:r w:rsidR="00B802EC" w:rsidRPr="00B802EC">
        <w:t>Ruggles et al. 2015</w:t>
      </w:r>
      <w:r w:rsidR="008C008B">
        <w:t>;</w:t>
      </w:r>
      <w:r w:rsidR="00B802EC" w:rsidRPr="00B802EC">
        <w:t xml:space="preserve"> </w:t>
      </w:r>
      <w:r w:rsidRPr="00B802EC">
        <w:t>Minnesota Population Center</w:t>
      </w:r>
      <w:r w:rsidR="008C008B">
        <w:t xml:space="preserve"> </w:t>
      </w:r>
      <w:r w:rsidRPr="00B802EC">
        <w:t>2017)</w:t>
      </w:r>
      <w:r w:rsidR="00CB2422" w:rsidRPr="00B802EC">
        <w:t>.</w:t>
      </w:r>
      <w:r w:rsidR="00CB2422">
        <w:t xml:space="preserve"> </w:t>
      </w:r>
      <w:r w:rsidR="0022502C">
        <w:t xml:space="preserve"> </w:t>
      </w:r>
      <w:r w:rsidR="00E01B44">
        <w:t xml:space="preserve">We briefly describe </w:t>
      </w:r>
      <w:r w:rsidR="007D5FF3">
        <w:t>the</w:t>
      </w:r>
      <w:r w:rsidR="00E01B44">
        <w:t xml:space="preserve"> </w:t>
      </w:r>
      <w:r w:rsidR="008C008B">
        <w:t xml:space="preserve">linking </w:t>
      </w:r>
      <w:r w:rsidR="00E01B44">
        <w:t xml:space="preserve">procedure here and </w:t>
      </w:r>
      <w:r w:rsidR="00D13C25">
        <w:t xml:space="preserve">provide additional </w:t>
      </w:r>
      <w:r w:rsidR="00DE7029">
        <w:t>detail</w:t>
      </w:r>
      <w:r w:rsidR="00D13C25">
        <w:t>s</w:t>
      </w:r>
      <w:r w:rsidR="00DE7029">
        <w:t xml:space="preserve"> in </w:t>
      </w:r>
      <w:r w:rsidR="00483E94">
        <w:t>A</w:t>
      </w:r>
      <w:r w:rsidR="00DE7029">
        <w:t>ppendix</w:t>
      </w:r>
      <w:r w:rsidR="009804E2">
        <w:t xml:space="preserve"> A</w:t>
      </w:r>
      <w:r w:rsidR="00DE7029">
        <w:t>.</w:t>
      </w:r>
      <w:r w:rsidR="00510FCD">
        <w:t xml:space="preserve"> </w:t>
      </w:r>
      <w:r w:rsidR="00870A64">
        <w:t xml:space="preserve"> </w:t>
      </w:r>
      <w:r w:rsidR="00870A64" w:rsidRPr="002117A9">
        <w:t xml:space="preserve">We do </w:t>
      </w:r>
      <w:r w:rsidR="00870A64" w:rsidRPr="004F78BC">
        <w:t>not</w:t>
      </w:r>
      <w:r w:rsidR="00870A64" w:rsidRPr="002117A9">
        <w:t xml:space="preserve"> constrain the sample for linking to those whose arrival cohort could be determined</w:t>
      </w:r>
      <w:r w:rsidR="008863CF">
        <w:t xml:space="preserve"> (described above)</w:t>
      </w:r>
      <w:r w:rsidR="00870A64" w:rsidRPr="002117A9">
        <w:t xml:space="preserve">, as this might result in </w:t>
      </w:r>
      <w:r w:rsidR="008863CF">
        <w:t xml:space="preserve">more </w:t>
      </w:r>
      <w:r w:rsidR="00870A64" w:rsidRPr="002117A9">
        <w:t xml:space="preserve">false matches. </w:t>
      </w:r>
      <w:r w:rsidR="008863CF">
        <w:t xml:space="preserve"> </w:t>
      </w:r>
      <w:r w:rsidR="00870A64" w:rsidRPr="002117A9">
        <w:t xml:space="preserve">Instead, we attempt to link the 1850 census </w:t>
      </w:r>
      <w:r w:rsidR="00BA73EE">
        <w:t xml:space="preserve">records to 1880 </w:t>
      </w:r>
      <w:r w:rsidR="00870A64" w:rsidRPr="002117A9">
        <w:t>without regard for whether arrival cohort could be determined</w:t>
      </w:r>
      <w:r w:rsidR="00BA73EE">
        <w:t xml:space="preserve">; we </w:t>
      </w:r>
      <w:r w:rsidR="00870A64" w:rsidRPr="002117A9">
        <w:t xml:space="preserve">then </w:t>
      </w:r>
      <w:r w:rsidR="00BA73EE">
        <w:t>use</w:t>
      </w:r>
      <w:r w:rsidR="00870A64" w:rsidRPr="002117A9">
        <w:t xml:space="preserve"> only successful links</w:t>
      </w:r>
      <w:r w:rsidR="00BA73EE">
        <w:t xml:space="preserve"> (described below)</w:t>
      </w:r>
      <w:r w:rsidR="00870A64" w:rsidRPr="002117A9">
        <w:t xml:space="preserve"> whose arrival cohort could be </w:t>
      </w:r>
      <w:r w:rsidR="00BA73EE">
        <w:t xml:space="preserve">clearly </w:t>
      </w:r>
      <w:r w:rsidR="00870A64" w:rsidRPr="002117A9">
        <w:t>classified</w:t>
      </w:r>
      <w:r w:rsidR="00BA73EE">
        <w:t xml:space="preserve"> as pre-famine or famine-era </w:t>
      </w:r>
      <w:r w:rsidR="008863CF">
        <w:t xml:space="preserve">for </w:t>
      </w:r>
      <w:r w:rsidR="00BA73EE">
        <w:t xml:space="preserve">the assimilation </w:t>
      </w:r>
      <w:r w:rsidR="008863CF">
        <w:t>analys</w:t>
      </w:r>
      <w:r w:rsidR="00BA73EE">
        <w:t>e</w:t>
      </w:r>
      <w:r w:rsidR="008863CF">
        <w:t>s</w:t>
      </w:r>
      <w:r w:rsidR="00870A64" w:rsidRPr="002117A9">
        <w:t>.</w:t>
      </w:r>
      <w:r w:rsidR="008863CF">
        <w:t xml:space="preserve">  </w:t>
      </w:r>
    </w:p>
    <w:p w14:paraId="3DA250BD" w14:textId="73618159" w:rsidR="008863CF" w:rsidRDefault="00BA73EE" w:rsidP="00741648">
      <w:pPr>
        <w:widowControl w:val="0"/>
        <w:ind w:firstLine="720"/>
      </w:pPr>
      <w:r>
        <w:t>At the start of the linkage process, we</w:t>
      </w:r>
      <w:r w:rsidR="00B1028A">
        <w:t xml:space="preserve"> retained only individuals who were unique in terms of place of birth, age-implied year of birth (plus or minus four years), and first and last name (with allowances for orthographic differences)</w:t>
      </w:r>
      <w:r>
        <w:t xml:space="preserve"> in 1850</w:t>
      </w:r>
      <w:r w:rsidR="00B1028A">
        <w:t>.</w:t>
      </w:r>
      <w:r>
        <w:t xml:space="preserve"> </w:t>
      </w:r>
      <w:r w:rsidR="00422528">
        <w:t xml:space="preserve"> </w:t>
      </w:r>
      <w:r>
        <w:t>W</w:t>
      </w:r>
      <w:r w:rsidR="00DE7029">
        <w:t>e linked</w:t>
      </w:r>
      <w:r w:rsidR="001E3836">
        <w:t xml:space="preserve"> th</w:t>
      </w:r>
      <w:r>
        <w:t xml:space="preserve">ose men </w:t>
      </w:r>
      <w:r w:rsidR="001E3836">
        <w:t xml:space="preserve">to the 1880 census, </w:t>
      </w:r>
      <w:r w:rsidR="007F2AC7">
        <w:t>according to the same identifying characteristics</w:t>
      </w:r>
      <w:r w:rsidR="004F78BC">
        <w:t xml:space="preserve"> and</w:t>
      </w:r>
      <w:r w:rsidR="001E3836">
        <w:t xml:space="preserve"> retained only matches in which both the 1850 and the 1880 record had a unique </w:t>
      </w:r>
      <w:r w:rsidR="007C44FA">
        <w:t>match</w:t>
      </w:r>
      <w:r w:rsidR="001E3836">
        <w:t xml:space="preserve"> in the opposite census.</w:t>
      </w:r>
      <w:r w:rsidR="000A77A0">
        <w:t xml:space="preserve"> </w:t>
      </w:r>
      <w:r>
        <w:t xml:space="preserve"> </w:t>
      </w:r>
      <w:r w:rsidR="000A77A0">
        <w:t xml:space="preserve">This linkage method is essentially </w:t>
      </w:r>
      <w:r w:rsidR="00741648">
        <w:t xml:space="preserve">similar to </w:t>
      </w:r>
      <w:r w:rsidR="000A77A0">
        <w:t xml:space="preserve">that introduced by Ferrie’s (1996) pioneering effort of mechanical record linkage. </w:t>
      </w:r>
      <w:r>
        <w:t xml:space="preserve"> </w:t>
      </w:r>
      <w:r w:rsidR="000A77A0">
        <w:t xml:space="preserve">Relative to Ferrie’s (1996) approach, our method incorporates recent innovations, such as the replacement of the NYSIIS name standardization algorithm with the use of orthographic distance measures, as in Beach et al. (2016), which reduces the danger of false links and has become </w:t>
      </w:r>
      <w:r w:rsidR="00741648">
        <w:t xml:space="preserve">common in the literature </w:t>
      </w:r>
      <w:r w:rsidR="000A77A0">
        <w:t>(Bailey et al. 2017; Abramitzky, Mill, and Pérez 2018).</w:t>
      </w:r>
      <w:r>
        <w:t xml:space="preserve"> </w:t>
      </w:r>
      <w:r w:rsidR="000A77A0">
        <w:t xml:space="preserve"> </w:t>
      </w:r>
      <w:r w:rsidR="00741648">
        <w:t>W</w:t>
      </w:r>
      <w:r w:rsidR="000A77A0">
        <w:t xml:space="preserve">e </w:t>
      </w:r>
      <w:r>
        <w:t>chose</w:t>
      </w:r>
      <w:r w:rsidR="000A77A0">
        <w:t xml:space="preserve"> </w:t>
      </w:r>
      <w:r w:rsidR="00741648">
        <w:t>this approach</w:t>
      </w:r>
      <w:r w:rsidR="000A77A0">
        <w:t xml:space="preserve"> because of its long-standing </w:t>
      </w:r>
      <w:r>
        <w:t>use</w:t>
      </w:r>
      <w:r w:rsidR="000A77A0">
        <w:t xml:space="preserve"> and its</w:t>
      </w:r>
      <w:r w:rsidR="00A71679">
        <w:t xml:space="preserve"> relatively</w:t>
      </w:r>
      <w:r w:rsidR="000A77A0">
        <w:t xml:space="preserve"> conservative nature in </w:t>
      </w:r>
      <w:r w:rsidR="005D62E2">
        <w:t xml:space="preserve">selecting </w:t>
      </w:r>
      <w:r w:rsidR="000A77A0">
        <w:t>matches.</w:t>
      </w:r>
      <w:r>
        <w:t xml:space="preserve"> </w:t>
      </w:r>
    </w:p>
    <w:p w14:paraId="4DB5AE9C" w14:textId="3A6A62B2" w:rsidR="00A82648" w:rsidRDefault="007A4E2C" w:rsidP="009C06D3">
      <w:pPr>
        <w:widowControl w:val="0"/>
        <w:ind w:firstLine="720"/>
      </w:pPr>
      <w:r>
        <w:t>Table 2</w:t>
      </w:r>
      <w:r w:rsidR="00B626A8">
        <w:t xml:space="preserve"> presents rates of successful linkage</w:t>
      </w:r>
      <w:r w:rsidR="00446D3C">
        <w:t>.</w:t>
      </w:r>
      <w:r w:rsidR="00CE4E5B">
        <w:t xml:space="preserve"> </w:t>
      </w:r>
      <w:r w:rsidR="00DA0D44">
        <w:t xml:space="preserve"> </w:t>
      </w:r>
      <w:r w:rsidR="00BD24AA">
        <w:t xml:space="preserve">Column (1) shows the number of observations with which the linkage process began for each 1850 group. </w:t>
      </w:r>
      <w:r w:rsidR="005B5DA9">
        <w:t xml:space="preserve"> </w:t>
      </w:r>
      <w:r w:rsidR="00BD24AA">
        <w:t>Column (2)</w:t>
      </w:r>
      <w:r w:rsidR="002B5FF4">
        <w:t xml:space="preserve"> shows the fraction of individuals who remained after </w:t>
      </w:r>
      <w:r w:rsidR="00DA0D44">
        <w:t xml:space="preserve">removing </w:t>
      </w:r>
      <w:r w:rsidR="005B5DA9">
        <w:t>those</w:t>
      </w:r>
      <w:r w:rsidR="002B5FF4">
        <w:t xml:space="preserve"> who were not unique on name, birth place, and age</w:t>
      </w:r>
      <w:r w:rsidR="00BD24AA">
        <w:t>. T</w:t>
      </w:r>
      <w:r w:rsidR="002B5FF4">
        <w:t xml:space="preserve">he fraction of these individuals who were successfully located in 1880 </w:t>
      </w:r>
      <w:r w:rsidR="00BD24AA">
        <w:t xml:space="preserve">is shown </w:t>
      </w:r>
      <w:r w:rsidR="002B5FF4">
        <w:t xml:space="preserve">in column (3).  </w:t>
      </w:r>
      <w:r w:rsidR="00CE4E5B">
        <w:t>Among the Irish children, we link</w:t>
      </w:r>
      <w:r w:rsidR="00DA0D44">
        <w:t>ed</w:t>
      </w:r>
      <w:r w:rsidR="00CE4E5B">
        <w:t xml:space="preserve"> about 15 percent of the</w:t>
      </w:r>
      <w:r w:rsidR="00045DF5">
        <w:t xml:space="preserve"> unique</w:t>
      </w:r>
      <w:r w:rsidR="00CE4E5B">
        <w:t xml:space="preserve"> famine</w:t>
      </w:r>
      <w:r w:rsidR="00266106">
        <w:t>-era</w:t>
      </w:r>
      <w:r w:rsidR="00CE4E5B">
        <w:t xml:space="preserve"> Irish and about 20 percent of the </w:t>
      </w:r>
      <w:r w:rsidR="00045DF5">
        <w:t xml:space="preserve">unique </w:t>
      </w:r>
      <w:r w:rsidR="00CE4E5B">
        <w:t xml:space="preserve">pre-famine Irish. </w:t>
      </w:r>
      <w:r w:rsidR="00DA0D44">
        <w:t xml:space="preserve"> </w:t>
      </w:r>
      <w:r w:rsidR="00CE4E5B">
        <w:t xml:space="preserve">Among Germans, the rates </w:t>
      </w:r>
      <w:r w:rsidR="00187640">
        <w:t xml:space="preserve">of linkage </w:t>
      </w:r>
      <w:r w:rsidR="00CE4E5B">
        <w:t>are comparable</w:t>
      </w:r>
      <w:r w:rsidR="0074064E">
        <w:t xml:space="preserve"> to the Irish</w:t>
      </w:r>
      <w:r w:rsidR="00CE4E5B">
        <w:t xml:space="preserve">, whereas they are between 23 and 26 percent for the British and Americans. </w:t>
      </w:r>
      <w:r w:rsidR="0022502C">
        <w:t xml:space="preserve"> </w:t>
      </w:r>
      <w:r w:rsidR="00313153">
        <w:t xml:space="preserve">These match rates for the British and Americans are comparable to those of Ferrie </w:t>
      </w:r>
      <w:r w:rsidR="005C487B">
        <w:t>(</w:t>
      </w:r>
      <w:r w:rsidR="00313153">
        <w:t xml:space="preserve">1996, </w:t>
      </w:r>
      <w:r w:rsidR="00981571">
        <w:t xml:space="preserve">p. 145 and </w:t>
      </w:r>
      <w:r w:rsidR="00313153">
        <w:t xml:space="preserve">Table 4). </w:t>
      </w:r>
      <w:r w:rsidR="00DA0D44">
        <w:t xml:space="preserve"> </w:t>
      </w:r>
      <w:r w:rsidR="00A82648">
        <w:t xml:space="preserve">The match rates for the Irish and Germans are somewhat lower, </w:t>
      </w:r>
      <w:r w:rsidR="00DA0D44">
        <w:t>and</w:t>
      </w:r>
      <w:r w:rsidR="00B72090">
        <w:t xml:space="preserve"> there are reasons to expect this.</w:t>
      </w:r>
      <w:r w:rsidR="00844E6F">
        <w:t xml:space="preserve"> </w:t>
      </w:r>
      <w:r w:rsidR="00B72090">
        <w:t xml:space="preserve"> Besides the lower levels of literacy and education of the Irish, which </w:t>
      </w:r>
      <w:r w:rsidR="00844E6F">
        <w:t>may tend</w:t>
      </w:r>
      <w:r w:rsidR="00B72090">
        <w:t xml:space="preserve"> to reduce match rates, the arrivals of large cohorts of Irish and German</w:t>
      </w:r>
      <w:r w:rsidR="0074064E">
        <w:t xml:space="preserve"> immigrants</w:t>
      </w:r>
      <w:r w:rsidR="00B72090">
        <w:t xml:space="preserve"> after 1850 would have potentially confounded links even of individuals who were unique in 1850.</w:t>
      </w:r>
      <w:r w:rsidR="00B72090">
        <w:rPr>
          <w:rStyle w:val="FootnoteReference"/>
        </w:rPr>
        <w:footnoteReference w:id="24"/>
      </w:r>
    </w:p>
    <w:p w14:paraId="2EAB59E6" w14:textId="1B6B79A6" w:rsidR="00A444F8" w:rsidRDefault="00A444F8" w:rsidP="009C06D3">
      <w:pPr>
        <w:widowControl w:val="0"/>
      </w:pPr>
      <w:r>
        <w:tab/>
      </w:r>
      <w:r w:rsidR="00476750">
        <w:t>In sum, o</w:t>
      </w:r>
      <w:r>
        <w:t>ur</w:t>
      </w:r>
      <w:r w:rsidR="008E5618">
        <w:t xml:space="preserve"> </w:t>
      </w:r>
      <w:r w:rsidR="00762C15">
        <w:t>benchmark</w:t>
      </w:r>
      <w:r w:rsidR="00360DB3">
        <w:t xml:space="preserve"> </w:t>
      </w:r>
      <w:r>
        <w:t xml:space="preserve">dataset </w:t>
      </w:r>
      <w:r w:rsidR="0081711C">
        <w:t xml:space="preserve">of children </w:t>
      </w:r>
      <w:r>
        <w:t>consists of males who were aged 0</w:t>
      </w:r>
      <w:r w:rsidR="005A7060">
        <w:t xml:space="preserve"> to </w:t>
      </w:r>
      <w:r>
        <w:t>18 in 1850,</w:t>
      </w:r>
      <w:r w:rsidR="00A754B6">
        <w:t xml:space="preserve"> sons of the household head in 1850</w:t>
      </w:r>
      <w:r w:rsidR="00DA0D44">
        <w:t xml:space="preserve"> (according to the Ruggles et al. 2015 classification)</w:t>
      </w:r>
      <w:r w:rsidR="00A754B6">
        <w:t>,</w:t>
      </w:r>
      <w:r>
        <w:t xml:space="preserve"> successfully linked from the 1850 to the 1880 US census, born in the </w:t>
      </w:r>
      <w:r w:rsidR="005A7060">
        <w:t>US</w:t>
      </w:r>
      <w:r>
        <w:t>, Ireland, Britain, or Germany</w:t>
      </w:r>
      <w:r w:rsidR="009D7071">
        <w:t>, and with a father born in the US, Ireland, Britain, or Germany</w:t>
      </w:r>
      <w:r>
        <w:t>.</w:t>
      </w:r>
      <w:r w:rsidR="0022502C">
        <w:t xml:space="preserve"> </w:t>
      </w:r>
      <w:r w:rsidR="00360DB3">
        <w:t xml:space="preserve"> </w:t>
      </w:r>
      <w:r>
        <w:t xml:space="preserve">We also require that, if the </w:t>
      </w:r>
      <w:r w:rsidR="00DA0D44">
        <w:t xml:space="preserve">child’s </w:t>
      </w:r>
      <w:r>
        <w:t>head of household in 1850 was an immigrant, it was possible to determine whether the head of household was in the famine</w:t>
      </w:r>
      <w:r w:rsidR="00DA0D44">
        <w:t>-era</w:t>
      </w:r>
      <w:r>
        <w:t xml:space="preserve"> or the pre-famine </w:t>
      </w:r>
      <w:r w:rsidR="00360DB3">
        <w:t xml:space="preserve">arrival </w:t>
      </w:r>
      <w:r>
        <w:t>cohort.</w:t>
      </w:r>
      <w:r w:rsidR="00187640">
        <w:t xml:space="preserve"> </w:t>
      </w:r>
      <w:r w:rsidR="0022502C">
        <w:t xml:space="preserve"> </w:t>
      </w:r>
    </w:p>
    <w:p w14:paraId="557F574D" w14:textId="77777777" w:rsidR="001C710B" w:rsidRDefault="001C710B" w:rsidP="009C06D3">
      <w:pPr>
        <w:widowControl w:val="0"/>
      </w:pPr>
    </w:p>
    <w:p w14:paraId="095D1F0C" w14:textId="50F4E156" w:rsidR="002A0D5B" w:rsidRDefault="002A0D5B" w:rsidP="009C06D3">
      <w:pPr>
        <w:widowControl w:val="0"/>
        <w:rPr>
          <w:i/>
        </w:rPr>
      </w:pPr>
      <w:r>
        <w:rPr>
          <w:i/>
        </w:rPr>
        <w:t xml:space="preserve">Potential </w:t>
      </w:r>
      <w:r w:rsidR="00345719">
        <w:rPr>
          <w:i/>
        </w:rPr>
        <w:t>p</w:t>
      </w:r>
      <w:r>
        <w:rPr>
          <w:i/>
        </w:rPr>
        <w:t>itfalls</w:t>
      </w:r>
      <w:r w:rsidR="00476750">
        <w:rPr>
          <w:i/>
        </w:rPr>
        <w:t xml:space="preserve"> in data construction</w:t>
      </w:r>
    </w:p>
    <w:p w14:paraId="3C922ECB" w14:textId="014967B7" w:rsidR="002643A1" w:rsidRDefault="006E306F" w:rsidP="002643A1">
      <w:pPr>
        <w:widowControl w:val="0"/>
        <w:ind w:firstLine="720"/>
      </w:pPr>
      <w:r>
        <w:t>O</w:t>
      </w:r>
      <w:r w:rsidR="004359D3">
        <w:t>ur data construction process</w:t>
      </w:r>
      <w:r>
        <w:t xml:space="preserve"> is subject to four main potential pitfalls</w:t>
      </w:r>
      <w:r w:rsidR="004359D3">
        <w:t xml:space="preserve">. </w:t>
      </w:r>
      <w:r w:rsidR="0094298B">
        <w:t xml:space="preserve"> </w:t>
      </w:r>
      <w:r w:rsidR="002643A1">
        <w:t>First, only a fraction of 1850 individuals are linked to the 1880 census, and selection into linkage is likely to be non-random.  In Appendix A, we present linear probability models that relate the probability of being linked to a variety of characteristics in 1850.  There are several statistically significant predictors of selection into linkage,</w:t>
      </w:r>
      <w:r w:rsidR="002643A1" w:rsidRPr="001C5E6C">
        <w:t xml:space="preserve"> </w:t>
      </w:r>
      <w:r w:rsidR="002643A1">
        <w:t xml:space="preserve">such as higher property ownership and literacy; this is typical in studies that link census data (e.g., Abramitzky, Boustan, and Eriksson 2014; Beach et al. 2016).  However, most differences are small, as indicated in </w:t>
      </w:r>
      <w:r w:rsidR="002643A1" w:rsidRPr="00C171FB">
        <w:t>Figur</w:t>
      </w:r>
      <w:r w:rsidR="00C171FB">
        <w:t>e 1</w:t>
      </w:r>
      <w:r w:rsidR="002643A1">
        <w:t>, which compares means of variables for linked children and all children of Irish migrants in 1850.  To address selection into linkage, we weight all of the analyses by the inverse of the estimated conditional probability of successful linkage.</w:t>
      </w:r>
      <w:r w:rsidR="002643A1">
        <w:rPr>
          <w:rStyle w:val="FootnoteReference"/>
        </w:rPr>
        <w:footnoteReference w:id="25"/>
      </w:r>
      <w:r w:rsidR="002643A1">
        <w:t xml:space="preserve"> </w:t>
      </w:r>
    </w:p>
    <w:p w14:paraId="4F1A0480" w14:textId="7223DCED" w:rsidR="002643A1" w:rsidRDefault="002643A1" w:rsidP="002643A1">
      <w:pPr>
        <w:widowControl w:val="0"/>
        <w:ind w:firstLine="720"/>
      </w:pPr>
      <w:r>
        <w:t>The second issue is that</w:t>
      </w:r>
      <w:r w:rsidR="00F21EF2">
        <w:t xml:space="preserve"> some</w:t>
      </w:r>
      <w:r>
        <w:t xml:space="preserve"> automated linkage methods may yield a high rate of false positives in matching (Bailey et al. 2017).  Our linkage approach mitigates this concern</w:t>
      </w:r>
      <w:r w:rsidR="00F21EF2">
        <w:t>, though it cannot be entirely avoided</w:t>
      </w:r>
      <w:r>
        <w:t>.  We eliminate individuals who are not unique in terms of the linkage characteristics from the sample that we attempt to link; this reduces the probability of a making false match.  Moreover, we do not make links on the basis of a name standardization algorithm, a practice that Bailey et al. (2017) highlight as a source of false positives.</w:t>
      </w:r>
      <w:r>
        <w:rPr>
          <w:rStyle w:val="FootnoteReference"/>
        </w:rPr>
        <w:footnoteReference w:id="26"/>
      </w:r>
      <w:r>
        <w:t xml:space="preserve">  To verify that false positives in linkage are not responsible for our results, we have also examined a sample of exact</w:t>
      </w:r>
      <w:r w:rsidR="008C008B">
        <w:t xml:space="preserve"> unique</w:t>
      </w:r>
      <w:r>
        <w:t xml:space="preserve"> matches only.</w:t>
      </w:r>
      <w:r w:rsidR="006E0A9B">
        <w:rPr>
          <w:rStyle w:val="FootnoteReference"/>
        </w:rPr>
        <w:footnoteReference w:id="27"/>
      </w:r>
      <w:r>
        <w:t xml:space="preserve">  This further reduces the probability of false matches and does not qualitatively affect our main results.</w:t>
      </w:r>
    </w:p>
    <w:p w14:paraId="64AF9F9E" w14:textId="1388A7B4" w:rsidR="00AA4442" w:rsidRDefault="002643A1" w:rsidP="002643A1">
      <w:pPr>
        <w:widowControl w:val="0"/>
        <w:ind w:firstLine="720"/>
      </w:pPr>
      <w:r>
        <w:t>A third</w:t>
      </w:r>
      <w:r w:rsidR="00CD0BC3">
        <w:t xml:space="preserve"> concern is that </w:t>
      </w:r>
      <w:r w:rsidR="00590407">
        <w:t xml:space="preserve">the roughly two-thirds of children whose </w:t>
      </w:r>
      <w:r w:rsidR="00165940">
        <w:t>father’s</w:t>
      </w:r>
      <w:r w:rsidR="00590407">
        <w:t xml:space="preserve"> arrival cohort </w:t>
      </w:r>
      <w:r w:rsidR="00165940">
        <w:t>is definitively c</w:t>
      </w:r>
      <w:r w:rsidR="00590407">
        <w:t xml:space="preserve">lassified </w:t>
      </w:r>
      <w:r w:rsidR="0091275E">
        <w:t>might</w:t>
      </w:r>
      <w:r w:rsidR="00590407">
        <w:t xml:space="preserve"> not </w:t>
      </w:r>
      <w:r w:rsidR="0091275E">
        <w:t xml:space="preserve">be </w:t>
      </w:r>
      <w:r w:rsidR="00590407">
        <w:t>representative of the population of children in 1850</w:t>
      </w:r>
      <w:r w:rsidR="00590407" w:rsidRPr="005905E9">
        <w:t xml:space="preserve">. </w:t>
      </w:r>
      <w:r w:rsidR="00727854" w:rsidRPr="005905E9">
        <w:t xml:space="preserve"> </w:t>
      </w:r>
      <w:r w:rsidR="00590407" w:rsidRPr="005905E9">
        <w:t xml:space="preserve">To determine whether selection into successful classification is likely to bias our results, we compare the </w:t>
      </w:r>
      <w:r w:rsidR="000068A8" w:rsidRPr="005905E9">
        <w:t xml:space="preserve">means of </w:t>
      </w:r>
      <w:r w:rsidR="00590407" w:rsidRPr="005905E9">
        <w:t>1850 observables of the classified</w:t>
      </w:r>
      <w:r w:rsidR="00E13D27" w:rsidRPr="005905E9">
        <w:t xml:space="preserve"> Irish</w:t>
      </w:r>
      <w:r w:rsidR="00590407" w:rsidRPr="005905E9">
        <w:t xml:space="preserve"> children to those of the whole sample of </w:t>
      </w:r>
      <w:r w:rsidR="00E13D27" w:rsidRPr="005905E9">
        <w:t xml:space="preserve">Irish </w:t>
      </w:r>
      <w:r w:rsidR="00590407" w:rsidRPr="005905E9">
        <w:t xml:space="preserve">children in </w:t>
      </w:r>
      <w:r w:rsidR="00C171FB">
        <w:t>Figure 2</w:t>
      </w:r>
      <w:r w:rsidR="00590407" w:rsidRPr="005905E9">
        <w:t>.</w:t>
      </w:r>
      <w:r w:rsidR="00590407" w:rsidRPr="005905E9">
        <w:rPr>
          <w:rStyle w:val="FootnoteReference"/>
        </w:rPr>
        <w:footnoteReference w:id="28"/>
      </w:r>
      <w:r w:rsidR="00E13D27" w:rsidRPr="00727854">
        <w:rPr>
          <w:color w:val="FF0000"/>
        </w:rPr>
        <w:t xml:space="preserve">  </w:t>
      </w:r>
      <w:r w:rsidR="00921899">
        <w:t>Though t</w:t>
      </w:r>
      <w:r w:rsidR="006C6D40">
        <w:t>he classification does appear to favor individuals with better socioeconomic status, such as those whose household heads owned more property in 1850, the differences between the classified group and all childr</w:t>
      </w:r>
      <w:r w:rsidR="007457F2">
        <w:t xml:space="preserve">en </w:t>
      </w:r>
      <w:r w:rsidR="00727854">
        <w:t>are</w:t>
      </w:r>
      <w:r w:rsidR="007457F2">
        <w:t xml:space="preserve"> small.</w:t>
      </w:r>
      <w:r w:rsidR="00BF3D37">
        <w:rPr>
          <w:rStyle w:val="FootnoteReference"/>
        </w:rPr>
        <w:footnoteReference w:id="29"/>
      </w:r>
      <w:r w:rsidR="00C547B6">
        <w:t xml:space="preserve"> </w:t>
      </w:r>
    </w:p>
    <w:p w14:paraId="67DF681B" w14:textId="3C689713" w:rsidR="00CD0BC3" w:rsidRPr="00DF368A" w:rsidRDefault="002643A1" w:rsidP="009C06D3">
      <w:pPr>
        <w:widowControl w:val="0"/>
        <w:ind w:firstLine="720"/>
      </w:pPr>
      <w:r>
        <w:t>Finally, t</w:t>
      </w:r>
      <w:r w:rsidR="00CD0BC3" w:rsidRPr="00DF368A">
        <w:t xml:space="preserve">here is concern that </w:t>
      </w:r>
      <w:r w:rsidR="00CD0BC3">
        <w:t xml:space="preserve">the </w:t>
      </w:r>
      <w:r w:rsidR="00CD0BC3" w:rsidRPr="00DF368A">
        <w:t xml:space="preserve">categorization </w:t>
      </w:r>
      <w:r w:rsidR="008C008B">
        <w:t xml:space="preserve">of arrival cohort </w:t>
      </w:r>
      <w:r w:rsidR="00CD0BC3" w:rsidRPr="00DF368A">
        <w:t xml:space="preserve">is </w:t>
      </w:r>
      <w:r w:rsidR="00CD0BC3">
        <w:t>confounded</w:t>
      </w:r>
      <w:r w:rsidR="00CD0BC3" w:rsidRPr="00DF368A">
        <w:t xml:space="preserve"> by incorrect reporting of </w:t>
      </w:r>
      <w:r w:rsidR="00CD0BC3">
        <w:t xml:space="preserve">children’s </w:t>
      </w:r>
      <w:r w:rsidR="00CD0BC3" w:rsidRPr="00DF368A">
        <w:t xml:space="preserve">ages. </w:t>
      </w:r>
      <w:r w:rsidR="00B01DE4">
        <w:t xml:space="preserve"> </w:t>
      </w:r>
      <w:r w:rsidR="00CD0BC3">
        <w:t>We</w:t>
      </w:r>
      <w:r w:rsidR="00CD0BC3" w:rsidRPr="00DF368A">
        <w:t xml:space="preserve"> view the danger of age heaping as less severe for children than it would be for adults due to the greater developmental di</w:t>
      </w:r>
      <w:r w:rsidR="00267E8B">
        <w:t>fference</w:t>
      </w:r>
      <w:r w:rsidR="008F312C">
        <w:t>s</w:t>
      </w:r>
      <w:r w:rsidR="00267E8B">
        <w:t xml:space="preserve"> by age among children.</w:t>
      </w:r>
      <w:r w:rsidR="00CD0BC3" w:rsidRPr="00DF368A">
        <w:t xml:space="preserve"> </w:t>
      </w:r>
      <w:r w:rsidR="008F312C">
        <w:t xml:space="preserve"> </w:t>
      </w:r>
      <w:r w:rsidR="00CD0BC3" w:rsidRPr="00DF368A">
        <w:t xml:space="preserve">To provide direct evidence, we randomly selected </w:t>
      </w:r>
      <w:r w:rsidR="005B1A5B">
        <w:t>50 classified</w:t>
      </w:r>
      <w:r w:rsidR="00CD0BC3" w:rsidRPr="00DF368A">
        <w:t xml:space="preserve"> households from our linked data, stratifying to include 25 of ea</w:t>
      </w:r>
      <w:r w:rsidR="005B1A5B">
        <w:t>ch categorization group (famine and</w:t>
      </w:r>
      <w:r w:rsidR="00CD0BC3" w:rsidRPr="00DF368A">
        <w:t xml:space="preserve"> pre-famine) and se</w:t>
      </w:r>
      <w:r w:rsidR="007457F2">
        <w:t>arched</w:t>
      </w:r>
      <w:r w:rsidR="00A12211">
        <w:t xml:space="preserve"> carefully</w:t>
      </w:r>
      <w:r w:rsidR="007457F2">
        <w:t xml:space="preserve"> for their passenger list records</w:t>
      </w:r>
      <w:r w:rsidR="00CD0BC3" w:rsidRPr="00DF368A">
        <w:t xml:space="preserve"> using Ancestry.com. </w:t>
      </w:r>
      <w:r w:rsidR="00CD0BC3">
        <w:t xml:space="preserve"> </w:t>
      </w:r>
      <w:r w:rsidR="00CD0BC3" w:rsidRPr="00333302">
        <w:t>Although we wer</w:t>
      </w:r>
      <w:r w:rsidR="000C34AD">
        <w:t xml:space="preserve">e able to locate only 10 of these </w:t>
      </w:r>
      <w:r w:rsidR="00CD0BC3" w:rsidRPr="00333302">
        <w:t>households definitively,</w:t>
      </w:r>
      <w:r w:rsidR="007457F2">
        <w:rPr>
          <w:rStyle w:val="FootnoteReference"/>
        </w:rPr>
        <w:footnoteReference w:id="30"/>
      </w:r>
      <w:r w:rsidR="00CD0BC3" w:rsidRPr="00333302">
        <w:t xml:space="preserve"> all 10 were correctly categorized by the age- and birthplace-based algorithm.</w:t>
      </w:r>
    </w:p>
    <w:p w14:paraId="435CB669" w14:textId="77777777" w:rsidR="002643A1" w:rsidRDefault="002643A1" w:rsidP="002643A1">
      <w:pPr>
        <w:widowControl w:val="0"/>
        <w:ind w:firstLine="720"/>
      </w:pPr>
    </w:p>
    <w:p w14:paraId="6F319DB9" w14:textId="44BFCD20" w:rsidR="00AD54D4" w:rsidRDefault="00AD54D4" w:rsidP="009C06D3">
      <w:pPr>
        <w:widowControl w:val="0"/>
        <w:rPr>
          <w:i/>
        </w:rPr>
      </w:pPr>
      <w:r>
        <w:rPr>
          <w:i/>
        </w:rPr>
        <w:t xml:space="preserve">Additional </w:t>
      </w:r>
      <w:r w:rsidR="00500348">
        <w:rPr>
          <w:i/>
        </w:rPr>
        <w:t>variables</w:t>
      </w:r>
      <w:r w:rsidR="00057E01">
        <w:rPr>
          <w:i/>
        </w:rPr>
        <w:t xml:space="preserve"> of interest</w:t>
      </w:r>
    </w:p>
    <w:p w14:paraId="0B5AEC5F" w14:textId="588ED105" w:rsidR="00DF368A" w:rsidRDefault="00F543AB" w:rsidP="009C06D3">
      <w:pPr>
        <w:widowControl w:val="0"/>
        <w:ind w:firstLine="720"/>
      </w:pPr>
      <w:r>
        <w:t>The US census did not collect information on income before 1940</w:t>
      </w:r>
      <w:r w:rsidR="002D19C2">
        <w:t>;</w:t>
      </w:r>
      <w:r>
        <w:t xml:space="preserve"> therefore</w:t>
      </w:r>
      <w:r w:rsidR="002D19C2">
        <w:t>,</w:t>
      </w:r>
      <w:r>
        <w:t xml:space="preserve"> we rely heavily on </w:t>
      </w:r>
      <w:r w:rsidR="00FE7686">
        <w:t>occupation to indicate men’s relative economic status</w:t>
      </w:r>
      <w:r w:rsidR="00FE7686" w:rsidRPr="00B77EF5">
        <w:t>.</w:t>
      </w:r>
      <w:r w:rsidR="00FB71DE" w:rsidRPr="00B77EF5">
        <w:t xml:space="preserve">  The simplest approach is to </w:t>
      </w:r>
      <w:r w:rsidR="00C633DC" w:rsidRPr="00B77EF5">
        <w:t>define and study</w:t>
      </w:r>
      <w:r w:rsidR="00FB71DE" w:rsidRPr="00B77EF5">
        <w:t xml:space="preserve"> a categorical</w:t>
      </w:r>
      <w:r w:rsidR="00C633DC" w:rsidRPr="00B77EF5">
        <w:t xml:space="preserve"> </w:t>
      </w:r>
      <w:r w:rsidR="00FB71DE" w:rsidRPr="00B77EF5">
        <w:t xml:space="preserve">variable for “unskilled labor,” </w:t>
      </w:r>
      <w:r w:rsidR="00785891" w:rsidRPr="00B77EF5">
        <w:t xml:space="preserve">which combines “laborers” and other </w:t>
      </w:r>
      <w:r w:rsidR="00B77EF5">
        <w:t>relatively low-</w:t>
      </w:r>
      <w:r w:rsidR="00785891" w:rsidRPr="00B77EF5">
        <w:t>skilled occupations, such as “porter</w:t>
      </w:r>
      <w:r w:rsidR="00B77EF5">
        <w:t>”</w:t>
      </w:r>
      <w:r w:rsidR="00785891" w:rsidRPr="00B77EF5">
        <w:t xml:space="preserve"> and </w:t>
      </w:r>
      <w:r w:rsidR="00B77EF5" w:rsidRPr="00B77EF5">
        <w:t>“miner” (following Ferrie 1995</w:t>
      </w:r>
      <w:r w:rsidR="00F10A63">
        <w:t>, 1999</w:t>
      </w:r>
      <w:r w:rsidR="00B77EF5" w:rsidRPr="00B77EF5">
        <w:t>).</w:t>
      </w:r>
      <w:r w:rsidR="00FB71DE">
        <w:t xml:space="preserve"> </w:t>
      </w:r>
      <w:r w:rsidR="00FE7686">
        <w:t xml:space="preserve"> In addition</w:t>
      </w:r>
      <w:r w:rsidR="00FB71DE">
        <w:t>,</w:t>
      </w:r>
      <w:r w:rsidR="00FE7686">
        <w:t xml:space="preserve"> we create a variable that exploits the 1870 census’s information on real and personal wealth.  </w:t>
      </w:r>
      <w:r w:rsidR="006B27AE">
        <w:t>For each occupation-by-region</w:t>
      </w:r>
      <w:r w:rsidR="00EF43F1">
        <w:t xml:space="preserve"> (North/South)</w:t>
      </w:r>
      <w:r w:rsidR="006B27AE">
        <w:t xml:space="preserve"> cell, we calculate a “wealth score” that equals the average </w:t>
      </w:r>
      <w:r w:rsidR="00E51AEE">
        <w:t>total wealth of men (age 30</w:t>
      </w:r>
      <w:r w:rsidR="00FE7686">
        <w:t>-</w:t>
      </w:r>
      <w:r w:rsidR="00E51AEE">
        <w:t>65</w:t>
      </w:r>
      <w:r w:rsidR="00FE7686">
        <w:t>)</w:t>
      </w:r>
      <w:r w:rsidR="00F17BFD">
        <w:t xml:space="preserve"> in the one-percent sample of the 1870 census (Ruggles et al. 2015; Minnesota Population Center 2017)</w:t>
      </w:r>
      <w:r w:rsidR="00FE7686">
        <w:t>.</w:t>
      </w:r>
      <w:r w:rsidR="00C633DC">
        <w:rPr>
          <w:rStyle w:val="FootnoteReference"/>
        </w:rPr>
        <w:footnoteReference w:id="31"/>
      </w:r>
      <w:r w:rsidR="006B27AE">
        <w:t xml:space="preserve">  </w:t>
      </w:r>
      <w:r w:rsidR="00FE7686">
        <w:t xml:space="preserve">This is akin to the </w:t>
      </w:r>
      <w:r w:rsidR="00EF43F1">
        <w:t>occupation sc</w:t>
      </w:r>
      <w:r w:rsidR="00FE7686">
        <w:t>ore variable based on 1950</w:t>
      </w:r>
      <w:r w:rsidR="00EF43F1">
        <w:t xml:space="preserve"> income</w:t>
      </w:r>
      <w:r w:rsidR="00FE7686">
        <w:t xml:space="preserve"> data</w:t>
      </w:r>
      <w:r w:rsidR="00057E01">
        <w:t xml:space="preserve"> that </w:t>
      </w:r>
      <w:r w:rsidR="00FE7686">
        <w:t>is often used in studies of twentieth-century US labor markets</w:t>
      </w:r>
      <w:r w:rsidR="00C633DC">
        <w:t>.</w:t>
      </w:r>
      <w:r w:rsidR="002403F8">
        <w:rPr>
          <w:rStyle w:val="FootnoteReference"/>
        </w:rPr>
        <w:footnoteReference w:id="32"/>
      </w:r>
      <w:r w:rsidR="00C633DC">
        <w:t xml:space="preserve">  We</w:t>
      </w:r>
      <w:r w:rsidR="002D19C2">
        <w:t xml:space="preserve"> believe the 1870-based </w:t>
      </w:r>
      <w:r w:rsidR="00DD4999">
        <w:t>occupation</w:t>
      </w:r>
      <w:r w:rsidR="002D19C2">
        <w:t xml:space="preserve"> score is better suited for studying </w:t>
      </w:r>
      <w:r w:rsidR="00334FA8">
        <w:t>t</w:t>
      </w:r>
      <w:r w:rsidR="002D19C2">
        <w:t>he mid-nineteenth century</w:t>
      </w:r>
      <w:r w:rsidR="00C633DC">
        <w:t xml:space="preserve"> because it </w:t>
      </w:r>
      <w:r w:rsidR="006B27AE">
        <w:t>is, of course, closer in time to our period of study, and it</w:t>
      </w:r>
      <w:r w:rsidR="00CF4438">
        <w:t xml:space="preserve"> is designed to allow</w:t>
      </w:r>
      <w:r w:rsidR="006B27AE">
        <w:t xml:space="preserve"> for differences between the North and South.</w:t>
      </w:r>
      <w:r w:rsidR="00FE7686">
        <w:t xml:space="preserve"> </w:t>
      </w:r>
      <w:r w:rsidR="00EF43F1">
        <w:t xml:space="preserve"> </w:t>
      </w:r>
      <w:r w:rsidR="003B2063">
        <w:t>We also use this wealth</w:t>
      </w:r>
      <w:r w:rsidR="0091275E">
        <w:t xml:space="preserve"> score</w:t>
      </w:r>
      <w:r w:rsidR="003B2063">
        <w:t xml:space="preserve"> to </w:t>
      </w:r>
      <w:r w:rsidR="00C73037">
        <w:t xml:space="preserve">define </w:t>
      </w:r>
      <w:r w:rsidR="0091275E">
        <w:t>an o</w:t>
      </w:r>
      <w:r w:rsidR="00C73037">
        <w:t xml:space="preserve">ccupational </w:t>
      </w:r>
      <w:r w:rsidR="0091275E">
        <w:t>r</w:t>
      </w:r>
      <w:r w:rsidR="00C73037">
        <w:t xml:space="preserve">ank </w:t>
      </w:r>
      <w:r w:rsidR="0091275E">
        <w:t xml:space="preserve">variable, which represents </w:t>
      </w:r>
      <w:r w:rsidR="00C73037">
        <w:t>the percentile of the wealth score in the sample.</w:t>
      </w:r>
      <w:r w:rsidR="00C73037">
        <w:rPr>
          <w:rStyle w:val="FootnoteReference"/>
        </w:rPr>
        <w:footnoteReference w:id="33"/>
      </w:r>
      <w:r w:rsidR="00C73037">
        <w:t xml:space="preserve"> </w:t>
      </w:r>
    </w:p>
    <w:p w14:paraId="14FDA74A" w14:textId="6004F45A" w:rsidR="0066460B" w:rsidRPr="003A5EF0" w:rsidRDefault="00002285" w:rsidP="00C81404">
      <w:pPr>
        <w:widowControl w:val="0"/>
        <w:ind w:firstLine="720"/>
      </w:pPr>
      <w:r>
        <w:t xml:space="preserve">For analysis of heterogeneity in outcomes among the Irish (Section 5), we constructed three additional variables.  </w:t>
      </w:r>
      <w:r w:rsidR="00F543AB">
        <w:t xml:space="preserve">The Irish immigrants’ predominantly Catholic religion was </w:t>
      </w:r>
      <w:r w:rsidR="00057E01">
        <w:t>salient</w:t>
      </w:r>
      <w:r w:rsidR="00F543AB">
        <w:t xml:space="preserve"> </w:t>
      </w:r>
      <w:r w:rsidR="00403EEA">
        <w:t xml:space="preserve">and controversial </w:t>
      </w:r>
      <w:r w:rsidR="00F543AB">
        <w:t xml:space="preserve">at the time, but </w:t>
      </w:r>
      <w:r w:rsidR="00403EEA">
        <w:t xml:space="preserve">of course </w:t>
      </w:r>
      <w:r w:rsidR="00F543AB">
        <w:t>there was variation in religio</w:t>
      </w:r>
      <w:r w:rsidR="00403EEA">
        <w:t>us affiliation</w:t>
      </w:r>
      <w:r w:rsidR="00F543AB">
        <w:t xml:space="preserve"> among the Irish.</w:t>
      </w:r>
      <w:r w:rsidR="00334FA8">
        <w:t xml:space="preserve">  The US </w:t>
      </w:r>
      <w:r w:rsidR="003C46FD">
        <w:t xml:space="preserve">population </w:t>
      </w:r>
      <w:r w:rsidR="00334FA8">
        <w:t>census has never inquired about individuals’ religious affiliation</w:t>
      </w:r>
      <w:r w:rsidR="0010505D">
        <w:t>, and no such information is available from passenger lists</w:t>
      </w:r>
      <w:r w:rsidR="00334FA8">
        <w:t xml:space="preserve">.  </w:t>
      </w:r>
      <w:r w:rsidR="00057E01">
        <w:t>To gain some insight</w:t>
      </w:r>
      <w:r w:rsidR="00334FA8">
        <w:t xml:space="preserve"> on the association between religion and economic outcomes for the Irish</w:t>
      </w:r>
      <w:r w:rsidR="00057E01">
        <w:t xml:space="preserve">, </w:t>
      </w:r>
      <w:r w:rsidR="00F543AB">
        <w:t>we construct a measure of “</w:t>
      </w:r>
      <w:r w:rsidR="005B1C56">
        <w:t>Catholicity</w:t>
      </w:r>
      <w:r w:rsidR="00F543AB">
        <w:t>” based on surnames.</w:t>
      </w:r>
      <w:r w:rsidR="00AE2CB1">
        <w:rPr>
          <w:rStyle w:val="FootnoteReference"/>
        </w:rPr>
        <w:footnoteReference w:id="34"/>
      </w:r>
      <w:r w:rsidR="00F543AB">
        <w:t xml:space="preserve"> </w:t>
      </w:r>
      <w:r w:rsidR="00057E01">
        <w:t xml:space="preserve"> </w:t>
      </w:r>
      <w:r w:rsidR="00F543AB">
        <w:t xml:space="preserve">In particular, </w:t>
      </w:r>
      <w:r w:rsidR="00334FA8">
        <w:t xml:space="preserve">we use </w:t>
      </w:r>
      <w:r w:rsidR="008261A6">
        <w:t xml:space="preserve">full-count </w:t>
      </w:r>
      <w:r w:rsidR="00334FA8">
        <w:t xml:space="preserve">micro-level data </w:t>
      </w:r>
      <w:r w:rsidR="0066460B">
        <w:t xml:space="preserve">from Ireland’s 1901 census </w:t>
      </w:r>
      <w:r w:rsidR="00334FA8">
        <w:t>to calculate</w:t>
      </w:r>
      <w:r w:rsidR="008261A6">
        <w:t xml:space="preserve"> </w:t>
      </w:r>
      <w:r w:rsidR="00334FA8">
        <w:t xml:space="preserve">the fraction of individuals </w:t>
      </w:r>
      <w:r w:rsidR="0000118A">
        <w:t>that were Catholic by surname</w:t>
      </w:r>
      <w:r w:rsidR="00334FA8">
        <w:t xml:space="preserve">; then, we merge that </w:t>
      </w:r>
      <w:r w:rsidR="008261A6">
        <w:t xml:space="preserve">surname-based </w:t>
      </w:r>
      <w:r w:rsidR="00334FA8">
        <w:t xml:space="preserve">information </w:t>
      </w:r>
      <w:r w:rsidR="0000118A">
        <w:t xml:space="preserve">with </w:t>
      </w:r>
      <w:r w:rsidR="008261A6">
        <w:t>our</w:t>
      </w:r>
      <w:r w:rsidR="008C008B">
        <w:t xml:space="preserve"> linked</w:t>
      </w:r>
      <w:r w:rsidR="008261A6">
        <w:t xml:space="preserve"> data</w:t>
      </w:r>
      <w:r w:rsidR="008C008B">
        <w:t>set</w:t>
      </w:r>
      <w:r w:rsidR="008261A6">
        <w:t xml:space="preserve"> from the </w:t>
      </w:r>
      <w:r w:rsidR="00F543AB">
        <w:t xml:space="preserve">US </w:t>
      </w:r>
      <w:r w:rsidR="00334FA8">
        <w:t>c</w:t>
      </w:r>
      <w:r w:rsidR="00F543AB">
        <w:t>ensus.</w:t>
      </w:r>
      <w:r w:rsidR="00F543AB">
        <w:rPr>
          <w:rStyle w:val="FootnoteReference"/>
        </w:rPr>
        <w:footnoteReference w:id="35"/>
      </w:r>
      <w:r w:rsidR="00F543AB">
        <w:t xml:space="preserve"> </w:t>
      </w:r>
      <w:r w:rsidR="0066460B">
        <w:t xml:space="preserve"> </w:t>
      </w:r>
      <w:r w:rsidR="00F543AB">
        <w:t xml:space="preserve">The details of the procedure are provided in </w:t>
      </w:r>
      <w:r w:rsidR="00F543AB" w:rsidRPr="00CF0F58">
        <w:t xml:space="preserve">Appendix </w:t>
      </w:r>
      <w:r w:rsidR="00CF0F58" w:rsidRPr="00CF0F58">
        <w:t>B</w:t>
      </w:r>
      <w:r w:rsidR="00F543AB" w:rsidRPr="00CF0F58">
        <w:t>.</w:t>
      </w:r>
      <w:r w:rsidR="00057E01">
        <w:t xml:space="preserve">  </w:t>
      </w:r>
      <w:r w:rsidR="00CF4438">
        <w:t>This</w:t>
      </w:r>
      <w:r w:rsidR="000E0E64">
        <w:t xml:space="preserve"> adds a useful</w:t>
      </w:r>
      <w:r w:rsidR="00403EEA">
        <w:t xml:space="preserve"> dimension to the description of Irish immigrants and </w:t>
      </w:r>
      <w:r w:rsidR="005756E8">
        <w:t>within-Irish heterogeneity in labor market o</w:t>
      </w:r>
      <w:r w:rsidR="00403EEA">
        <w:t>utcomes</w:t>
      </w:r>
      <w:r w:rsidR="005F69BD">
        <w:t>.</w:t>
      </w:r>
    </w:p>
    <w:p w14:paraId="2B8B1C7C" w14:textId="209599F3" w:rsidR="00126B32" w:rsidRPr="003A5EF0" w:rsidRDefault="00ED04B6" w:rsidP="00D80B76">
      <w:pPr>
        <w:widowControl w:val="0"/>
        <w:ind w:firstLine="720"/>
        <w:rPr>
          <w:rFonts w:cs="Times New Roman"/>
        </w:rPr>
      </w:pPr>
      <w:r w:rsidRPr="003A5EF0">
        <w:t xml:space="preserve">We also create a </w:t>
      </w:r>
      <w:r w:rsidR="008C008B" w:rsidRPr="003A5EF0">
        <w:t xml:space="preserve">variable that </w:t>
      </w:r>
      <w:r w:rsidR="008C008B" w:rsidRPr="003A5EF0">
        <w:rPr>
          <w:rFonts w:cs="Times New Roman"/>
        </w:rPr>
        <w:t>measures the fraction of the 100 closest households that were headed by Irish men</w:t>
      </w:r>
      <w:r w:rsidR="00C65B0C" w:rsidRPr="003A5EF0">
        <w:rPr>
          <w:rFonts w:cs="Times New Roman"/>
        </w:rPr>
        <w:t xml:space="preserve"> in 1850</w:t>
      </w:r>
      <w:r w:rsidR="008C008B" w:rsidRPr="003A5EF0">
        <w:rPr>
          <w:rFonts w:cs="Times New Roman"/>
        </w:rPr>
        <w:t xml:space="preserve">, </w:t>
      </w:r>
      <w:r w:rsidR="00C65B0C" w:rsidRPr="003A5EF0">
        <w:t xml:space="preserve">as a way to gauge residence in </w:t>
      </w:r>
      <w:r w:rsidR="00CA6581" w:rsidRPr="003A5EF0">
        <w:t>Irish immigrant enclave</w:t>
      </w:r>
      <w:r w:rsidR="00C65B0C" w:rsidRPr="003A5EF0">
        <w:t>s</w:t>
      </w:r>
      <w:r w:rsidR="00334007" w:rsidRPr="003A5EF0">
        <w:t xml:space="preserve">.  </w:t>
      </w:r>
      <w:r w:rsidR="008C008B" w:rsidRPr="003A5EF0">
        <w:t>In this, w</w:t>
      </w:r>
      <w:r w:rsidR="00334007" w:rsidRPr="003A5EF0">
        <w:t>e</w:t>
      </w:r>
      <w:r w:rsidR="0094094A" w:rsidRPr="003A5EF0">
        <w:t xml:space="preserve"> </w:t>
      </w:r>
      <w:r w:rsidR="0094094A" w:rsidRPr="003A5EF0">
        <w:rPr>
          <w:rFonts w:cs="Times New Roman"/>
        </w:rPr>
        <w:t xml:space="preserve">follow Logan and Parman (2017) and rely </w:t>
      </w:r>
      <w:r w:rsidR="00CA6581" w:rsidRPr="003A5EF0">
        <w:rPr>
          <w:rFonts w:cs="Times New Roman"/>
        </w:rPr>
        <w:t xml:space="preserve">on the idea that individuals close to one another on </w:t>
      </w:r>
      <w:r w:rsidR="00334007" w:rsidRPr="003A5EF0">
        <w:rPr>
          <w:rFonts w:cs="Times New Roman"/>
        </w:rPr>
        <w:t xml:space="preserve">census </w:t>
      </w:r>
      <w:r w:rsidR="00CA6581" w:rsidRPr="003A5EF0">
        <w:rPr>
          <w:rFonts w:cs="Times New Roman"/>
        </w:rPr>
        <w:t>manuscript pages were</w:t>
      </w:r>
      <w:r w:rsidR="001D5C40">
        <w:rPr>
          <w:rFonts w:cs="Times New Roman"/>
        </w:rPr>
        <w:t xml:space="preserve"> likely</w:t>
      </w:r>
      <w:r w:rsidR="00CA6581" w:rsidRPr="003A5EF0">
        <w:rPr>
          <w:rFonts w:cs="Times New Roman"/>
        </w:rPr>
        <w:t xml:space="preserve"> geographically proximate to one another. </w:t>
      </w:r>
      <w:r w:rsidR="008C008B" w:rsidRPr="003A5EF0">
        <w:rPr>
          <w:rFonts w:cs="Times New Roman"/>
        </w:rPr>
        <w:t xml:space="preserve"> </w:t>
      </w:r>
      <w:r w:rsidRPr="003A5EF0">
        <w:rPr>
          <w:rFonts w:cs="Times New Roman"/>
        </w:rPr>
        <w:t>Finally, we</w:t>
      </w:r>
      <w:r w:rsidR="00126B32" w:rsidRPr="003A5EF0">
        <w:rPr>
          <w:rFonts w:cs="Times New Roman"/>
        </w:rPr>
        <w:t xml:space="preserve"> create</w:t>
      </w:r>
      <w:r w:rsidR="008C008B" w:rsidRPr="003A5EF0">
        <w:rPr>
          <w:rFonts w:cs="Times New Roman"/>
        </w:rPr>
        <w:t>d</w:t>
      </w:r>
      <w:r w:rsidR="00126B32" w:rsidRPr="003A5EF0">
        <w:rPr>
          <w:rFonts w:cs="Times New Roman"/>
        </w:rPr>
        <w:t xml:space="preserve"> </w:t>
      </w:r>
      <w:r w:rsidR="008C008B" w:rsidRPr="003A5EF0">
        <w:rPr>
          <w:rFonts w:cs="Times New Roman"/>
        </w:rPr>
        <w:t xml:space="preserve">an </w:t>
      </w:r>
      <w:r w:rsidR="00126B32" w:rsidRPr="003A5EF0">
        <w:rPr>
          <w:rFonts w:cs="Times New Roman"/>
        </w:rPr>
        <w:t xml:space="preserve">indicator for having moved states between 1850 and 1880, </w:t>
      </w:r>
      <w:r w:rsidR="008C008B" w:rsidRPr="003A5EF0">
        <w:rPr>
          <w:rFonts w:cs="Times New Roman"/>
        </w:rPr>
        <w:t>which</w:t>
      </w:r>
      <w:r w:rsidR="00AE034D" w:rsidRPr="003A5EF0">
        <w:rPr>
          <w:rFonts w:cs="Times New Roman"/>
        </w:rPr>
        <w:t xml:space="preserve"> may shed light on whether geographic mobility was associated with upward occupational mobility</w:t>
      </w:r>
      <w:r w:rsidRPr="003A5EF0">
        <w:rPr>
          <w:rFonts w:cs="Times New Roman"/>
        </w:rPr>
        <w:t xml:space="preserve"> for the Irish.</w:t>
      </w:r>
      <w:r w:rsidR="003A5EF0" w:rsidRPr="003A5EF0">
        <w:rPr>
          <w:rFonts w:cs="Times New Roman"/>
        </w:rPr>
        <w:t xml:space="preserve">  Geographic mobility is a major theme in American economic development, especially in the nineteenth century, but whether it was a direct conduit for Irish </w:t>
      </w:r>
      <w:r w:rsidR="00954D85">
        <w:rPr>
          <w:rFonts w:cs="Times New Roman"/>
        </w:rPr>
        <w:t xml:space="preserve">immigrants’ </w:t>
      </w:r>
      <w:r w:rsidR="003A5EF0" w:rsidRPr="003A5EF0">
        <w:rPr>
          <w:rFonts w:cs="Times New Roman"/>
        </w:rPr>
        <w:t>economic gains is an open question.</w:t>
      </w:r>
      <w:r w:rsidRPr="003A5EF0">
        <w:rPr>
          <w:rFonts w:cs="Times New Roman"/>
        </w:rPr>
        <w:t xml:space="preserve"> </w:t>
      </w:r>
      <w:r w:rsidR="00C113B3" w:rsidRPr="003A5EF0">
        <w:rPr>
          <w:rFonts w:cs="Times New Roman"/>
        </w:rPr>
        <w:t xml:space="preserve"> </w:t>
      </w:r>
    </w:p>
    <w:p w14:paraId="49DEF449" w14:textId="77777777" w:rsidR="0027064C" w:rsidRDefault="0027064C" w:rsidP="009C06D3">
      <w:pPr>
        <w:widowControl w:val="0"/>
        <w:ind w:firstLine="720"/>
      </w:pPr>
    </w:p>
    <w:p w14:paraId="15465B6E" w14:textId="29DE7C5E" w:rsidR="00DF23CA" w:rsidRDefault="001453D5" w:rsidP="009C06D3">
      <w:pPr>
        <w:widowControl w:val="0"/>
        <w:rPr>
          <w:b/>
        </w:rPr>
      </w:pPr>
      <w:r>
        <w:rPr>
          <w:b/>
        </w:rPr>
        <w:t>4</w:t>
      </w:r>
      <w:r w:rsidR="00DF23CA">
        <w:rPr>
          <w:b/>
        </w:rPr>
        <w:t xml:space="preserve">. </w:t>
      </w:r>
      <w:r w:rsidR="00DF23CA" w:rsidRPr="00D440C0">
        <w:rPr>
          <w:b/>
        </w:rPr>
        <w:t>Results</w:t>
      </w:r>
      <w:r w:rsidR="007F2F74">
        <w:rPr>
          <w:b/>
        </w:rPr>
        <w:t xml:space="preserve"> describing the selection and </w:t>
      </w:r>
      <w:r w:rsidR="00954D85">
        <w:rPr>
          <w:b/>
        </w:rPr>
        <w:t xml:space="preserve">economic </w:t>
      </w:r>
      <w:r w:rsidR="007F2F74">
        <w:rPr>
          <w:b/>
        </w:rPr>
        <w:t xml:space="preserve">assimilation of Irish </w:t>
      </w:r>
      <w:r w:rsidR="006C2D4F">
        <w:rPr>
          <w:b/>
        </w:rPr>
        <w:t>im</w:t>
      </w:r>
      <w:r w:rsidR="007F2F74">
        <w:rPr>
          <w:b/>
        </w:rPr>
        <w:t>migrants</w:t>
      </w:r>
    </w:p>
    <w:p w14:paraId="12221373" w14:textId="6D5C095B" w:rsidR="00F43FB4" w:rsidRDefault="00A76EB8" w:rsidP="009C06D3">
      <w:pPr>
        <w:widowControl w:val="0"/>
        <w:ind w:firstLine="720"/>
      </w:pPr>
      <w:r>
        <w:t>We</w:t>
      </w:r>
      <w:r w:rsidR="007F2F74">
        <w:t xml:space="preserve"> first describe the 1850 household characteristics of the children of famine-era immigrants.  T</w:t>
      </w:r>
      <w:r w:rsidR="00F43FB4">
        <w:t xml:space="preserve">he 1850 data are informative regarding three aspects of the famine-era migration. </w:t>
      </w:r>
      <w:r w:rsidR="007F2F74">
        <w:t xml:space="preserve"> </w:t>
      </w:r>
      <w:r w:rsidR="00F43FB4">
        <w:t>First, differences in the human capital characteristics of fathers over arrival cohorts (i.e., in their literacy and numeracy) are informative about changes in migrant selection during the famine.</w:t>
      </w:r>
      <w:r w:rsidR="00F43FB4">
        <w:rPr>
          <w:rStyle w:val="FootnoteReference"/>
        </w:rPr>
        <w:footnoteReference w:id="36"/>
      </w:r>
      <w:r w:rsidR="007F2F74">
        <w:t xml:space="preserve"> </w:t>
      </w:r>
      <w:r w:rsidR="00F43FB4">
        <w:t xml:space="preserve"> Second, fathers’ labor market outcomes are informative about the combination of changing migrant selection and difficult labor market conditions experienced by immigrants arriving during the Great Famine. </w:t>
      </w:r>
      <w:r w:rsidR="007F2F74">
        <w:t xml:space="preserve"> </w:t>
      </w:r>
      <w:r w:rsidR="00F43FB4">
        <w:t>Finally</w:t>
      </w:r>
      <w:r w:rsidR="00F9429A">
        <w:t>,</w:t>
      </w:r>
      <w:r w:rsidR="001C3F4A">
        <w:t xml:space="preserve"> and most importantly given our focus on intergenerational assimilation</w:t>
      </w:r>
      <w:r w:rsidR="00F43FB4">
        <w:t>, all of the</w:t>
      </w:r>
      <w:r w:rsidR="007F2F74">
        <w:t xml:space="preserve"> 1850</w:t>
      </w:r>
      <w:r w:rsidR="00F43FB4">
        <w:t xml:space="preserve"> variables</w:t>
      </w:r>
      <w:r w:rsidR="003138FA">
        <w:t xml:space="preserve"> </w:t>
      </w:r>
      <w:r w:rsidR="00F43FB4">
        <w:t>are informative about the early-life conditions experienced by the children of immigrants</w:t>
      </w:r>
      <w:r w:rsidR="007F2F74">
        <w:t>.</w:t>
      </w:r>
      <w:r w:rsidR="00A76F1D">
        <w:t xml:space="preserve">  </w:t>
      </w:r>
    </w:p>
    <w:p w14:paraId="0DF64EC5" w14:textId="4BF775AC" w:rsidR="00A76F1D" w:rsidRDefault="007F2F74" w:rsidP="006B7AD0">
      <w:pPr>
        <w:widowControl w:val="0"/>
        <w:ind w:firstLine="720"/>
      </w:pPr>
      <w:r>
        <w:t xml:space="preserve">Then, we examine the children’s outcomes in the labor market in 1880.  </w:t>
      </w:r>
      <w:r w:rsidR="00AC1513">
        <w:t>By this time, the children are between 30 and 48 years old, a useful range for observing adult labor market outcomes</w:t>
      </w:r>
      <w:r w:rsidR="00927621">
        <w:t xml:space="preserve"> in an i</w:t>
      </w:r>
      <w:r w:rsidR="0015342C">
        <w:t xml:space="preserve">ntergenerational framework </w:t>
      </w:r>
      <w:r w:rsidR="0015342C" w:rsidRPr="00F768C7">
        <w:t>(</w:t>
      </w:r>
      <w:r w:rsidR="00F768C7" w:rsidRPr="00F768C7">
        <w:t xml:space="preserve">Haider and </w:t>
      </w:r>
      <w:r w:rsidR="00003978" w:rsidRPr="00F768C7">
        <w:t>Solon</w:t>
      </w:r>
      <w:r w:rsidR="00F768C7" w:rsidRPr="00F768C7">
        <w:t xml:space="preserve"> 2006</w:t>
      </w:r>
      <w:r w:rsidR="00003978" w:rsidRPr="00F768C7">
        <w:t xml:space="preserve">, </w:t>
      </w:r>
      <w:r w:rsidR="0015342C" w:rsidRPr="00F768C7">
        <w:t>Long and Ferrie 2013</w:t>
      </w:r>
      <w:r w:rsidR="00005CD9">
        <w:t>, Feigenbaum 2018</w:t>
      </w:r>
      <w:r w:rsidR="00927621" w:rsidRPr="00F768C7">
        <w:t>)</w:t>
      </w:r>
      <w:r w:rsidR="00AC1513">
        <w:t xml:space="preserve">. </w:t>
      </w:r>
      <w:r w:rsidR="00D91A28">
        <w:t xml:space="preserve"> I</w:t>
      </w:r>
      <w:r>
        <w:t xml:space="preserve">ndividual-level </w:t>
      </w:r>
      <w:r w:rsidR="00AC1513">
        <w:t xml:space="preserve">information on </w:t>
      </w:r>
      <w:r w:rsidR="00927621">
        <w:t xml:space="preserve">income </w:t>
      </w:r>
      <w:r w:rsidR="00C633DC">
        <w:t>or</w:t>
      </w:r>
      <w:r w:rsidR="00927621">
        <w:t xml:space="preserve"> </w:t>
      </w:r>
      <w:r w:rsidR="00AC1513">
        <w:t>wealth is not av</w:t>
      </w:r>
      <w:r w:rsidR="00D91A28">
        <w:t xml:space="preserve">ailable in 1880, and so we study </w:t>
      </w:r>
      <w:r w:rsidR="00AC1513">
        <w:t>occupation</w:t>
      </w:r>
      <w:r w:rsidR="00D91A28">
        <w:t>al</w:t>
      </w:r>
      <w:r w:rsidR="00AC1513">
        <w:t xml:space="preserve"> status</w:t>
      </w:r>
      <w:r w:rsidR="003138FA">
        <w:t xml:space="preserve"> as defined above</w:t>
      </w:r>
      <w:r w:rsidR="00AC1513">
        <w:t xml:space="preserve">.  </w:t>
      </w:r>
      <w:r w:rsidR="00927E3A">
        <w:t>We are particularly interested in whether the famine-era Irish children narrowed gaps in status relative to the children of US natives and other immigrant groups.  We are also interested in how they fared in a conditional sense—whether they did as well as observationa</w:t>
      </w:r>
      <w:r w:rsidR="00A22781">
        <w:t>l</w:t>
      </w:r>
      <w:r w:rsidR="00927E3A">
        <w:t>l</w:t>
      </w:r>
      <w:r w:rsidR="00A22781">
        <w:t>y similar</w:t>
      </w:r>
      <w:r w:rsidR="00927E3A">
        <w:t xml:space="preserve"> children from other groups.  </w:t>
      </w:r>
      <w:r w:rsidR="006B7AD0">
        <w:t xml:space="preserve">The ability to connect the children’s adult outcomes to their childhood households is a useful feature of the dataset, and it is rare in studies of </w:t>
      </w:r>
      <w:r w:rsidR="00FF14D1">
        <w:t xml:space="preserve">US </w:t>
      </w:r>
      <w:r w:rsidR="006B7AD0">
        <w:t xml:space="preserve">immigrant assimilation.  </w:t>
      </w:r>
    </w:p>
    <w:p w14:paraId="3889A20A" w14:textId="77777777" w:rsidR="00927E3A" w:rsidRDefault="00927E3A" w:rsidP="009C06D3">
      <w:pPr>
        <w:widowControl w:val="0"/>
        <w:ind w:firstLine="720"/>
        <w:rPr>
          <w:b/>
        </w:rPr>
      </w:pPr>
    </w:p>
    <w:p w14:paraId="17ED2BFF" w14:textId="77777777" w:rsidR="00AC156C" w:rsidRDefault="00AC156C" w:rsidP="009C06D3">
      <w:pPr>
        <w:widowControl w:val="0"/>
        <w:ind w:firstLine="720"/>
        <w:rPr>
          <w:b/>
        </w:rPr>
      </w:pPr>
    </w:p>
    <w:p w14:paraId="472E45C8" w14:textId="49B179F9" w:rsidR="00DF23CA" w:rsidRDefault="00DF23CA" w:rsidP="009C06D3">
      <w:pPr>
        <w:widowControl w:val="0"/>
        <w:rPr>
          <w:i/>
        </w:rPr>
      </w:pPr>
      <w:r>
        <w:rPr>
          <w:i/>
        </w:rPr>
        <w:t>Human capital</w:t>
      </w:r>
      <w:r w:rsidR="00B4749D">
        <w:rPr>
          <w:i/>
        </w:rPr>
        <w:t xml:space="preserve"> and </w:t>
      </w:r>
      <w:r>
        <w:rPr>
          <w:i/>
        </w:rPr>
        <w:t>occupational status</w:t>
      </w:r>
      <w:r w:rsidR="00B4749D">
        <w:rPr>
          <w:i/>
        </w:rPr>
        <w:t xml:space="preserve"> </w:t>
      </w:r>
      <w:r>
        <w:rPr>
          <w:i/>
        </w:rPr>
        <w:t>of household heads in 1850</w:t>
      </w:r>
      <w:r>
        <w:rPr>
          <w:i/>
        </w:rPr>
        <w:tab/>
      </w:r>
    </w:p>
    <w:p w14:paraId="43222829" w14:textId="12F4E15B" w:rsidR="00C633DC" w:rsidRDefault="0005137B" w:rsidP="009C06D3">
      <w:pPr>
        <w:widowControl w:val="0"/>
        <w:ind w:firstLine="720"/>
      </w:pPr>
      <w:r>
        <w:t>Table 3</w:t>
      </w:r>
      <w:r w:rsidR="00DF23CA">
        <w:t xml:space="preserve"> summarizes the 1850 variables for our main sample of linked and classified children, report</w:t>
      </w:r>
      <w:r w:rsidR="00554673">
        <w:t>ed s</w:t>
      </w:r>
      <w:r w:rsidR="00DF23CA">
        <w:t xml:space="preserve">eparately </w:t>
      </w:r>
      <w:r w:rsidR="008D650F">
        <w:t>by</w:t>
      </w:r>
      <w:r w:rsidR="00DF23CA">
        <w:t xml:space="preserve"> ethnicity and arrival cohort.</w:t>
      </w:r>
      <w:r w:rsidR="00ED7DB5">
        <w:t xml:space="preserve"> </w:t>
      </w:r>
      <w:r w:rsidR="00DF23CA">
        <w:t xml:space="preserve"> The</w:t>
      </w:r>
      <w:r w:rsidR="00B91C99">
        <w:t xml:space="preserve"> first</w:t>
      </w:r>
      <w:r w:rsidR="00C633DC">
        <w:t xml:space="preserve"> set of</w:t>
      </w:r>
      <w:r w:rsidR="00B91C99">
        <w:t xml:space="preserve"> </w:t>
      </w:r>
      <w:r w:rsidR="00DF23CA">
        <w:t>variables describe</w:t>
      </w:r>
      <w:r w:rsidR="00C633DC">
        <w:t>s</w:t>
      </w:r>
      <w:r w:rsidR="00DF23CA">
        <w:t xml:space="preserve"> the individual’s father in 1850.</w:t>
      </w:r>
      <w:r w:rsidR="00C81404">
        <w:rPr>
          <w:rStyle w:val="FootnoteReference"/>
        </w:rPr>
        <w:footnoteReference w:id="37"/>
      </w:r>
      <w:r w:rsidR="00DF23CA">
        <w:t xml:space="preserve"> </w:t>
      </w:r>
      <w:r w:rsidR="00ED7DB5">
        <w:t xml:space="preserve"> </w:t>
      </w:r>
      <w:r w:rsidR="00DF23CA">
        <w:t xml:space="preserve">We collect literacy </w:t>
      </w:r>
      <w:r w:rsidR="00B91C99">
        <w:t>directly</w:t>
      </w:r>
      <w:r w:rsidR="00DF23CA">
        <w:t xml:space="preserve"> from the census</w:t>
      </w:r>
      <w:r w:rsidR="00554673">
        <w:t>, and we</w:t>
      </w:r>
      <w:r w:rsidR="00DF23CA">
        <w:t xml:space="preserve"> construct a measure of numeracy, which is an indicator for reporting an age </w:t>
      </w:r>
      <w:r w:rsidR="00554673">
        <w:t xml:space="preserve">that is </w:t>
      </w:r>
      <w:r w:rsidR="00DF23CA">
        <w:t>not divisible by five.</w:t>
      </w:r>
      <w:r w:rsidR="00DF23CA">
        <w:rPr>
          <w:rStyle w:val="FootnoteReference"/>
        </w:rPr>
        <w:footnoteReference w:id="38"/>
      </w:r>
      <w:r w:rsidR="00DF23CA">
        <w:t xml:space="preserve"> </w:t>
      </w:r>
      <w:r w:rsidR="00ED7DB5">
        <w:t xml:space="preserve"> W</w:t>
      </w:r>
      <w:r w:rsidR="00DF23CA">
        <w:t>e</w:t>
      </w:r>
      <w:r w:rsidR="00ED7DB5">
        <w:t xml:space="preserve"> characterize occupational status with the</w:t>
      </w:r>
      <w:r w:rsidR="00DF23CA">
        <w:t xml:space="preserve"> wealth score, </w:t>
      </w:r>
      <w:r w:rsidR="00ED7DB5">
        <w:t xml:space="preserve">as </w:t>
      </w:r>
      <w:r w:rsidR="00DF23CA">
        <w:t>described above</w:t>
      </w:r>
      <w:r w:rsidR="00ED7DB5">
        <w:t xml:space="preserve">, and with </w:t>
      </w:r>
      <w:r w:rsidR="00FB0994">
        <w:t>broad o</w:t>
      </w:r>
      <w:r w:rsidR="00DF23CA">
        <w:t>ccupation</w:t>
      </w:r>
      <w:r w:rsidR="00554673">
        <w:t>al</w:t>
      </w:r>
      <w:r w:rsidR="00FB0994">
        <w:t xml:space="preserve"> groups</w:t>
      </w:r>
      <w:r w:rsidR="00ED7DB5">
        <w:t>.  W</w:t>
      </w:r>
      <w:r w:rsidR="00DF23CA">
        <w:t xml:space="preserve">e </w:t>
      </w:r>
      <w:r w:rsidR="00B91C99">
        <w:t>also observe directly t</w:t>
      </w:r>
      <w:r w:rsidR="00DF23CA">
        <w:t>he household head’s real property ownership</w:t>
      </w:r>
      <w:r w:rsidR="00B91C99">
        <w:t xml:space="preserve"> in 1850</w:t>
      </w:r>
      <w:r w:rsidR="00DF23CA">
        <w:t>.</w:t>
      </w:r>
      <w:r w:rsidR="001C2214">
        <w:t xml:space="preserve"> </w:t>
      </w:r>
      <w:r w:rsidR="00DF23CA">
        <w:t xml:space="preserve"> </w:t>
      </w:r>
      <w:r w:rsidR="001C2214">
        <w:t>For the children, we observe whether they attended</w:t>
      </w:r>
      <w:r w:rsidR="000F6643">
        <w:t xml:space="preserve"> </w:t>
      </w:r>
      <w:r w:rsidR="00DF23CA">
        <w:t xml:space="preserve">school </w:t>
      </w:r>
      <w:r w:rsidR="00B91C99">
        <w:t>in the year prior to the census</w:t>
      </w:r>
      <w:r w:rsidR="00F9429A">
        <w:t xml:space="preserve"> (ages 5 to 15)</w:t>
      </w:r>
      <w:r w:rsidR="00DF23CA">
        <w:t xml:space="preserve">. </w:t>
      </w:r>
      <w:r w:rsidR="00B91C99">
        <w:t xml:space="preserve"> </w:t>
      </w:r>
      <w:r w:rsidR="00DF23CA">
        <w:t xml:space="preserve">We also </w:t>
      </w:r>
      <w:r w:rsidR="00C01D33">
        <w:t>create</w:t>
      </w:r>
      <w:r w:rsidR="00DF23CA">
        <w:t xml:space="preserve"> indicator</w:t>
      </w:r>
      <w:r w:rsidR="00C01D33">
        <w:t xml:space="preserve"> variables</w:t>
      </w:r>
      <w:r w:rsidR="00DF23CA">
        <w:t xml:space="preserve"> for whether the child was US-born, and</w:t>
      </w:r>
      <w:r w:rsidR="000F6643">
        <w:t xml:space="preserve"> in the case of Irish children, w</w:t>
      </w:r>
      <w:r w:rsidR="00DF23CA">
        <w:t xml:space="preserve">hether the child was in utero during the famine (i.e., Irish-born 1846-1850). </w:t>
      </w:r>
      <w:r w:rsidR="00C01D33">
        <w:t xml:space="preserve"> </w:t>
      </w:r>
    </w:p>
    <w:p w14:paraId="6B456FF9" w14:textId="35151402" w:rsidR="003029FD" w:rsidRDefault="00DF23CA" w:rsidP="009C06D3">
      <w:pPr>
        <w:widowControl w:val="0"/>
      </w:pPr>
      <w:r>
        <w:tab/>
      </w:r>
      <w:r w:rsidR="00FA7226">
        <w:t>D</w:t>
      </w:r>
      <w:r>
        <w:t>ifferences between Irish and non-Irish</w:t>
      </w:r>
      <w:r w:rsidR="00BA1A7A">
        <w:t xml:space="preserve"> households</w:t>
      </w:r>
      <w:r w:rsidR="0004585A">
        <w:t xml:space="preserve"> are immediately apparent</w:t>
      </w:r>
      <w:r w:rsidR="001C3F4A">
        <w:t xml:space="preserve"> from these summary statistics</w:t>
      </w:r>
      <w:r w:rsidR="0004585A">
        <w:t xml:space="preserve">, as are differences </w:t>
      </w:r>
      <w:r>
        <w:t xml:space="preserve">between </w:t>
      </w:r>
      <w:r w:rsidR="00FA7226">
        <w:t>pre-</w:t>
      </w:r>
      <w:r>
        <w:t>famine and famine</w:t>
      </w:r>
      <w:r w:rsidR="00FA7226">
        <w:t>-era</w:t>
      </w:r>
      <w:r>
        <w:t xml:space="preserve"> </w:t>
      </w:r>
      <w:r w:rsidR="00BA1A7A">
        <w:t>arrival cohorts</w:t>
      </w:r>
      <w:r w:rsidR="00EB0BEF">
        <w:t xml:space="preserve"> of Irish immigrants</w:t>
      </w:r>
      <w:r>
        <w:t xml:space="preserve">. </w:t>
      </w:r>
      <w:r w:rsidR="00FA7226">
        <w:t xml:space="preserve"> </w:t>
      </w:r>
      <w:r>
        <w:t xml:space="preserve">Relative to natives and to other immigrant </w:t>
      </w:r>
      <w:r w:rsidR="00FA7226">
        <w:t>groups</w:t>
      </w:r>
      <w:r w:rsidR="00BA1A7A">
        <w:t>,</w:t>
      </w:r>
      <w:r>
        <w:t xml:space="preserve"> </w:t>
      </w:r>
      <w:r w:rsidR="00C01D33">
        <w:t xml:space="preserve">both arrival cohorts of the Irish </w:t>
      </w:r>
      <w:r>
        <w:t xml:space="preserve">were more likely to be </w:t>
      </w:r>
      <w:r w:rsidR="00FA7226">
        <w:t>i</w:t>
      </w:r>
      <w:r>
        <w:t xml:space="preserve">lliterate, </w:t>
      </w:r>
      <w:r w:rsidR="00FA7226">
        <w:t xml:space="preserve">innumerate, </w:t>
      </w:r>
      <w:r>
        <w:t>and</w:t>
      </w:r>
      <w:r w:rsidR="00547499">
        <w:t xml:space="preserve"> to hold</w:t>
      </w:r>
      <w:r>
        <w:t xml:space="preserve"> unskilled</w:t>
      </w:r>
      <w:r w:rsidR="00547499">
        <w:t xml:space="preserve"> occupations</w:t>
      </w:r>
      <w:r>
        <w:t>; as a result of the latter</w:t>
      </w:r>
      <w:r w:rsidR="0004585A">
        <w:t>,</w:t>
      </w:r>
      <w:r>
        <w:t xml:space="preserve"> they also had lower occupational wealth scores</w:t>
      </w:r>
      <w:r w:rsidR="003C172B">
        <w:t xml:space="preserve"> and ranks</w:t>
      </w:r>
      <w:r>
        <w:t xml:space="preserve">. </w:t>
      </w:r>
      <w:r w:rsidR="003029FD">
        <w:t xml:space="preserve"> </w:t>
      </w:r>
      <w:r w:rsidR="0004585A">
        <w:t xml:space="preserve">The </w:t>
      </w:r>
      <w:r>
        <w:t xml:space="preserve">Irish </w:t>
      </w:r>
      <w:r w:rsidR="003029FD">
        <w:t xml:space="preserve">also </w:t>
      </w:r>
      <w:r>
        <w:t>own</w:t>
      </w:r>
      <w:r w:rsidR="003029FD">
        <w:t>ed</w:t>
      </w:r>
      <w:r>
        <w:t xml:space="preserve"> less property than </w:t>
      </w:r>
      <w:r w:rsidR="003029FD">
        <w:t xml:space="preserve">other </w:t>
      </w:r>
      <w:r>
        <w:t xml:space="preserve">similarly tenured immigrants </w:t>
      </w:r>
      <w:r w:rsidR="00BE6348">
        <w:t>(</w:t>
      </w:r>
      <w:r>
        <w:t>or natives</w:t>
      </w:r>
      <w:r w:rsidR="00BE6348">
        <w:t>)</w:t>
      </w:r>
      <w:r>
        <w:t xml:space="preserve">. </w:t>
      </w:r>
      <w:r w:rsidR="003029FD">
        <w:t xml:space="preserve"> </w:t>
      </w:r>
      <w:r w:rsidR="00C01D33">
        <w:t>Within the Irish</w:t>
      </w:r>
      <w:r>
        <w:t xml:space="preserve">, there </w:t>
      </w:r>
      <w:r w:rsidR="00BA1A7A">
        <w:t>was</w:t>
      </w:r>
      <w:r>
        <w:t xml:space="preserve"> a considerable </w:t>
      </w:r>
      <w:r w:rsidR="00BA1A7A">
        <w:t>dis</w:t>
      </w:r>
      <w:r w:rsidR="001F5A25">
        <w:t>advantage</w:t>
      </w:r>
      <w:r>
        <w:t xml:space="preserve"> for </w:t>
      </w:r>
      <w:r w:rsidR="00BA1A7A">
        <w:t>the f</w:t>
      </w:r>
      <w:r>
        <w:t>amine</w:t>
      </w:r>
      <w:r w:rsidR="003029FD">
        <w:t>-era</w:t>
      </w:r>
      <w:r>
        <w:t xml:space="preserve"> </w:t>
      </w:r>
      <w:r w:rsidR="00003978">
        <w:t xml:space="preserve">arrivals </w:t>
      </w:r>
      <w:r w:rsidR="00BA1A7A">
        <w:t>compared to the pre-</w:t>
      </w:r>
      <w:r>
        <w:t xml:space="preserve">famine </w:t>
      </w:r>
      <w:r w:rsidR="00003978">
        <w:t>arrivals</w:t>
      </w:r>
      <w:r w:rsidR="002D5073">
        <w:t xml:space="preserve"> along these same dimensions</w:t>
      </w:r>
      <w:r w:rsidR="0004585A">
        <w:t xml:space="preserve">. </w:t>
      </w:r>
      <w:r w:rsidR="003029FD">
        <w:t xml:space="preserve"> </w:t>
      </w:r>
      <w:r w:rsidR="0004585A">
        <w:t>T</w:t>
      </w:r>
      <w:r>
        <w:t xml:space="preserve">he </w:t>
      </w:r>
      <w:r w:rsidR="00BA1A7A">
        <w:t>famine</w:t>
      </w:r>
      <w:r w:rsidR="00F43FB4">
        <w:t>-era</w:t>
      </w:r>
      <w:r w:rsidR="00BA1A7A">
        <w:t xml:space="preserve"> Irish</w:t>
      </w:r>
      <w:r w:rsidR="0004585A">
        <w:t xml:space="preserve"> </w:t>
      </w:r>
      <w:r w:rsidR="00F43FB4">
        <w:t xml:space="preserve">household heads </w:t>
      </w:r>
      <w:r w:rsidR="0004585A">
        <w:t xml:space="preserve">were </w:t>
      </w:r>
      <w:r>
        <w:t xml:space="preserve">less literate and numerate, </w:t>
      </w:r>
      <w:r w:rsidR="00F43FB4">
        <w:t xml:space="preserve">were more likely to hold an unskilled occupation, </w:t>
      </w:r>
      <w:r>
        <w:t xml:space="preserve">and </w:t>
      </w:r>
      <w:r w:rsidR="0004585A">
        <w:t>had</w:t>
      </w:r>
      <w:r w:rsidR="00BA1A7A">
        <w:t xml:space="preserve"> </w:t>
      </w:r>
      <w:r>
        <w:t>more Catholic surname</w:t>
      </w:r>
      <w:r w:rsidR="00BA1A7A">
        <w:t>s</w:t>
      </w:r>
      <w:r w:rsidR="00F43FB4">
        <w:t xml:space="preserve"> </w:t>
      </w:r>
      <w:r w:rsidR="00CB3024">
        <w:t xml:space="preserve">than earlier Irish immigrants. </w:t>
      </w:r>
      <w:r w:rsidR="00BE6348">
        <w:t xml:space="preserve"> </w:t>
      </w:r>
      <w:r w:rsidR="00CB3024">
        <w:t xml:space="preserve">They were also more likely to </w:t>
      </w:r>
      <w:r w:rsidR="00EF213D">
        <w:t>reside in an urban area and in proximity to other Irish than were earlier Irish immigrants.</w:t>
      </w:r>
    </w:p>
    <w:p w14:paraId="23104DD8" w14:textId="391F168F" w:rsidR="008957D9" w:rsidRDefault="00DF23CA" w:rsidP="009C06D3">
      <w:pPr>
        <w:widowControl w:val="0"/>
        <w:ind w:firstLine="720"/>
      </w:pPr>
      <w:r>
        <w:t xml:space="preserve">To </w:t>
      </w:r>
      <w:r w:rsidR="00C01D33">
        <w:t>characterize</w:t>
      </w:r>
      <w:r>
        <w:t xml:space="preserve"> these differences</w:t>
      </w:r>
      <w:r w:rsidR="00C01D33">
        <w:t xml:space="preserve"> more precisely</w:t>
      </w:r>
      <w:r>
        <w:t xml:space="preserve">, we estimate a </w:t>
      </w:r>
      <w:r w:rsidR="00116E0F">
        <w:t xml:space="preserve">regression </w:t>
      </w:r>
      <w:r>
        <w:t>specification of the form</w:t>
      </w:r>
      <w:r>
        <w:br/>
      </w:r>
      <m:oMathPara>
        <m:oMath>
          <m:eqArr>
            <m:eqArrPr>
              <m:maxDist m:val="1"/>
              <m:ctrlPr>
                <w:rPr>
                  <w:rFonts w:ascii="Cambria Math" w:eastAsia="MS Mincho" w:hAnsi="Cambria Math" w:cs="MS Mincho"/>
                  <w:i/>
                </w:rPr>
              </m:ctrlPr>
            </m:eqArrPr>
            <m:e>
              <m:sSub>
                <m:sSubPr>
                  <m:ctrlPr>
                    <w:rPr>
                      <w:rFonts w:ascii="Cambria Math" w:hAnsi="Cambria Math"/>
                      <w:i/>
                    </w:rPr>
                  </m:ctrlPr>
                </m:sSubPr>
                <m:e>
                  <m:r>
                    <w:rPr>
                      <w:rFonts w:ascii="Cambria Math" w:hAnsi="Cambria Math"/>
                    </w:rPr>
                    <m:t>y</m:t>
                  </m:r>
                </m:e>
                <m:sub>
                  <m:r>
                    <w:rPr>
                      <w:rFonts w:ascii="Cambria Math" w:hAnsi="Cambria Math"/>
                    </w:rPr>
                    <m:t>ijk</m:t>
                  </m:r>
                </m:sub>
              </m:sSub>
              <m:r>
                <w:rPr>
                  <w:rFonts w:ascii="Cambria Math" w:hAnsi="Cambria Math"/>
                </w:rPr>
                <m:t>=α+</m:t>
              </m:r>
              <m:nary>
                <m:naryPr>
                  <m:chr m:val="∑"/>
                  <m:supHide m:val="1"/>
                  <m:ctrlPr>
                    <w:rPr>
                      <w:rFonts w:ascii="Cambria Math" w:eastAsia="Helvetica" w:hAnsi="Cambria Math" w:cs="Helvetica"/>
                      <w:i/>
                    </w:rPr>
                  </m:ctrlPr>
                </m:naryPr>
                <m:sub>
                  <m:r>
                    <w:rPr>
                      <w:rFonts w:ascii="Cambria Math" w:hAnsi="Cambria Math"/>
                    </w:rPr>
                    <m:t>j</m:t>
                  </m:r>
                  <m:ctrlPr>
                    <w:rPr>
                      <w:rFonts w:ascii="Cambria Math" w:hAnsi="Cambria Math"/>
                      <w:i/>
                    </w:rPr>
                  </m:ctrlPr>
                </m:sub>
                <m:sup>
                  <m:ctrlPr>
                    <w:rPr>
                      <w:rFonts w:ascii="Cambria Math" w:eastAsia="MS Mincho" w:hAnsi="Cambria Math" w:cs="MS Mincho"/>
                      <w:i/>
                    </w:rPr>
                  </m:ctrlPr>
                </m:sup>
                <m:e>
                  <m:nary>
                    <m:naryPr>
                      <m:chr m:val="∑"/>
                      <m:supHide m:val="1"/>
                      <m:ctrlPr>
                        <w:rPr>
                          <w:rFonts w:ascii="Cambria Math" w:eastAsia="Helvetica" w:hAnsi="Cambria Math" w:cs="Helvetica"/>
                          <w:i/>
                        </w:rPr>
                      </m:ctrlPr>
                    </m:naryPr>
                    <m:sub>
                      <m:r>
                        <w:rPr>
                          <w:rFonts w:ascii="Cambria Math" w:hAnsi="Cambria Math"/>
                        </w:rPr>
                        <m:t>k</m:t>
                      </m:r>
                      <m:ctrlPr>
                        <w:rPr>
                          <w:rFonts w:ascii="Cambria Math" w:hAnsi="Cambria Math"/>
                          <w:i/>
                        </w:rPr>
                      </m:ctrlPr>
                    </m:sub>
                    <m:sup>
                      <m:ctrlPr>
                        <w:rPr>
                          <w:rFonts w:ascii="Cambria Math" w:eastAsia="MS Mincho" w:hAnsi="Cambria Math" w:cs="MS Mincho"/>
                          <w:i/>
                        </w:rPr>
                      </m:ctrlPr>
                    </m:sup>
                    <m:e>
                      <m:sSub>
                        <m:sSubPr>
                          <m:ctrlPr>
                            <w:rPr>
                              <w:rFonts w:ascii="Cambria Math" w:hAnsi="Cambria Math"/>
                              <w:i/>
                            </w:rPr>
                          </m:ctrlPr>
                        </m:sSubPr>
                        <m:e>
                          <m:r>
                            <w:rPr>
                              <w:rFonts w:ascii="Cambria Math" w:hAnsi="Cambria Math"/>
                            </w:rPr>
                            <m:t>δ</m:t>
                          </m:r>
                          <m:ctrlPr>
                            <w:rPr>
                              <w:rFonts w:ascii="Cambria Math" w:eastAsia="MS Mincho" w:hAnsi="Cambria Math" w:cs="MS Mincho"/>
                              <w:i/>
                            </w:rPr>
                          </m:ctrlPr>
                        </m:e>
                        <m:sub>
                          <m:r>
                            <w:rPr>
                              <w:rFonts w:ascii="Cambria Math" w:hAnsi="Cambria Math"/>
                            </w:rPr>
                            <m:t>jk</m:t>
                          </m:r>
                        </m:sub>
                      </m:sSub>
                      <m:ctrlPr>
                        <w:rPr>
                          <w:rFonts w:ascii="Cambria Math" w:eastAsia="MS Mincho" w:hAnsi="Cambria Math" w:cs="MS Mincho"/>
                          <w:i/>
                        </w:rPr>
                      </m:ctrlPr>
                    </m:e>
                  </m:nary>
                  <m:r>
                    <w:rPr>
                      <w:rFonts w:ascii="Cambria Math" w:hAnsi="Cambria Math"/>
                    </w:rPr>
                    <m:t>+</m:t>
                  </m:r>
                  <m:ctrlPr>
                    <w:rPr>
                      <w:rFonts w:ascii="Cambria Math" w:eastAsia="MS Mincho" w:hAnsi="Cambria Math" w:cs="MS Mincho"/>
                      <w:i/>
                    </w:rPr>
                  </m:ctrlPr>
                </m:e>
              </m:nary>
              <m:sSubSup>
                <m:sSubSupPr>
                  <m:ctrlPr>
                    <w:rPr>
                      <w:rFonts w:ascii="Cambria Math" w:eastAsia="MS Mincho" w:hAnsi="Cambria Math" w:cs="MS Mincho"/>
                      <w:i/>
                    </w:rPr>
                  </m:ctrlPr>
                </m:sSubSupPr>
                <m:e>
                  <m:r>
                    <m:rPr>
                      <m:sty m:val="b"/>
                    </m:rPr>
                    <w:rPr>
                      <w:rFonts w:ascii="Cambria Math" w:eastAsia="MS Mincho" w:hAnsi="Cambria Math" w:cs="MS Mincho"/>
                    </w:rPr>
                    <m:t>x</m:t>
                  </m:r>
                </m:e>
                <m:sub>
                  <m:r>
                    <w:rPr>
                      <w:rFonts w:ascii="Cambria Math" w:eastAsia="MS Mincho" w:hAnsi="Cambria Math" w:cs="MS Mincho"/>
                    </w:rPr>
                    <m:t>ijk</m:t>
                  </m:r>
                </m:sub>
                <m:sup>
                  <m:r>
                    <w:rPr>
                      <w:rFonts w:ascii="Cambria Math" w:eastAsia="MS Mincho" w:hAnsi="Cambria Math" w:cs="MS Mincho"/>
                    </w:rPr>
                    <m:t>'</m:t>
                  </m:r>
                </m:sup>
              </m:sSubSup>
              <m:r>
                <w:rPr>
                  <w:rFonts w:ascii="Cambria Math" w:eastAsia="MS Mincho" w:hAnsi="Cambria Math" w:cs="MS Mincho"/>
                </w:rPr>
                <m:t>β+</m:t>
              </m:r>
              <m:sSub>
                <m:sSubPr>
                  <m:ctrlPr>
                    <w:rPr>
                      <w:rFonts w:ascii="Cambria Math" w:eastAsia="MS Mincho" w:hAnsi="Cambria Math" w:cs="MS Mincho"/>
                      <w:i/>
                    </w:rPr>
                  </m:ctrlPr>
                </m:sSubPr>
                <m:e>
                  <m:r>
                    <w:rPr>
                      <w:rFonts w:ascii="Cambria Math" w:eastAsia="MS Mincho" w:hAnsi="Cambria Math" w:cs="MS Mincho"/>
                    </w:rPr>
                    <m:t>ε</m:t>
                  </m:r>
                </m:e>
                <m:sub>
                  <m:r>
                    <w:rPr>
                      <w:rFonts w:ascii="Cambria Math" w:eastAsia="MS Mincho" w:hAnsi="Cambria Math" w:cs="MS Mincho"/>
                    </w:rPr>
                    <m:t>ijk</m:t>
                  </m:r>
                </m:sub>
              </m:sSub>
              <m:r>
                <w:rPr>
                  <w:rFonts w:ascii="Cambria Math" w:hAnsi="Cambria Math"/>
                </w:rPr>
                <m:t>,     #</m:t>
              </m:r>
              <m:d>
                <m:dPr>
                  <m:ctrlPr>
                    <w:rPr>
                      <w:rFonts w:ascii="Cambria Math" w:eastAsia="MS Mincho" w:hAnsi="Cambria Math" w:cs="MS Mincho"/>
                      <w:i/>
                    </w:rPr>
                  </m:ctrlPr>
                </m:dPr>
                <m:e>
                  <m:r>
                    <w:rPr>
                      <w:rFonts w:ascii="Cambria Math" w:eastAsia="MS Mincho" w:hAnsi="Cambria Math" w:cs="MS Mincho"/>
                    </w:rPr>
                    <m:t>1</m:t>
                  </m:r>
                </m:e>
              </m:d>
              <m:ctrlPr>
                <w:rPr>
                  <w:rFonts w:ascii="Cambria Math" w:hAnsi="Cambria Math"/>
                  <w:i/>
                </w:rPr>
              </m:ctrlPr>
            </m:e>
          </m:eqArr>
          <m:r>
            <m:rPr>
              <m:sty m:val="p"/>
            </m:rPr>
            <w:br/>
          </m:r>
        </m:oMath>
      </m:oMathPara>
      <w:r>
        <w:t xml:space="preserve">where </w:t>
      </w:r>
      <m:oMath>
        <m:sSub>
          <m:sSubPr>
            <m:ctrlPr>
              <w:rPr>
                <w:rFonts w:ascii="Cambria Math" w:hAnsi="Cambria Math"/>
                <w:i/>
              </w:rPr>
            </m:ctrlPr>
          </m:sSubPr>
          <m:e>
            <m:r>
              <w:rPr>
                <w:rFonts w:ascii="Cambria Math" w:hAnsi="Cambria Math"/>
              </w:rPr>
              <m:t>y</m:t>
            </m:r>
          </m:e>
          <m:sub>
            <m:r>
              <w:rPr>
                <w:rFonts w:ascii="Cambria Math" w:hAnsi="Cambria Math"/>
              </w:rPr>
              <m:t>ijk</m:t>
            </m:r>
          </m:sub>
        </m:sSub>
      </m:oMath>
      <w:r>
        <w:t xml:space="preserve"> is some outcome for individual </w:t>
      </w:r>
      <m:oMath>
        <m:r>
          <w:rPr>
            <w:rFonts w:ascii="Cambria Math" w:hAnsi="Cambria Math"/>
          </w:rPr>
          <m:t xml:space="preserve">i </m:t>
        </m:r>
      </m:oMath>
      <w:r>
        <w:t xml:space="preserve">from ethnicity </w:t>
      </w:r>
      <m:oMath>
        <m:r>
          <w:rPr>
            <w:rFonts w:ascii="Cambria Math" w:hAnsi="Cambria Math"/>
          </w:rPr>
          <m:t xml:space="preserve">j </m:t>
        </m:r>
      </m:oMath>
      <w:r>
        <w:t xml:space="preserve">and </w:t>
      </w:r>
      <w:r w:rsidR="00BA1A7A">
        <w:t>arrival</w:t>
      </w:r>
      <w:r>
        <w:t xml:space="preserve"> cohort </w:t>
      </w:r>
      <m:oMath>
        <m:r>
          <w:rPr>
            <w:rFonts w:ascii="Cambria Math" w:hAnsi="Cambria Math"/>
          </w:rPr>
          <m:t>k.</m:t>
        </m:r>
      </m:oMath>
      <w:r>
        <w:t xml:space="preserve"> </w:t>
      </w:r>
      <w:r w:rsidR="00F04045">
        <w:t xml:space="preserve"> The coefficients of interest are </w:t>
      </w:r>
      <m:oMath>
        <m:sSub>
          <m:sSubPr>
            <m:ctrlPr>
              <w:rPr>
                <w:rFonts w:ascii="Cambria Math" w:hAnsi="Cambria Math"/>
                <w:i/>
              </w:rPr>
            </m:ctrlPr>
          </m:sSubPr>
          <m:e>
            <m:r>
              <w:rPr>
                <w:rFonts w:ascii="Cambria Math" w:hAnsi="Cambria Math"/>
              </w:rPr>
              <m:t>δ</m:t>
            </m:r>
          </m:e>
          <m:sub>
            <m:r>
              <w:rPr>
                <w:rFonts w:ascii="Cambria Math" w:hAnsi="Cambria Math"/>
              </w:rPr>
              <m:t>jk</m:t>
            </m:r>
          </m:sub>
        </m:sSub>
      </m:oMath>
      <w:r w:rsidR="00F04045">
        <w:t xml:space="preserve">, which reflect differences in means between each </w:t>
      </w:r>
      <w:r w:rsidR="000C15D7">
        <w:t>immigrant</w:t>
      </w:r>
      <w:r w:rsidR="00F04045">
        <w:t xml:space="preserve">-cohort group relative to </w:t>
      </w:r>
      <w:r w:rsidR="00B36C5C">
        <w:t xml:space="preserve">white </w:t>
      </w:r>
      <w:r w:rsidR="00F04045">
        <w:t>native-headed households</w:t>
      </w:r>
      <w:r w:rsidR="0018113F">
        <w:t xml:space="preserve"> (the excluded </w:t>
      </w:r>
      <w:r w:rsidR="00315060">
        <w:t>category</w:t>
      </w:r>
      <w:r w:rsidR="0018113F">
        <w:t>)</w:t>
      </w:r>
      <w:r w:rsidR="00F04045">
        <w:t xml:space="preserve">, conditional on </w:t>
      </w:r>
      <m:oMath>
        <m:sSub>
          <m:sSubPr>
            <m:ctrlPr>
              <w:rPr>
                <w:rFonts w:ascii="Cambria Math" w:hAnsi="Cambria Math"/>
                <w:i/>
              </w:rPr>
            </m:ctrlPr>
          </m:sSubPr>
          <m:e>
            <m:r>
              <m:rPr>
                <m:sty m:val="b"/>
              </m:rPr>
              <w:rPr>
                <w:rFonts w:ascii="Cambria Math" w:hAnsi="Cambria Math"/>
              </w:rPr>
              <m:t>x</m:t>
            </m:r>
          </m:e>
          <m:sub>
            <m:r>
              <w:rPr>
                <w:rFonts w:ascii="Cambria Math" w:hAnsi="Cambria Math"/>
              </w:rPr>
              <m:t>ijk</m:t>
            </m:r>
          </m:sub>
        </m:sSub>
      </m:oMath>
      <w:r>
        <w:t xml:space="preserve">. </w:t>
      </w:r>
      <w:r w:rsidR="00B36C5C">
        <w:t xml:space="preserve"> </w:t>
      </w:r>
      <w:r>
        <w:t xml:space="preserve">The controls </w:t>
      </w:r>
      <m:oMath>
        <m:sSub>
          <m:sSubPr>
            <m:ctrlPr>
              <w:rPr>
                <w:rFonts w:ascii="Cambria Math" w:hAnsi="Cambria Math"/>
                <w:i/>
              </w:rPr>
            </m:ctrlPr>
          </m:sSubPr>
          <m:e>
            <m:r>
              <m:rPr>
                <m:sty m:val="b"/>
              </m:rPr>
              <w:rPr>
                <w:rFonts w:ascii="Cambria Math" w:hAnsi="Cambria Math"/>
              </w:rPr>
              <m:t>x</m:t>
            </m:r>
          </m:e>
          <m:sub>
            <m:r>
              <w:rPr>
                <w:rFonts w:ascii="Cambria Math" w:hAnsi="Cambria Math"/>
              </w:rPr>
              <m:t>ijk</m:t>
            </m:r>
          </m:sub>
        </m:sSub>
        <m:r>
          <w:rPr>
            <w:rFonts w:ascii="Cambria Math" w:hAnsi="Cambria Math"/>
          </w:rPr>
          <m:t xml:space="preserve"> </m:t>
        </m:r>
      </m:oMath>
      <w:r>
        <w:t xml:space="preserve">in </w:t>
      </w:r>
      <w:r w:rsidR="00F04045">
        <w:t>the ba</w:t>
      </w:r>
      <w:r w:rsidR="000C15D7">
        <w:t>seline</w:t>
      </w:r>
      <w:r>
        <w:t xml:space="preserve"> case are simply a quartic in the age of the head of household, or indicators for </w:t>
      </w:r>
      <w:r w:rsidR="00C01D33">
        <w:t xml:space="preserve">the </w:t>
      </w:r>
      <w:r>
        <w:t>individual’s age for the</w:t>
      </w:r>
      <w:r w:rsidR="008B6E3E">
        <w:t xml:space="preserve"> analysis of</w:t>
      </w:r>
      <w:r>
        <w:t xml:space="preserve"> </w:t>
      </w:r>
      <w:r w:rsidR="004F5CAF">
        <w:t xml:space="preserve">children’s </w:t>
      </w:r>
      <w:r>
        <w:t>school</w:t>
      </w:r>
      <w:r w:rsidR="008B6E3E">
        <w:t xml:space="preserve"> attendance</w:t>
      </w:r>
      <w:r>
        <w:t>.</w:t>
      </w:r>
      <w:r w:rsidR="00772708">
        <w:t xml:space="preserve"> </w:t>
      </w:r>
    </w:p>
    <w:p w14:paraId="39A90517" w14:textId="3C14B938" w:rsidR="00F26039" w:rsidRDefault="000C15D7" w:rsidP="009C06D3">
      <w:pPr>
        <w:widowControl w:val="0"/>
        <w:ind w:firstLine="720"/>
      </w:pPr>
      <w:r>
        <w:t xml:space="preserve">We also test the null hypothesis that the difference in </w:t>
      </w:r>
      <m:oMath>
        <m:sSub>
          <m:sSubPr>
            <m:ctrlPr>
              <w:rPr>
                <w:rFonts w:ascii="Cambria Math" w:hAnsi="Cambria Math"/>
                <w:i/>
              </w:rPr>
            </m:ctrlPr>
          </m:sSubPr>
          <m:e>
            <m:r>
              <w:rPr>
                <w:rFonts w:ascii="Cambria Math" w:hAnsi="Cambria Math"/>
              </w:rPr>
              <m:t>δ</m:t>
            </m:r>
          </m:e>
          <m:sub>
            <m:r>
              <w:rPr>
                <w:rFonts w:ascii="Cambria Math" w:hAnsi="Cambria Math"/>
              </w:rPr>
              <m:t>jk</m:t>
            </m:r>
          </m:sub>
        </m:sSub>
      </m:oMath>
      <w:r>
        <w:t xml:space="preserve"> coefficients across Irish arrival cohorts is equal to the difference for the British and Germans.</w:t>
      </w:r>
      <w:r>
        <w:rPr>
          <w:rStyle w:val="FootnoteReference"/>
        </w:rPr>
        <w:footnoteReference w:id="39"/>
      </w:r>
      <w:r>
        <w:t xml:space="preserve">  This provides a </w:t>
      </w:r>
      <w:r w:rsidR="008957D9">
        <w:t xml:space="preserve">kind of </w:t>
      </w:r>
      <w:r>
        <w:t>difference-in-differences perspective on the pre- and post-1846 Irish arrivals compared to the pre- and post-1846 patterns for other groups.</w:t>
      </w:r>
      <w:r w:rsidR="008957D9">
        <w:t xml:space="preserve"> </w:t>
      </w:r>
      <w:r w:rsidR="00F26039">
        <w:t xml:space="preserve"> T</w:t>
      </w:r>
      <w:r w:rsidR="008957D9">
        <w:t>he idea is simply to see whether the differences over arrival cohorts are common to all immigrant source countries</w:t>
      </w:r>
      <w:r w:rsidR="00C52CB7">
        <w:t xml:space="preserve"> (e.g., reflecting the duration of time in the US or common trends in transport costs)</w:t>
      </w:r>
      <w:r w:rsidR="008957D9">
        <w:t xml:space="preserve">, or if there is something different about the </w:t>
      </w:r>
      <w:r w:rsidR="00A35980">
        <w:t>change in Irish outcomes relative to the contemporaneous change</w:t>
      </w:r>
      <w:r w:rsidR="00F26039">
        <w:t>s</w:t>
      </w:r>
      <w:r w:rsidR="00A35980">
        <w:t xml:space="preserve"> </w:t>
      </w:r>
      <w:r w:rsidR="00F26039">
        <w:t>for</w:t>
      </w:r>
      <w:r w:rsidR="00A35980">
        <w:t xml:space="preserve"> the British and Germans</w:t>
      </w:r>
      <w:r w:rsidR="008957D9">
        <w:t>.</w:t>
      </w:r>
      <w:r w:rsidR="00B06BE9">
        <w:t xml:space="preserve">  </w:t>
      </w:r>
      <w:r w:rsidR="00F26039">
        <w:t xml:space="preserve">We do not interpret </w:t>
      </w:r>
      <w:r w:rsidR="00976719">
        <w:t xml:space="preserve">such </w:t>
      </w:r>
      <w:r w:rsidR="00F26039">
        <w:t xml:space="preserve">differences as </w:t>
      </w:r>
      <w:r w:rsidR="008A1BD4">
        <w:t>strong</w:t>
      </w:r>
      <w:r w:rsidR="00F26039">
        <w:t xml:space="preserve"> evidence of a causal impact of the Irish famine</w:t>
      </w:r>
      <w:r w:rsidR="008D650F">
        <w:t xml:space="preserve"> per se</w:t>
      </w:r>
      <w:r w:rsidR="00F26039">
        <w:t xml:space="preserve">, </w:t>
      </w:r>
      <w:r w:rsidR="002E42DD">
        <w:t xml:space="preserve">though </w:t>
      </w:r>
      <w:r w:rsidR="00976719">
        <w:t>they</w:t>
      </w:r>
      <w:r w:rsidR="00F26039">
        <w:t xml:space="preserve"> would be consistent with </w:t>
      </w:r>
      <w:r w:rsidR="008A1BD4">
        <w:t xml:space="preserve">such </w:t>
      </w:r>
      <w:r w:rsidR="00F26039">
        <w:t>an effect.</w:t>
      </w:r>
      <w:r w:rsidR="00291E16">
        <w:rPr>
          <w:rStyle w:val="FootnoteReference"/>
        </w:rPr>
        <w:footnoteReference w:id="40"/>
      </w:r>
      <w:r w:rsidR="002E42DD">
        <w:t xml:space="preserve"> </w:t>
      </w:r>
    </w:p>
    <w:p w14:paraId="175795C3" w14:textId="42341A8C" w:rsidR="00913742" w:rsidRDefault="00CA7E23" w:rsidP="00913742">
      <w:pPr>
        <w:widowControl w:val="0"/>
        <w:ind w:firstLine="720"/>
      </w:pPr>
      <w:r>
        <w:t>Table 4</w:t>
      </w:r>
      <w:r w:rsidR="00F04045">
        <w:t xml:space="preserve"> presents estimates of </w:t>
      </w:r>
      <m:oMath>
        <m:sSub>
          <m:sSubPr>
            <m:ctrlPr>
              <w:rPr>
                <w:rFonts w:ascii="Cambria Math" w:hAnsi="Cambria Math"/>
                <w:i/>
              </w:rPr>
            </m:ctrlPr>
          </m:sSubPr>
          <m:e>
            <m:r>
              <w:rPr>
                <w:rFonts w:ascii="Cambria Math" w:hAnsi="Cambria Math"/>
              </w:rPr>
              <m:t>δ</m:t>
            </m:r>
          </m:e>
          <m:sub>
            <m:r>
              <w:rPr>
                <w:rFonts w:ascii="Cambria Math" w:hAnsi="Cambria Math"/>
              </w:rPr>
              <m:t>jk</m:t>
            </m:r>
          </m:sub>
        </m:sSub>
      </m:oMath>
      <w:r w:rsidR="00673F2E">
        <w:t xml:space="preserve"> for the 1850 characteristics. </w:t>
      </w:r>
      <w:r w:rsidR="00B36C5C">
        <w:t xml:space="preserve"> </w:t>
      </w:r>
      <w:r w:rsidR="00BA1A7A">
        <w:t>R</w:t>
      </w:r>
      <w:r w:rsidR="00DF23CA">
        <w:t xml:space="preserve">esults in columns (1) and (2) indicate that Irish </w:t>
      </w:r>
      <w:r w:rsidR="00C74868">
        <w:t xml:space="preserve">household </w:t>
      </w:r>
      <w:r w:rsidR="00DF23CA">
        <w:t xml:space="preserve">heads had </w:t>
      </w:r>
      <w:r w:rsidR="00C74868">
        <w:t xml:space="preserve">significantly </w:t>
      </w:r>
      <w:r w:rsidR="00DF23CA">
        <w:t>less human capital than</w:t>
      </w:r>
      <w:r w:rsidR="00FE0781">
        <w:t xml:space="preserve"> US-</w:t>
      </w:r>
      <w:r w:rsidR="00DF23CA">
        <w:t xml:space="preserve">native heads of household, who were in turn less likely to be literate </w:t>
      </w:r>
      <w:r w:rsidR="00C74868">
        <w:t>but</w:t>
      </w:r>
      <w:r w:rsidR="00DF23CA">
        <w:t xml:space="preserve"> more likely to be numerate than British and German heads.</w:t>
      </w:r>
      <w:r w:rsidR="00C74868">
        <w:t xml:space="preserve"> </w:t>
      </w:r>
      <w:r w:rsidR="004F5CAF">
        <w:t xml:space="preserve"> C</w:t>
      </w:r>
      <w:r w:rsidR="00DB451E">
        <w:t xml:space="preserve">onditional on age, </w:t>
      </w:r>
      <w:r w:rsidR="00DF23CA">
        <w:t>there is evidence of a large decrease in literacy and numeracy between the pre-famine and famine</w:t>
      </w:r>
      <w:r w:rsidR="00CE00E9">
        <w:t>-era</w:t>
      </w:r>
      <w:r w:rsidR="00DF23CA">
        <w:t xml:space="preserve"> Irish</w:t>
      </w:r>
      <w:r w:rsidR="00D85926">
        <w:t xml:space="preserve"> compared to natives (-0.0</w:t>
      </w:r>
      <w:r w:rsidR="002173F9">
        <w:t>5</w:t>
      </w:r>
      <w:r w:rsidR="00D85926">
        <w:t xml:space="preserve"> to -0.1</w:t>
      </w:r>
      <w:r w:rsidR="002173F9">
        <w:t>1</w:t>
      </w:r>
      <w:r w:rsidR="00D85926">
        <w:t xml:space="preserve"> for literacy; -0.18 to -0.25 for numeracy)</w:t>
      </w:r>
      <w:r w:rsidR="00DF23CA">
        <w:t>, with no similar change</w:t>
      </w:r>
      <w:r w:rsidR="00D85926">
        <w:t>s</w:t>
      </w:r>
      <w:r w:rsidR="00DF23CA">
        <w:t xml:space="preserve"> evident among the other nationalities. </w:t>
      </w:r>
      <w:r w:rsidR="00CE00E9">
        <w:t xml:space="preserve"> </w:t>
      </w:r>
      <w:r w:rsidR="00DF23CA">
        <w:t>The difference</w:t>
      </w:r>
      <w:r w:rsidR="00B45139">
        <w:t>-</w:t>
      </w:r>
      <w:r w:rsidR="00DF23CA">
        <w:t>in</w:t>
      </w:r>
      <w:r w:rsidR="00B45139">
        <w:t>-</w:t>
      </w:r>
      <w:r w:rsidR="00DF23CA">
        <w:t xml:space="preserve">differences </w:t>
      </w:r>
      <w:r>
        <w:t xml:space="preserve">test </w:t>
      </w:r>
      <w:r w:rsidR="00DF23CA">
        <w:t xml:space="preserve">across ethnicities </w:t>
      </w:r>
      <w:r w:rsidR="00B06BE9">
        <w:t>is</w:t>
      </w:r>
      <w:r w:rsidR="00DF23CA">
        <w:t xml:space="preserve"> statistically significant</w:t>
      </w:r>
      <w:r w:rsidR="00B06BE9">
        <w:t xml:space="preserve"> in both columns</w:t>
      </w:r>
      <w:r w:rsidR="00DF23CA">
        <w:t xml:space="preserve">, indicating that the worsening observable quality of Irish migrants </w:t>
      </w:r>
      <w:r w:rsidR="00FE0781">
        <w:t>during</w:t>
      </w:r>
      <w:r w:rsidR="00DF23CA">
        <w:t xml:space="preserve"> the famine was not an artifact of </w:t>
      </w:r>
      <w:r w:rsidR="00CE00E9">
        <w:t>cohort</w:t>
      </w:r>
      <w:r w:rsidR="00DF23CA">
        <w:t>-specific shocks</w:t>
      </w:r>
      <w:r w:rsidR="00B06BE9">
        <w:t xml:space="preserve"> or trends</w:t>
      </w:r>
      <w:r w:rsidR="00DF23CA">
        <w:t xml:space="preserve"> affecting all nationalities.</w:t>
      </w:r>
      <w:r w:rsidR="006156D1">
        <w:t xml:space="preserve"> </w:t>
      </w:r>
      <w:r w:rsidR="00CE00E9">
        <w:t xml:space="preserve"> </w:t>
      </w:r>
      <w:r w:rsidR="00DF23CA">
        <w:t xml:space="preserve">Instead, it </w:t>
      </w:r>
      <w:r w:rsidR="00B06BE9">
        <w:t>is plausible that f</w:t>
      </w:r>
      <w:r w:rsidR="00DF23CA">
        <w:t>amine</w:t>
      </w:r>
      <w:r w:rsidR="00B06BE9">
        <w:t xml:space="preserve"> conditions </w:t>
      </w:r>
      <w:r w:rsidR="006156D1">
        <w:t xml:space="preserve">led to </w:t>
      </w:r>
      <w:r w:rsidR="00B06BE9">
        <w:t>a marked deterioration in migrant</w:t>
      </w:r>
      <w:r w:rsidR="0043227B">
        <w:t>s’</w:t>
      </w:r>
      <w:r w:rsidR="00B06BE9">
        <w:t xml:space="preserve"> quality, as gauged by literacy and numeracy</w:t>
      </w:r>
      <w:r w:rsidR="00DF23CA">
        <w:t xml:space="preserve">. </w:t>
      </w:r>
      <w:r w:rsidR="00CE00E9">
        <w:t xml:space="preserve"> </w:t>
      </w:r>
    </w:p>
    <w:p w14:paraId="6FFC38DC" w14:textId="362FA4CB" w:rsidR="00B40B34" w:rsidRDefault="00DF23CA" w:rsidP="009C06D3">
      <w:pPr>
        <w:widowControl w:val="0"/>
        <w:ind w:firstLine="720"/>
        <w:rPr>
          <w:rFonts w:eastAsia="MS Mincho" w:cs="Times New Roman"/>
        </w:rPr>
      </w:pPr>
      <w:r>
        <w:t xml:space="preserve">This worsening selection is consistent with Mokyr and Ó Gráda’s (1982) findings of increasing age heaping among Irish immigrants in passenger lists after 1845. </w:t>
      </w:r>
      <w:r w:rsidR="00B06BE9">
        <w:t xml:space="preserve"> </w:t>
      </w:r>
      <w:r w:rsidR="00B06BE9" w:rsidRPr="004C554A">
        <w:t>It is also consistent</w:t>
      </w:r>
      <w:r w:rsidR="0043227B" w:rsidRPr="004C554A">
        <w:t xml:space="preserve"> with </w:t>
      </w:r>
      <w:r w:rsidR="00CA7E23" w:rsidRPr="004C554A">
        <w:t xml:space="preserve">the predictions of </w:t>
      </w:r>
      <w:r w:rsidR="0043227B" w:rsidRPr="004C554A">
        <w:t xml:space="preserve">a </w:t>
      </w:r>
      <w:r w:rsidR="00F379AD">
        <w:t xml:space="preserve">canonical </w:t>
      </w:r>
      <w:r w:rsidR="0043227B" w:rsidRPr="004C554A">
        <w:t>Roy</w:t>
      </w:r>
      <w:r w:rsidR="00B40B34" w:rsidRPr="004C554A">
        <w:t xml:space="preserve"> (1951)</w:t>
      </w:r>
      <w:r w:rsidR="0043227B" w:rsidRPr="004C554A">
        <w:t>-Borjas</w:t>
      </w:r>
      <w:r w:rsidR="00B40B34" w:rsidRPr="004C554A">
        <w:t xml:space="preserve"> (1987)</w:t>
      </w:r>
      <w:r w:rsidR="0043227B" w:rsidRPr="004C554A">
        <w:t xml:space="preserve"> model</w:t>
      </w:r>
      <w:r w:rsidR="00F379AD">
        <w:t xml:space="preserve"> of migrant selection</w:t>
      </w:r>
      <w:r w:rsidR="00CA7E23" w:rsidRPr="004C554A">
        <w:t>.</w:t>
      </w:r>
      <w:r w:rsidR="00B40B34">
        <w:t xml:space="preserve">  </w:t>
      </w:r>
      <w:r w:rsidR="00B40B34">
        <w:rPr>
          <w:rFonts w:eastAsia="MS Mincho" w:cs="Times New Roman"/>
        </w:rPr>
        <w:t xml:space="preserve">As discussed above, positive selection from Ireland is believed to have prevailed </w:t>
      </w:r>
      <w:r w:rsidR="00913742">
        <w:rPr>
          <w:rFonts w:eastAsia="MS Mincho" w:cs="Times New Roman"/>
        </w:rPr>
        <w:t>before</w:t>
      </w:r>
      <w:r w:rsidR="00B40B34">
        <w:rPr>
          <w:rFonts w:eastAsia="MS Mincho" w:cs="Times New Roman"/>
        </w:rPr>
        <w:t xml:space="preserve"> the famine.  In this setting, a widespread and persistent </w:t>
      </w:r>
      <w:r w:rsidR="00B40B34" w:rsidRPr="006335BC">
        <w:rPr>
          <w:rFonts w:eastAsia="MS Mincho" w:cs="Times New Roman"/>
        </w:rPr>
        <w:t xml:space="preserve">negative </w:t>
      </w:r>
      <w:r w:rsidR="00B40B34">
        <w:rPr>
          <w:rFonts w:eastAsia="MS Mincho" w:cs="Times New Roman"/>
        </w:rPr>
        <w:t>shock to expected income at home, such as the potato blight, would then t</w:t>
      </w:r>
      <w:r w:rsidR="00B40B34" w:rsidRPr="006335BC">
        <w:rPr>
          <w:rFonts w:eastAsia="MS Mincho" w:cs="Times New Roman"/>
        </w:rPr>
        <w:t xml:space="preserve">end to draw </w:t>
      </w:r>
      <w:r w:rsidR="00B40B34" w:rsidRPr="00427CDC">
        <w:rPr>
          <w:rFonts w:eastAsia="MS Mincho" w:cs="Times New Roman"/>
          <w:i/>
        </w:rPr>
        <w:t>lower</w:t>
      </w:r>
      <w:r w:rsidR="00B40B34" w:rsidRPr="006335BC">
        <w:rPr>
          <w:rFonts w:eastAsia="MS Mincho" w:cs="Times New Roman"/>
        </w:rPr>
        <w:t>-skilled workers into the migrant flow at the margin</w:t>
      </w:r>
      <w:r w:rsidR="00B40B34">
        <w:rPr>
          <w:rFonts w:eastAsia="MS Mincho" w:cs="Times New Roman"/>
        </w:rPr>
        <w:t>, leading to a decline in average migrant quality.</w:t>
      </w:r>
      <w:r w:rsidR="00F1276A">
        <w:rPr>
          <w:rStyle w:val="FootnoteReference"/>
          <w:rFonts w:eastAsia="MS Mincho" w:cs="Times New Roman"/>
        </w:rPr>
        <w:footnoteReference w:id="41"/>
      </w:r>
      <w:r w:rsidR="004F5CAF">
        <w:rPr>
          <w:rFonts w:eastAsia="MS Mincho" w:cs="Times New Roman"/>
        </w:rPr>
        <w:t xml:space="preserve">  </w:t>
      </w:r>
    </w:p>
    <w:p w14:paraId="7AE98804" w14:textId="2D7292FE" w:rsidR="00D40D99" w:rsidRDefault="00DF23CA" w:rsidP="009C06D3">
      <w:pPr>
        <w:widowControl w:val="0"/>
      </w:pPr>
      <w:r>
        <w:tab/>
        <w:t xml:space="preserve">Similar </w:t>
      </w:r>
      <w:r w:rsidR="00B06BE9">
        <w:t>patterns</w:t>
      </w:r>
      <w:r>
        <w:t xml:space="preserve"> are evident for the </w:t>
      </w:r>
      <w:r w:rsidR="009D13FD">
        <w:t xml:space="preserve">heads’ </w:t>
      </w:r>
      <w:r>
        <w:t xml:space="preserve">labor market </w:t>
      </w:r>
      <w:r w:rsidR="00B45139">
        <w:t>outcomes</w:t>
      </w:r>
      <w:r>
        <w:t xml:space="preserve"> </w:t>
      </w:r>
      <w:r w:rsidR="009D13FD">
        <w:t>as shown in</w:t>
      </w:r>
      <w:r w:rsidR="00B06BE9">
        <w:t xml:space="preserve"> columns </w:t>
      </w:r>
      <w:r w:rsidR="00CA7E23">
        <w:t>(</w:t>
      </w:r>
      <w:r w:rsidR="00B06BE9">
        <w:t>3</w:t>
      </w:r>
      <w:r w:rsidR="00316412">
        <w:t>)-</w:t>
      </w:r>
      <w:r w:rsidR="00CA7E23">
        <w:t>(</w:t>
      </w:r>
      <w:r w:rsidR="0030742F">
        <w:t>6</w:t>
      </w:r>
      <w:r w:rsidR="00CA7E23">
        <w:t>)</w:t>
      </w:r>
      <w:r>
        <w:t xml:space="preserve">. </w:t>
      </w:r>
      <w:r w:rsidR="00B36C5C">
        <w:t xml:space="preserve"> </w:t>
      </w:r>
      <w:r w:rsidR="00B06BE9">
        <w:t xml:space="preserve">Both arrival cohorts of </w:t>
      </w:r>
      <w:r>
        <w:t xml:space="preserve">Irish </w:t>
      </w:r>
      <w:r w:rsidR="00B06BE9">
        <w:t xml:space="preserve">household </w:t>
      </w:r>
      <w:r>
        <w:t>heads were more likely</w:t>
      </w:r>
      <w:r w:rsidR="009D13FD">
        <w:t xml:space="preserve"> to hold unskilled occupations</w:t>
      </w:r>
      <w:r>
        <w:t xml:space="preserve"> and had lower </w:t>
      </w:r>
      <w:r w:rsidR="004A3900">
        <w:t xml:space="preserve">(log) </w:t>
      </w:r>
      <w:r>
        <w:t>occupational wealth scores</w:t>
      </w:r>
      <w:r w:rsidR="00D40D99">
        <w:t xml:space="preserve"> and lower occupational ranks</w:t>
      </w:r>
      <w:r>
        <w:t xml:space="preserve"> </w:t>
      </w:r>
      <w:r w:rsidR="00141085">
        <w:t>than</w:t>
      </w:r>
      <w:r>
        <w:t xml:space="preserve"> natives and other </w:t>
      </w:r>
      <w:r w:rsidR="00141085">
        <w:t>immigrant groups</w:t>
      </w:r>
      <w:r w:rsidR="00DB451E">
        <w:t>, conditional on age</w:t>
      </w:r>
      <w:r>
        <w:t xml:space="preserve">. </w:t>
      </w:r>
      <w:r w:rsidR="008358B3">
        <w:t xml:space="preserve"> </w:t>
      </w:r>
      <w:r w:rsidR="009D13FD">
        <w:t>They were also less likely than natives to be farmers.</w:t>
      </w:r>
      <w:r w:rsidR="00B06BE9">
        <w:t xml:space="preserve"> </w:t>
      </w:r>
      <w:r w:rsidR="00B36C5C">
        <w:t xml:space="preserve"> </w:t>
      </w:r>
      <w:r w:rsidR="006C2D4F">
        <w:t>W</w:t>
      </w:r>
      <w:r>
        <w:t>e find strong evidence of a deterioration in labor market status between the pre-famine and famine</w:t>
      </w:r>
      <w:r w:rsidR="00B06BE9">
        <w:t>-era</w:t>
      </w:r>
      <w:r>
        <w:t xml:space="preserve"> Irish</w:t>
      </w:r>
      <w:r w:rsidR="00B45139">
        <w:t>, which is</w:t>
      </w:r>
      <w:r>
        <w:t xml:space="preserve"> unmatched by the other immigrant </w:t>
      </w:r>
      <w:r w:rsidR="00B45139">
        <w:t>groups</w:t>
      </w:r>
      <w:r>
        <w:t xml:space="preserve">. </w:t>
      </w:r>
      <w:r w:rsidR="00B06BE9">
        <w:t xml:space="preserve"> </w:t>
      </w:r>
      <w:r>
        <w:t xml:space="preserve">For example, while </w:t>
      </w:r>
      <w:r w:rsidRPr="001A3E62">
        <w:t xml:space="preserve">pre-famine Irish household heads </w:t>
      </w:r>
      <w:r w:rsidR="00783F09" w:rsidRPr="001A3E62">
        <w:t>were about 2</w:t>
      </w:r>
      <w:r w:rsidR="00E21CB5">
        <w:t>9</w:t>
      </w:r>
      <w:r w:rsidR="00783F09" w:rsidRPr="001A3E62">
        <w:t xml:space="preserve"> percentage points more likely to hold</w:t>
      </w:r>
      <w:r w:rsidRPr="001A3E62">
        <w:t xml:space="preserve"> unskilled occupations</w:t>
      </w:r>
      <w:r w:rsidR="00783F09" w:rsidRPr="001A3E62">
        <w:t xml:space="preserve"> than native household heads</w:t>
      </w:r>
      <w:r w:rsidRPr="001A3E62">
        <w:t xml:space="preserve">, </w:t>
      </w:r>
      <w:r w:rsidR="000375B7">
        <w:t>the famine Irish household</w:t>
      </w:r>
      <w:r>
        <w:t xml:space="preserve"> heads were </w:t>
      </w:r>
      <w:r w:rsidR="00567AB6" w:rsidRPr="009B7CCA">
        <w:t>over 5</w:t>
      </w:r>
      <w:r w:rsidR="009B7CCA" w:rsidRPr="009B7CCA">
        <w:t>6</w:t>
      </w:r>
      <w:r w:rsidR="00567AB6">
        <w:t xml:space="preserve"> perc</w:t>
      </w:r>
      <w:r w:rsidR="00934B29">
        <w:t>entage points more likely</w:t>
      </w:r>
      <w:r w:rsidR="00E97A9C">
        <w:t xml:space="preserve">. </w:t>
      </w:r>
      <w:r w:rsidR="00D40D99">
        <w:t xml:space="preserve"> S</w:t>
      </w:r>
      <w:r>
        <w:t xml:space="preserve">uch </w:t>
      </w:r>
      <w:r w:rsidR="00315047">
        <w:t xml:space="preserve">large </w:t>
      </w:r>
      <w:r>
        <w:t>differences are not present in the other ethnicities</w:t>
      </w:r>
      <w:r w:rsidR="00396F12">
        <w:t xml:space="preserve"> (i.e., </w:t>
      </w:r>
      <w:r w:rsidR="00E024F2">
        <w:t xml:space="preserve">the </w:t>
      </w:r>
      <w:r>
        <w:t>difference</w:t>
      </w:r>
      <w:r w:rsidR="00B45139">
        <w:t>-</w:t>
      </w:r>
      <w:r>
        <w:t>in</w:t>
      </w:r>
      <w:r w:rsidR="00B45139">
        <w:t>-</w:t>
      </w:r>
      <w:r>
        <w:t xml:space="preserve">differences </w:t>
      </w:r>
      <w:r w:rsidR="00E024F2" w:rsidRPr="00C80995">
        <w:rPr>
          <w:i/>
        </w:rPr>
        <w:t>F</w:t>
      </w:r>
      <w:r w:rsidR="00E024F2">
        <w:t xml:space="preserve">-tests </w:t>
      </w:r>
      <w:r>
        <w:t>indicat</w:t>
      </w:r>
      <w:r w:rsidR="00B45139">
        <w:t>e</w:t>
      </w:r>
      <w:r>
        <w:t xml:space="preserve"> a </w:t>
      </w:r>
      <w:r w:rsidR="00B45139">
        <w:t xml:space="preserve">significantly </w:t>
      </w:r>
      <w:r>
        <w:t>greater deterioration</w:t>
      </w:r>
      <w:r w:rsidR="00431E0E">
        <w:t xml:space="preserve"> over arrival cohorts</w:t>
      </w:r>
      <w:r>
        <w:t xml:space="preserve"> for the Irish</w:t>
      </w:r>
      <w:r w:rsidR="00396F12">
        <w:t xml:space="preserve"> than for other groups)</w:t>
      </w:r>
      <w:r w:rsidR="00D40D99">
        <w:t>.</w:t>
      </w:r>
      <w:r w:rsidR="005338B7">
        <w:rPr>
          <w:rStyle w:val="FootnoteReference"/>
        </w:rPr>
        <w:footnoteReference w:id="42"/>
      </w:r>
      <w:r w:rsidR="00D40D99">
        <w:t xml:space="preserve">  This suggests that the </w:t>
      </w:r>
      <w:r w:rsidR="00315047">
        <w:t xml:space="preserve">Irish </w:t>
      </w:r>
      <w:r w:rsidR="00396F12">
        <w:t xml:space="preserve">pattern </w:t>
      </w:r>
      <w:r w:rsidR="00D40D99">
        <w:t xml:space="preserve">is </w:t>
      </w:r>
      <w:r w:rsidR="00396F12">
        <w:t>un</w:t>
      </w:r>
      <w:r w:rsidR="001F4B96">
        <w:t xml:space="preserve">likely to be </w:t>
      </w:r>
      <w:r w:rsidR="00396F12">
        <w:t xml:space="preserve">solely </w:t>
      </w:r>
      <w:r>
        <w:t xml:space="preserve">the result of </w:t>
      </w:r>
      <w:r w:rsidR="00905817">
        <w:t xml:space="preserve">the famine Irish </w:t>
      </w:r>
      <w:r>
        <w:t xml:space="preserve">having been in the </w:t>
      </w:r>
      <w:r w:rsidR="000375B7">
        <w:t>US</w:t>
      </w:r>
      <w:r>
        <w:t xml:space="preserve"> for a shorter</w:t>
      </w:r>
      <w:r w:rsidR="00905817">
        <w:t xml:space="preserve"> time</w:t>
      </w:r>
      <w:r w:rsidR="00B12176">
        <w:t xml:space="preserve"> than the pre-famine Irish</w:t>
      </w:r>
      <w:r w:rsidR="00905817">
        <w:t xml:space="preserve"> and thus</w:t>
      </w:r>
      <w:r>
        <w:t xml:space="preserve"> </w:t>
      </w:r>
      <w:r w:rsidR="00A70EFB">
        <w:t xml:space="preserve">having </w:t>
      </w:r>
      <w:r>
        <w:t>had less time to up</w:t>
      </w:r>
      <w:r w:rsidR="007B2049">
        <w:t>grade occupations</w:t>
      </w:r>
      <w:r w:rsidR="006C2D4F">
        <w:t>.</w:t>
      </w:r>
    </w:p>
    <w:p w14:paraId="1C88C37D" w14:textId="14A28570" w:rsidR="00272A60" w:rsidRDefault="00DF23CA" w:rsidP="009C06D3">
      <w:pPr>
        <w:widowControl w:val="0"/>
      </w:pPr>
      <w:r>
        <w:tab/>
        <w:t>Results for property ownership and the school attendance of children are less stark</w:t>
      </w:r>
      <w:r w:rsidR="00272A60">
        <w:t xml:space="preserve">, as shown in columns </w:t>
      </w:r>
      <w:r w:rsidR="00BD0BC5">
        <w:t>(</w:t>
      </w:r>
      <w:r w:rsidR="0030742F">
        <w:t>7</w:t>
      </w:r>
      <w:r w:rsidR="00BD0BC5">
        <w:t>)</w:t>
      </w:r>
      <w:r w:rsidR="00272A60">
        <w:t xml:space="preserve"> and </w:t>
      </w:r>
      <w:r w:rsidR="00BD0BC5">
        <w:t>(</w:t>
      </w:r>
      <w:r w:rsidR="0030742F">
        <w:t>8</w:t>
      </w:r>
      <w:r w:rsidR="00BD0BC5">
        <w:t>)</w:t>
      </w:r>
      <w:r>
        <w:t xml:space="preserve">. </w:t>
      </w:r>
      <w:r w:rsidR="00F23B32">
        <w:t xml:space="preserve"> We</w:t>
      </w:r>
      <w:r>
        <w:t xml:space="preserve"> </w:t>
      </w:r>
      <w:r w:rsidR="00272A60">
        <w:t xml:space="preserve">do </w:t>
      </w:r>
      <w:r>
        <w:t xml:space="preserve">observe a </w:t>
      </w:r>
      <w:r w:rsidR="00272A60">
        <w:t xml:space="preserve">decline in the value of real property owned </w:t>
      </w:r>
      <w:r>
        <w:t>between pre-famine and famine</w:t>
      </w:r>
      <w:r w:rsidR="00F23B32">
        <w:t>-era</w:t>
      </w:r>
      <w:r>
        <w:t xml:space="preserve"> Irish</w:t>
      </w:r>
      <w:r w:rsidR="00003978">
        <w:t>;</w:t>
      </w:r>
      <w:r w:rsidR="00272A60">
        <w:t xml:space="preserve"> this is not surprising given that the famine-era Irish had been in the US for a shorter period</w:t>
      </w:r>
      <w:r w:rsidR="00BF4D85">
        <w:t xml:space="preserve">. </w:t>
      </w:r>
      <w:r w:rsidR="00E21EA8">
        <w:t xml:space="preserve"> </w:t>
      </w:r>
      <w:r w:rsidR="00BF4D85">
        <w:t>S</w:t>
      </w:r>
      <w:r w:rsidR="00272A60">
        <w:t>imilar cross-cohort declines are apparent for the Germans and British</w:t>
      </w:r>
      <w:r w:rsidR="00AA244B">
        <w:t xml:space="preserve">, </w:t>
      </w:r>
      <w:r w:rsidR="00F04BD1">
        <w:t>and al</w:t>
      </w:r>
      <w:r w:rsidR="00070D75">
        <w:t>though it is still possible to reject the difference-in-differences null hypothesis</w:t>
      </w:r>
      <w:r w:rsidR="00F04BD1">
        <w:t xml:space="preserve">, the decline in property holdings over cohorts is actually greatest among the </w:t>
      </w:r>
      <w:r w:rsidR="00C370EE">
        <w:t>British</w:t>
      </w:r>
      <w:r w:rsidR="00272A60">
        <w:t>.  There is also a decline in school attendance</w:t>
      </w:r>
      <w:r w:rsidR="002F3D58">
        <w:t xml:space="preserve"> over arrival cohorts</w:t>
      </w:r>
      <w:r w:rsidR="00AA244B">
        <w:t>,</w:t>
      </w:r>
      <w:r w:rsidR="00272A60">
        <w:t xml:space="preserve"> conditional on children’s age</w:t>
      </w:r>
      <w:r w:rsidR="00AA244B">
        <w:t>,</w:t>
      </w:r>
      <w:r w:rsidR="00272A60">
        <w:t xml:space="preserve"> for each immigrant group</w:t>
      </w:r>
      <w:r w:rsidR="00C0016B">
        <w:t xml:space="preserve">.  </w:t>
      </w:r>
      <w:r w:rsidR="00C0016B" w:rsidRPr="00F11F99">
        <w:t>The children of the famine-era Irish were substantially less likely to attend school than similarly aged children of US natives</w:t>
      </w:r>
      <w:r w:rsidR="00E21EA8" w:rsidRPr="00F11F99">
        <w:t xml:space="preserve"> (by </w:t>
      </w:r>
      <w:r w:rsidR="0064359D">
        <w:t>over</w:t>
      </w:r>
      <w:r w:rsidR="00E21EA8" w:rsidRPr="00F11F99">
        <w:t xml:space="preserve"> 14 p.p.)</w:t>
      </w:r>
      <w:r w:rsidR="00C0016B" w:rsidRPr="00F11F99">
        <w:t xml:space="preserve">, but </w:t>
      </w:r>
      <w:r w:rsidR="0071576B" w:rsidRPr="00F11F99">
        <w:t xml:space="preserve">in this respect, </w:t>
      </w:r>
      <w:r w:rsidR="00C0016B" w:rsidRPr="00F11F99">
        <w:t>they fared better than German children</w:t>
      </w:r>
      <w:r w:rsidR="00A006D7" w:rsidRPr="00F11F99">
        <w:t>.</w:t>
      </w:r>
      <w:r w:rsidR="00F11F99">
        <w:rPr>
          <w:rStyle w:val="FootnoteReference"/>
        </w:rPr>
        <w:footnoteReference w:id="43"/>
      </w:r>
      <w:r w:rsidR="00A006D7">
        <w:t xml:space="preserve"> </w:t>
      </w:r>
      <w:r w:rsidR="008358B3">
        <w:t xml:space="preserve"> </w:t>
      </w:r>
      <w:r w:rsidR="00A006D7" w:rsidRPr="00DB451E">
        <w:t xml:space="preserve">It is not possible to </w:t>
      </w:r>
      <w:r w:rsidR="001E25D1" w:rsidRPr="00DB451E">
        <w:t xml:space="preserve">reject the null hypothesis that the change in schooling across the Irish </w:t>
      </w:r>
      <w:r w:rsidR="0006532A" w:rsidRPr="00DB451E">
        <w:t xml:space="preserve">cohorts </w:t>
      </w:r>
      <w:r w:rsidR="001E25D1" w:rsidRPr="00DB451E">
        <w:t xml:space="preserve">was </w:t>
      </w:r>
      <w:r w:rsidR="00DB451E" w:rsidRPr="00DB451E">
        <w:t xml:space="preserve">the same as </w:t>
      </w:r>
      <w:r w:rsidR="001E25D1" w:rsidRPr="00DB451E">
        <w:t>that of the other ethnicities.</w:t>
      </w:r>
    </w:p>
    <w:p w14:paraId="718D03CC" w14:textId="110C9EE4" w:rsidR="000F2F18" w:rsidRPr="008228F0" w:rsidRDefault="00EA600E" w:rsidP="009C06D3">
      <w:pPr>
        <w:widowControl w:val="0"/>
      </w:pPr>
      <w:r>
        <w:tab/>
      </w:r>
      <w:r w:rsidR="005818D9">
        <w:t xml:space="preserve">As with the deterioration in migrant quality, the </w:t>
      </w:r>
      <w:r w:rsidR="0067508A">
        <w:t xml:space="preserve">worsening labor market outcomes of the famine Irish relative to other groups can be rationalized </w:t>
      </w:r>
      <w:r w:rsidR="00A57E75">
        <w:t>in</w:t>
      </w:r>
      <w:r w:rsidR="0067508A">
        <w:t xml:space="preserve"> a </w:t>
      </w:r>
      <w:r w:rsidR="004D7379">
        <w:t>cogent</w:t>
      </w:r>
      <w:r w:rsidR="0067508A">
        <w:t xml:space="preserve"> theoretical framework</w:t>
      </w:r>
      <w:r w:rsidR="0067508A" w:rsidRPr="00FC6B92">
        <w:t>.</w:t>
      </w:r>
      <w:r w:rsidR="00F700FD" w:rsidRPr="00FC6B92">
        <w:t xml:space="preserve"> </w:t>
      </w:r>
      <w:r w:rsidR="0067508A" w:rsidRPr="00FC6B92">
        <w:t xml:space="preserve"> </w:t>
      </w:r>
      <w:r w:rsidR="00FC6B92">
        <w:t xml:space="preserve">In addition to </w:t>
      </w:r>
      <w:r w:rsidR="0067508A" w:rsidRPr="00FC6B92">
        <w:t>the deterioration in</w:t>
      </w:r>
      <w:r w:rsidR="00EA3E08" w:rsidRPr="00FC6B92">
        <w:t xml:space="preserve"> Irish</w:t>
      </w:r>
      <w:r w:rsidR="0067508A" w:rsidRPr="00FC6B92">
        <w:t xml:space="preserve"> migrants’ observable human capital, t</w:t>
      </w:r>
      <w:r w:rsidRPr="00FC6B92">
        <w:rPr>
          <w:rFonts w:eastAsia="MS Mincho" w:cs="Times New Roman"/>
        </w:rPr>
        <w:t xml:space="preserve">he sheer volume of the immigrants’ arrival cohort </w:t>
      </w:r>
      <w:r w:rsidR="00FC6B92">
        <w:rPr>
          <w:rFonts w:cs="Times New Roman"/>
        </w:rPr>
        <w:t>may</w:t>
      </w:r>
      <w:r w:rsidRPr="00FC6B92">
        <w:rPr>
          <w:rFonts w:cs="Times New Roman"/>
        </w:rPr>
        <w:t xml:space="preserve"> have affected </w:t>
      </w:r>
      <w:r w:rsidR="00EA3E08" w:rsidRPr="00FC6B92">
        <w:rPr>
          <w:rFonts w:cs="Times New Roman"/>
        </w:rPr>
        <w:t>their</w:t>
      </w:r>
      <w:r w:rsidRPr="00FC6B92">
        <w:rPr>
          <w:rFonts w:cs="Times New Roman"/>
        </w:rPr>
        <w:t xml:space="preserve"> labor market outcomes.</w:t>
      </w:r>
      <w:r>
        <w:rPr>
          <w:rFonts w:cs="Times New Roman"/>
        </w:rPr>
        <w:t xml:space="preserve">  </w:t>
      </w:r>
      <w:r w:rsidR="004356C9">
        <w:rPr>
          <w:rFonts w:cs="Times New Roman"/>
        </w:rPr>
        <w:t>T</w:t>
      </w:r>
      <w:r>
        <w:rPr>
          <w:rFonts w:cs="Times New Roman"/>
        </w:rPr>
        <w:t xml:space="preserve">he size of the famine-era arrival cohort may have hindered their economic progress by congesting networks that would ordinarily facilitate their transition.  Beaman (2012) </w:t>
      </w:r>
      <w:r w:rsidRPr="00336951">
        <w:rPr>
          <w:rFonts w:cs="Times New Roman"/>
        </w:rPr>
        <w:t>shows, in theory and in a</w:t>
      </w:r>
      <w:r>
        <w:rPr>
          <w:rFonts w:cs="Times New Roman"/>
        </w:rPr>
        <w:t xml:space="preserve"> dataset</w:t>
      </w:r>
      <w:r w:rsidRPr="00336951">
        <w:rPr>
          <w:rFonts w:cs="Times New Roman"/>
        </w:rPr>
        <w:t xml:space="preserve"> of </w:t>
      </w:r>
      <w:r>
        <w:rPr>
          <w:rFonts w:cs="Times New Roman"/>
        </w:rPr>
        <w:t xml:space="preserve">recent </w:t>
      </w:r>
      <w:r w:rsidRPr="00336951">
        <w:rPr>
          <w:rFonts w:cs="Times New Roman"/>
        </w:rPr>
        <w:t xml:space="preserve">refugees to the </w:t>
      </w:r>
      <w:r>
        <w:rPr>
          <w:rFonts w:cs="Times New Roman"/>
        </w:rPr>
        <w:t>US</w:t>
      </w:r>
      <w:r w:rsidRPr="00336951">
        <w:rPr>
          <w:rFonts w:cs="Times New Roman"/>
        </w:rPr>
        <w:t>, that</w:t>
      </w:r>
      <w:r>
        <w:rPr>
          <w:rFonts w:cs="Times New Roman"/>
        </w:rPr>
        <w:t xml:space="preserve"> pre-existing stocks of im</w:t>
      </w:r>
      <w:r w:rsidRPr="00336951">
        <w:rPr>
          <w:rFonts w:cs="Times New Roman"/>
        </w:rPr>
        <w:t>migrants can facilitate labor market assimilation for new</w:t>
      </w:r>
      <w:r>
        <w:rPr>
          <w:rFonts w:cs="Times New Roman"/>
        </w:rPr>
        <w:t>ly</w:t>
      </w:r>
      <w:r w:rsidRPr="00336951">
        <w:rPr>
          <w:rFonts w:cs="Times New Roman"/>
        </w:rPr>
        <w:t xml:space="preserve"> arrived countrymen by providing information about job opportunities. </w:t>
      </w:r>
      <w:r>
        <w:rPr>
          <w:rFonts w:cs="Times New Roman"/>
        </w:rPr>
        <w:t xml:space="preserve"> R</w:t>
      </w:r>
      <w:r w:rsidRPr="00336951">
        <w:rPr>
          <w:rFonts w:cs="Times New Roman"/>
        </w:rPr>
        <w:t>elatively large</w:t>
      </w:r>
      <w:r>
        <w:rPr>
          <w:rFonts w:cs="Times New Roman"/>
        </w:rPr>
        <w:t xml:space="preserve"> cohorts of new immigrants</w:t>
      </w:r>
      <w:r w:rsidRPr="00336951">
        <w:rPr>
          <w:rFonts w:cs="Times New Roman"/>
        </w:rPr>
        <w:t xml:space="preserve">, however, </w:t>
      </w:r>
      <w:r>
        <w:rPr>
          <w:rFonts w:cs="Times New Roman"/>
        </w:rPr>
        <w:t xml:space="preserve">exacerbate </w:t>
      </w:r>
      <w:r w:rsidRPr="00336951">
        <w:rPr>
          <w:rFonts w:cs="Times New Roman"/>
        </w:rPr>
        <w:t>competition for information in the network</w:t>
      </w:r>
      <w:r>
        <w:rPr>
          <w:rFonts w:cs="Times New Roman"/>
        </w:rPr>
        <w:t xml:space="preserve"> and</w:t>
      </w:r>
      <w:r w:rsidRPr="00336951">
        <w:rPr>
          <w:rFonts w:cs="Times New Roman"/>
        </w:rPr>
        <w:t xml:space="preserve"> may lead to worse labor market outcomes</w:t>
      </w:r>
      <w:r>
        <w:rPr>
          <w:rFonts w:cs="Times New Roman"/>
        </w:rPr>
        <w:t xml:space="preserve"> than would otherwise occur</w:t>
      </w:r>
      <w:r w:rsidRPr="00336951">
        <w:rPr>
          <w:rFonts w:cs="Times New Roman"/>
        </w:rPr>
        <w:t xml:space="preserve">, at least in the short term. </w:t>
      </w:r>
      <w:r>
        <w:rPr>
          <w:rFonts w:cs="Times New Roman"/>
        </w:rPr>
        <w:t xml:space="preserve"> </w:t>
      </w:r>
      <w:r w:rsidRPr="00336951">
        <w:rPr>
          <w:rFonts w:cs="Times New Roman"/>
        </w:rPr>
        <w:t xml:space="preserve">This mechanism is potentially applicable to the case of the </w:t>
      </w:r>
      <w:r>
        <w:rPr>
          <w:rFonts w:cs="Times New Roman"/>
        </w:rPr>
        <w:t>f</w:t>
      </w:r>
      <w:r w:rsidRPr="00336951">
        <w:rPr>
          <w:rFonts w:cs="Times New Roman"/>
        </w:rPr>
        <w:t>amine</w:t>
      </w:r>
      <w:r>
        <w:rPr>
          <w:rFonts w:cs="Times New Roman"/>
        </w:rPr>
        <w:t>-era</w:t>
      </w:r>
      <w:r w:rsidRPr="00336951">
        <w:rPr>
          <w:rFonts w:cs="Times New Roman"/>
        </w:rPr>
        <w:t xml:space="preserve"> Irish</w:t>
      </w:r>
      <w:r>
        <w:rPr>
          <w:rFonts w:cs="Times New Roman"/>
        </w:rPr>
        <w:t xml:space="preserve"> migrants</w:t>
      </w:r>
      <w:r w:rsidRPr="00336951">
        <w:rPr>
          <w:rFonts w:cs="Times New Roman"/>
        </w:rPr>
        <w:t xml:space="preserve">, who, upon arriving in the </w:t>
      </w:r>
      <w:r>
        <w:rPr>
          <w:rFonts w:cs="Times New Roman"/>
        </w:rPr>
        <w:t xml:space="preserve">US, </w:t>
      </w:r>
      <w:r w:rsidRPr="00336951">
        <w:rPr>
          <w:rFonts w:cs="Times New Roman"/>
        </w:rPr>
        <w:t xml:space="preserve">would have entered labor markets that were populated by many previous Irish migrants, but also glutted with </w:t>
      </w:r>
      <w:r>
        <w:rPr>
          <w:rFonts w:cs="Times New Roman"/>
        </w:rPr>
        <w:t xml:space="preserve">a large cohort of </w:t>
      </w:r>
      <w:r w:rsidRPr="00336951">
        <w:rPr>
          <w:rFonts w:cs="Times New Roman"/>
        </w:rPr>
        <w:t>new arrivals</w:t>
      </w:r>
      <w:r w:rsidRPr="008228F0">
        <w:rPr>
          <w:rFonts w:cs="Times New Roman"/>
        </w:rPr>
        <w:t>.</w:t>
      </w:r>
      <w:r w:rsidRPr="00655A0A">
        <w:rPr>
          <w:rFonts w:cs="Times New Roman"/>
        </w:rPr>
        <w:t xml:space="preserve">  </w:t>
      </w:r>
      <w:r w:rsidR="008C0F3B" w:rsidRPr="00F96079">
        <w:rPr>
          <w:rFonts w:cs="Times New Roman"/>
        </w:rPr>
        <w:t>Moreover, there may have been some mismatch of the new arrivals and the pre-existing network, as the sources of emigration within Ireland shifted during the famine.</w:t>
      </w:r>
    </w:p>
    <w:p w14:paraId="12015453" w14:textId="5E42DD8D" w:rsidR="00526F3F" w:rsidRDefault="00C0016B" w:rsidP="009C06D3">
      <w:pPr>
        <w:widowControl w:val="0"/>
      </w:pPr>
      <w:r>
        <w:tab/>
      </w:r>
      <w:r w:rsidR="00147737">
        <w:t xml:space="preserve">In sum, </w:t>
      </w:r>
      <w:r w:rsidR="00AA244B">
        <w:t>the</w:t>
      </w:r>
      <w:r w:rsidR="00147737">
        <w:t xml:space="preserve"> new dataset</w:t>
      </w:r>
      <w:r w:rsidR="00AA244B">
        <w:t xml:space="preserve"> of linked census records</w:t>
      </w:r>
      <w:r w:rsidR="00147737">
        <w:t xml:space="preserve"> reveals that the famine-era Irish</w:t>
      </w:r>
      <w:r w:rsidR="00976719">
        <w:t xml:space="preserve"> household heads </w:t>
      </w:r>
      <w:r w:rsidR="00147737">
        <w:t xml:space="preserve">were notably less educated and </w:t>
      </w:r>
      <w:r w:rsidR="00105C51">
        <w:t>attained</w:t>
      </w:r>
      <w:r w:rsidR="00147737">
        <w:t xml:space="preserve"> </w:t>
      </w:r>
      <w:r w:rsidR="009D1654">
        <w:t xml:space="preserve">low occupational </w:t>
      </w:r>
      <w:r w:rsidR="00105C51">
        <w:t>status</w:t>
      </w:r>
      <w:r w:rsidR="009D1654">
        <w:t xml:space="preserve"> compared to </w:t>
      </w:r>
      <w:r w:rsidR="0095393C">
        <w:t xml:space="preserve">other </w:t>
      </w:r>
      <w:r w:rsidR="009D1654">
        <w:t>contem</w:t>
      </w:r>
      <w:r w:rsidR="0095393C">
        <w:t>poraneous immigrant groups</w:t>
      </w:r>
      <w:r w:rsidR="009D1654">
        <w:t>, earlier immigrants from Ireland, and US natives.</w:t>
      </w:r>
      <w:r w:rsidR="00C91CEA">
        <w:t xml:space="preserve">  There </w:t>
      </w:r>
      <w:r w:rsidR="003C3082">
        <w:t>wa</w:t>
      </w:r>
      <w:r w:rsidR="00C91CEA">
        <w:t xml:space="preserve">s </w:t>
      </w:r>
      <w:r w:rsidR="009170E2">
        <w:t>nothing</w:t>
      </w:r>
      <w:r w:rsidR="00C91CEA">
        <w:t xml:space="preserve"> about </w:t>
      </w:r>
      <w:r w:rsidR="009170E2">
        <w:t>the famine</w:t>
      </w:r>
      <w:r w:rsidR="00C91CEA">
        <w:t xml:space="preserve"> refugee</w:t>
      </w:r>
      <w:r w:rsidR="009170E2">
        <w:t xml:space="preserve">s that would favorably </w:t>
      </w:r>
      <w:r w:rsidR="00C91CEA">
        <w:t>impress policymakers</w:t>
      </w:r>
      <w:r w:rsidR="009170E2">
        <w:t xml:space="preserve"> concerned primarily with immigr</w:t>
      </w:r>
      <w:r w:rsidR="006640F0">
        <w:t>ant “quality</w:t>
      </w:r>
      <w:r w:rsidR="002E42DD">
        <w:t>.”</w:t>
      </w:r>
      <w:r w:rsidR="00E01D6D">
        <w:rPr>
          <w:rStyle w:val="FootnoteReference"/>
        </w:rPr>
        <w:footnoteReference w:id="44"/>
      </w:r>
      <w:r w:rsidR="002E42DD">
        <w:t xml:space="preserve">  </w:t>
      </w:r>
      <w:r w:rsidR="00E01D6D">
        <w:t xml:space="preserve">Thus, their </w:t>
      </w:r>
      <w:r w:rsidR="00C91CEA">
        <w:t>children</w:t>
      </w:r>
      <w:r w:rsidR="009170E2">
        <w:t xml:space="preserve"> </w:t>
      </w:r>
      <w:r w:rsidR="00C91CEA">
        <w:t xml:space="preserve">began life at a severe disadvantage </w:t>
      </w:r>
      <w:r w:rsidR="00E01D6D">
        <w:t xml:space="preserve">in terms of economic resources </w:t>
      </w:r>
      <w:r w:rsidR="00C91CEA">
        <w:t>relative to others</w:t>
      </w:r>
      <w:r w:rsidR="00F700FD">
        <w:t xml:space="preserve"> in the US during</w:t>
      </w:r>
      <w:r w:rsidR="003C3082">
        <w:t xml:space="preserve"> an era with </w:t>
      </w:r>
      <w:r w:rsidR="008358B3">
        <w:t>minimal</w:t>
      </w:r>
      <w:r w:rsidR="0095393C">
        <w:t xml:space="preserve"> </w:t>
      </w:r>
      <w:r w:rsidR="00105C51">
        <w:t>public assistance</w:t>
      </w:r>
      <w:r w:rsidR="003C3082">
        <w:t xml:space="preserve"> and ongoing mass immigration from Europe</w:t>
      </w:r>
      <w:r w:rsidR="009170E2">
        <w:t xml:space="preserve">.  </w:t>
      </w:r>
      <w:r w:rsidR="006606B8">
        <w:t>Under these circumstances, h</w:t>
      </w:r>
      <w:r w:rsidR="009170E2">
        <w:t>ow far</w:t>
      </w:r>
      <w:r w:rsidR="00367F14">
        <w:t xml:space="preserve">, if at all, </w:t>
      </w:r>
      <w:r w:rsidR="009170E2">
        <w:t xml:space="preserve">were the </w:t>
      </w:r>
      <w:r w:rsidR="00105C51">
        <w:t xml:space="preserve">children of the </w:t>
      </w:r>
      <w:r w:rsidR="003C3082">
        <w:t>famine</w:t>
      </w:r>
      <w:r w:rsidR="00105C51">
        <w:t>-era</w:t>
      </w:r>
      <w:r w:rsidR="003C3082">
        <w:t xml:space="preserve"> Irish</w:t>
      </w:r>
      <w:r w:rsidR="009170E2">
        <w:t xml:space="preserve"> able to narrow the gap in economic status</w:t>
      </w:r>
      <w:r w:rsidR="006606B8">
        <w:t xml:space="preserve"> relative</w:t>
      </w:r>
      <w:r w:rsidR="003C3082">
        <w:t xml:space="preserve"> to their peers</w:t>
      </w:r>
      <w:r w:rsidR="009170E2">
        <w:t xml:space="preserve"> as they moved into adulthood?  </w:t>
      </w:r>
      <w:r w:rsidR="00C91CEA">
        <w:t xml:space="preserve">  </w:t>
      </w:r>
    </w:p>
    <w:p w14:paraId="6C0D50AA" w14:textId="7F54BD6F" w:rsidR="00DF23CA" w:rsidRDefault="00DF23CA" w:rsidP="009C06D3">
      <w:pPr>
        <w:widowControl w:val="0"/>
        <w:rPr>
          <w:i/>
        </w:rPr>
      </w:pPr>
      <w:r>
        <w:rPr>
          <w:i/>
        </w:rPr>
        <w:t>A</w:t>
      </w:r>
      <w:r w:rsidRPr="0027064C">
        <w:rPr>
          <w:i/>
        </w:rPr>
        <w:t>ssimilation</w:t>
      </w:r>
      <w:r w:rsidR="00105C51">
        <w:rPr>
          <w:i/>
        </w:rPr>
        <w:t xml:space="preserve"> by </w:t>
      </w:r>
      <w:r w:rsidR="00345719">
        <w:rPr>
          <w:i/>
        </w:rPr>
        <w:t>i</w:t>
      </w:r>
      <w:r w:rsidR="00105C51">
        <w:rPr>
          <w:i/>
        </w:rPr>
        <w:t>mmigrants’</w:t>
      </w:r>
      <w:r w:rsidR="00345719">
        <w:rPr>
          <w:i/>
        </w:rPr>
        <w:t xml:space="preserve"> c</w:t>
      </w:r>
      <w:r w:rsidR="00105C51">
        <w:rPr>
          <w:i/>
        </w:rPr>
        <w:t>hildren</w:t>
      </w:r>
    </w:p>
    <w:p w14:paraId="5AE07147" w14:textId="571FA9B2" w:rsidR="00105C51" w:rsidRDefault="00105C51" w:rsidP="009C06D3">
      <w:pPr>
        <w:widowControl w:val="0"/>
      </w:pPr>
      <w:r>
        <w:tab/>
        <w:t>We now shift the focus to the adult labor market outcomes in 1880 of individuals first observed as children in 1850</w:t>
      </w:r>
      <w:r w:rsidR="00DF23CA">
        <w:t xml:space="preserve">. </w:t>
      </w:r>
      <w:r w:rsidR="000810D3">
        <w:t xml:space="preserve"> </w:t>
      </w:r>
      <w:r w:rsidR="006640F0">
        <w:t>Table 5</w:t>
      </w:r>
      <w:r>
        <w:t xml:space="preserve"> presents summary statistics</w:t>
      </w:r>
      <w:r w:rsidR="00E22E35">
        <w:t xml:space="preserve"> for</w:t>
      </w:r>
      <w:r w:rsidR="00627BCA">
        <w:t xml:space="preserve"> various occupational measures.</w:t>
      </w:r>
      <w:r w:rsidR="00DF23CA">
        <w:t xml:space="preserve"> </w:t>
      </w:r>
      <w:r w:rsidR="00345235">
        <w:t xml:space="preserve"> </w:t>
      </w:r>
      <w:r w:rsidR="00DF23CA">
        <w:t>As with the 1850 data, clear differences are evident between the Irish and the non-Irish</w:t>
      </w:r>
      <w:r w:rsidR="00FA55B7">
        <w:t xml:space="preserve">, as well as </w:t>
      </w:r>
      <w:r w:rsidR="00DF23CA">
        <w:t>between the famine</w:t>
      </w:r>
      <w:r w:rsidR="00345235">
        <w:t>-era</w:t>
      </w:r>
      <w:r w:rsidR="00DF23CA">
        <w:t xml:space="preserve"> and pre-famine </w:t>
      </w:r>
      <w:r w:rsidR="00DD14D5">
        <w:t xml:space="preserve">Irish </w:t>
      </w:r>
      <w:r w:rsidR="00DF23CA">
        <w:t xml:space="preserve">immigrants, all in similar directions as </w:t>
      </w:r>
      <w:r w:rsidR="00FA55B7">
        <w:t xml:space="preserve">observed for the household heads in </w:t>
      </w:r>
      <w:r w:rsidR="00DF23CA">
        <w:t xml:space="preserve">1850. </w:t>
      </w:r>
    </w:p>
    <w:p w14:paraId="165DFF74" w14:textId="463A57D8" w:rsidR="00784A8E" w:rsidRDefault="00636C34" w:rsidP="009C06D3">
      <w:pPr>
        <w:widowControl w:val="0"/>
        <w:ind w:firstLine="720"/>
      </w:pPr>
      <w:r>
        <w:t>Table 6</w:t>
      </w:r>
      <w:r w:rsidR="00DF23CA">
        <w:t xml:space="preserve"> present</w:t>
      </w:r>
      <w:r w:rsidR="006540F2">
        <w:t>s</w:t>
      </w:r>
      <w:r w:rsidR="00DF23CA">
        <w:t xml:space="preserve"> regressions </w:t>
      </w:r>
      <w:r w:rsidR="007227D9">
        <w:t>of the form of</w:t>
      </w:r>
      <w:r w:rsidR="00345235">
        <w:t xml:space="preserve"> </w:t>
      </w:r>
      <w:r w:rsidR="00DF23CA">
        <w:t xml:space="preserve">equation (1) for the children’s </w:t>
      </w:r>
      <w:r w:rsidR="00345235">
        <w:t xml:space="preserve">adult </w:t>
      </w:r>
      <w:r w:rsidR="00DF23CA">
        <w:t>labor market outcomes in 1880</w:t>
      </w:r>
      <w:r w:rsidR="00345235">
        <w:t xml:space="preserve">; </w:t>
      </w:r>
      <w:r w:rsidR="00FA55B7">
        <w:t>again</w:t>
      </w:r>
      <w:r w:rsidR="00345235">
        <w:t>,</w:t>
      </w:r>
      <w:r w:rsidR="00FA55B7">
        <w:t xml:space="preserve"> </w:t>
      </w:r>
      <w:r w:rsidR="00345235">
        <w:t>t</w:t>
      </w:r>
      <w:r w:rsidR="00DF23CA">
        <w:t xml:space="preserve">he only </w:t>
      </w:r>
      <w:r w:rsidR="00510F44">
        <w:t xml:space="preserve">baseline </w:t>
      </w:r>
      <w:r w:rsidR="00DF23CA">
        <w:t>control</w:t>
      </w:r>
      <w:r w:rsidR="005D7A1C">
        <w:t xml:space="preserve"> variable</w:t>
      </w:r>
      <w:r w:rsidR="00DF23CA">
        <w:t xml:space="preserve"> </w:t>
      </w:r>
      <w:r w:rsidR="00345235">
        <w:t xml:space="preserve">is </w:t>
      </w:r>
      <w:r w:rsidR="00DF23CA">
        <w:t>a quartic in the individual’s age.</w:t>
      </w:r>
      <w:r w:rsidR="00BB2D25">
        <w:rPr>
          <w:rStyle w:val="FootnoteReference"/>
        </w:rPr>
        <w:footnoteReference w:id="45"/>
      </w:r>
      <w:r w:rsidR="00DF23CA">
        <w:t xml:space="preserve"> </w:t>
      </w:r>
      <w:r w:rsidR="004E3614">
        <w:t xml:space="preserve"> </w:t>
      </w:r>
      <w:r w:rsidR="009750FA">
        <w:t xml:space="preserve">The children of famine-era </w:t>
      </w:r>
      <w:r w:rsidR="00E22E35">
        <w:t xml:space="preserve">Irish </w:t>
      </w:r>
      <w:r w:rsidR="009750FA">
        <w:t>immigrants were 24 percentage points more likely to hold an unskilled occupation</w:t>
      </w:r>
      <w:r w:rsidR="00784A8E">
        <w:t xml:space="preserve"> than children of natives</w:t>
      </w:r>
      <w:r w:rsidR="009750FA">
        <w:t xml:space="preserve">, translating into </w:t>
      </w:r>
      <w:r w:rsidR="004E3614">
        <w:t xml:space="preserve">a </w:t>
      </w:r>
      <w:r w:rsidR="009750FA">
        <w:t xml:space="preserve">48 log point </w:t>
      </w:r>
      <w:r w:rsidR="00663BD7">
        <w:t xml:space="preserve">or 11 percentile rank </w:t>
      </w:r>
      <w:r w:rsidR="009750FA">
        <w:t xml:space="preserve">disadvantage in terms of occupational score. </w:t>
      </w:r>
      <w:r w:rsidR="0080598A">
        <w:t xml:space="preserve"> </w:t>
      </w:r>
      <w:r w:rsidR="00DF23CA">
        <w:t xml:space="preserve">For all </w:t>
      </w:r>
      <w:r w:rsidR="009C36AC">
        <w:t>immigrant groups</w:t>
      </w:r>
      <w:r w:rsidR="00DF23CA">
        <w:t xml:space="preserve">, occupational outcomes </w:t>
      </w:r>
      <w:r w:rsidR="0080598A">
        <w:t xml:space="preserve">were worse </w:t>
      </w:r>
      <w:r w:rsidR="00DF23CA">
        <w:t xml:space="preserve">for the children of </w:t>
      </w:r>
      <w:r w:rsidR="009C36AC">
        <w:t>later (</w:t>
      </w:r>
      <w:r w:rsidR="00154B20">
        <w:t>famine-era</w:t>
      </w:r>
      <w:r w:rsidR="009C36AC">
        <w:t>)</w:t>
      </w:r>
      <w:r w:rsidR="00DF23CA">
        <w:t xml:space="preserve"> arrivals</w:t>
      </w:r>
      <w:r w:rsidR="00154B20">
        <w:t xml:space="preserve"> than </w:t>
      </w:r>
      <w:r w:rsidR="00197B2B">
        <w:t xml:space="preserve">for children of </w:t>
      </w:r>
      <w:r w:rsidR="00154B20">
        <w:t>earlier arrivals</w:t>
      </w:r>
      <w:r w:rsidR="00FA55B7">
        <w:t xml:space="preserve">.  </w:t>
      </w:r>
      <w:r w:rsidR="0080598A">
        <w:t>However, w</w:t>
      </w:r>
      <w:r w:rsidR="00FA55B7">
        <w:t xml:space="preserve">hereas </w:t>
      </w:r>
      <w:r w:rsidR="00DF23CA">
        <w:t xml:space="preserve">these differences </w:t>
      </w:r>
      <w:r w:rsidR="00DD14D5">
        <w:t>were</w:t>
      </w:r>
      <w:r w:rsidR="00DF23CA">
        <w:t xml:space="preserve"> small for the British and Germans</w:t>
      </w:r>
      <w:r w:rsidR="008608DF">
        <w:t xml:space="preserve">, </w:t>
      </w:r>
      <w:r w:rsidR="00DF23CA">
        <w:t>the famine</w:t>
      </w:r>
      <w:r w:rsidR="00FA55B7">
        <w:t>-era</w:t>
      </w:r>
      <w:r w:rsidR="00DF23CA">
        <w:t xml:space="preserve"> Irish children fared much worse than the children of the pre-famine Irish</w:t>
      </w:r>
      <w:r w:rsidR="0080598A">
        <w:t xml:space="preserve"> (e.g., </w:t>
      </w:r>
      <w:r w:rsidR="00DF23CA">
        <w:t>16</w:t>
      </w:r>
      <w:r w:rsidR="00D82F49">
        <w:t xml:space="preserve"> percentage </w:t>
      </w:r>
      <w:r w:rsidR="00154B20">
        <w:t>p</w:t>
      </w:r>
      <w:r w:rsidR="00D82F49">
        <w:t>oints</w:t>
      </w:r>
      <w:r w:rsidR="00154B20">
        <w:t xml:space="preserve"> </w:t>
      </w:r>
      <w:r w:rsidR="00DF23CA">
        <w:t xml:space="preserve">more likely to </w:t>
      </w:r>
      <w:r w:rsidR="00094597">
        <w:t>have</w:t>
      </w:r>
      <w:r w:rsidR="00DF23CA">
        <w:t xml:space="preserve"> </w:t>
      </w:r>
      <w:r w:rsidR="00226EFB">
        <w:t xml:space="preserve">an </w:t>
      </w:r>
      <w:r w:rsidR="00DF23CA">
        <w:t>unskilled</w:t>
      </w:r>
      <w:r w:rsidR="00094597">
        <w:t xml:space="preserve"> occupation</w:t>
      </w:r>
      <w:r w:rsidR="00154B20">
        <w:t>)</w:t>
      </w:r>
      <w:r w:rsidR="00FA55B7">
        <w:t xml:space="preserve">.  </w:t>
      </w:r>
      <w:r w:rsidR="00784A8E">
        <w:t>The difference-in-differences test</w:t>
      </w:r>
      <w:r w:rsidR="00C705F9">
        <w:t>s reveal</w:t>
      </w:r>
      <w:r w:rsidR="00784A8E">
        <w:t xml:space="preserve"> that the famine-era Irish </w:t>
      </w:r>
      <w:r w:rsidR="004A0404">
        <w:t>disadvantage</w:t>
      </w:r>
      <w:r w:rsidR="00784A8E">
        <w:t xml:space="preserve"> relative to earlier Irish arrivals is significantly different from the patter</w:t>
      </w:r>
      <w:r w:rsidR="00DB6092">
        <w:t>n</w:t>
      </w:r>
      <w:r w:rsidR="00784A8E">
        <w:t xml:space="preserve"> observed in other immigrant groups; it does not merely reflect</w:t>
      </w:r>
      <w:r w:rsidR="00DB6092">
        <w:t xml:space="preserve"> worse </w:t>
      </w:r>
      <w:r w:rsidR="00784A8E">
        <w:t xml:space="preserve">outcomes for the children of later arriving immigrants.  Thus, it is clear that the distinct disadvantage of the famine-era Irish arrivals persisted to the adult outcomes of the </w:t>
      </w:r>
      <w:r w:rsidR="004D7379">
        <w:t>children</w:t>
      </w:r>
      <w:r w:rsidR="00784A8E">
        <w:t xml:space="preserve">, 30 years after the famine.  </w:t>
      </w:r>
    </w:p>
    <w:p w14:paraId="22B88715" w14:textId="1AF6C55E" w:rsidR="00AB52F1" w:rsidRDefault="00553CB2" w:rsidP="009C06D3">
      <w:pPr>
        <w:widowControl w:val="0"/>
      </w:pPr>
      <w:r>
        <w:tab/>
      </w:r>
      <w:r w:rsidR="00C51BF8">
        <w:t xml:space="preserve">The results of Tables 5 and 6 </w:t>
      </w:r>
      <w:r w:rsidR="001C3761">
        <w:t>taken in isolation paint a</w:t>
      </w:r>
      <w:r w:rsidR="00DD14D5">
        <w:t xml:space="preserve"> fairly</w:t>
      </w:r>
      <w:r w:rsidR="001C3761">
        <w:t xml:space="preserve"> negative picture of the economic assimilation of the famine</w:t>
      </w:r>
      <w:r w:rsidR="008E7BD6">
        <w:t>-era</w:t>
      </w:r>
      <w:r w:rsidR="001C3761">
        <w:t xml:space="preserve"> Irish. </w:t>
      </w:r>
      <w:r w:rsidR="00B36C5C">
        <w:t xml:space="preserve"> </w:t>
      </w:r>
      <w:r w:rsidR="001C3761">
        <w:t>However,</w:t>
      </w:r>
      <w:r w:rsidR="00E71BD8">
        <w:t xml:space="preserve"> when considered </w:t>
      </w:r>
      <w:r w:rsidR="00DD14D5">
        <w:t>in comparison to Tables 3 and 4</w:t>
      </w:r>
      <w:r w:rsidR="00E71BD8">
        <w:t>,</w:t>
      </w:r>
      <w:r w:rsidR="001C3761">
        <w:t xml:space="preserve"> </w:t>
      </w:r>
      <w:r w:rsidR="005E7B47">
        <w:t xml:space="preserve">the results </w:t>
      </w:r>
      <w:r w:rsidR="00E71BD8">
        <w:t>indicate</w:t>
      </w:r>
      <w:r w:rsidR="005E7B47">
        <w:t xml:space="preserve"> </w:t>
      </w:r>
      <w:r w:rsidR="00DD14D5">
        <w:t xml:space="preserve">that </w:t>
      </w:r>
      <w:r w:rsidR="005E7B47">
        <w:t>considerable assimilation occurred</w:t>
      </w:r>
      <w:r w:rsidR="00E71BD8">
        <w:t xml:space="preserve"> from one generation to the next</w:t>
      </w:r>
      <w:r w:rsidR="005E7B47">
        <w:t xml:space="preserve">. </w:t>
      </w:r>
      <w:r w:rsidR="00B36C5C">
        <w:t xml:space="preserve"> </w:t>
      </w:r>
      <w:r w:rsidR="005E7B47">
        <w:t xml:space="preserve">Figure 3 </w:t>
      </w:r>
      <w:r w:rsidR="00E71BD8">
        <w:t xml:space="preserve">directly </w:t>
      </w:r>
      <w:r w:rsidR="005E7B47">
        <w:t>compares the coefficients from the estimati</w:t>
      </w:r>
      <w:r w:rsidR="0009568E">
        <w:t xml:space="preserve">on of equation (1) for the heads’ </w:t>
      </w:r>
      <w:r w:rsidR="005E7B47">
        <w:t xml:space="preserve">outcomes in 1850 to those for the (adult) children’s outcomes in 1880. </w:t>
      </w:r>
      <w:r w:rsidR="00E71BD8">
        <w:t xml:space="preserve"> </w:t>
      </w:r>
      <w:r w:rsidR="00037560">
        <w:t xml:space="preserve">For both the probability of holding an unskilled </w:t>
      </w:r>
      <w:r w:rsidR="00BD0747">
        <w:t xml:space="preserve">occupation in Figure 3(a) and the occupational </w:t>
      </w:r>
      <w:r w:rsidR="00E32321">
        <w:t>status</w:t>
      </w:r>
      <w:r w:rsidR="00BD0747">
        <w:t xml:space="preserve"> score in Figure 3(b)</w:t>
      </w:r>
      <w:r w:rsidR="00E71BD8">
        <w:t>,</w:t>
      </w:r>
      <w:r w:rsidR="00BD0747">
        <w:t xml:space="preserve"> the famine</w:t>
      </w:r>
      <w:r w:rsidR="00E71BD8">
        <w:t>-era</w:t>
      </w:r>
      <w:r w:rsidR="00BD0747">
        <w:t xml:space="preserve"> Irish </w:t>
      </w:r>
      <w:r w:rsidR="00E71BD8">
        <w:t>disadvantage</w:t>
      </w:r>
      <w:r w:rsidR="001E6578">
        <w:t xml:space="preserve"> relative to natives in 1880 is </w:t>
      </w:r>
      <w:r w:rsidR="00E71BD8">
        <w:t xml:space="preserve">much </w:t>
      </w:r>
      <w:r w:rsidR="001E6578">
        <w:t xml:space="preserve">smaller than the </w:t>
      </w:r>
      <w:r w:rsidR="00E71BD8">
        <w:t xml:space="preserve">gap </w:t>
      </w:r>
      <w:r w:rsidR="00E32321">
        <w:t xml:space="preserve">observed for their fathers </w:t>
      </w:r>
      <w:r w:rsidR="001E6578">
        <w:t xml:space="preserve">in 1850. </w:t>
      </w:r>
      <w:r w:rsidR="00E71BD8">
        <w:t xml:space="preserve"> </w:t>
      </w:r>
      <w:r w:rsidR="00CA3486" w:rsidRPr="00CA3486">
        <w:t xml:space="preserve">In this sense, </w:t>
      </w:r>
      <w:r w:rsidR="00CE576E">
        <w:t>there is</w:t>
      </w:r>
      <w:r w:rsidR="00CA3486" w:rsidRPr="00CA3486">
        <w:t xml:space="preserve"> </w:t>
      </w:r>
      <w:r w:rsidR="00E71BD8">
        <w:t>strong</w:t>
      </w:r>
      <w:r w:rsidR="00CA3486" w:rsidRPr="00CA3486">
        <w:t xml:space="preserve"> evidence of </w:t>
      </w:r>
      <w:r w:rsidR="008E7BD6">
        <w:t>convergence in labor market outcomes</w:t>
      </w:r>
      <w:r w:rsidR="00CA3486" w:rsidRPr="00CA3486">
        <w:t xml:space="preserve"> between immigrants and natives, even for the most impoverished and desperate group of mid-nineteenth century immigrants.</w:t>
      </w:r>
      <w:r w:rsidR="00AB52F1">
        <w:t xml:space="preserve"> </w:t>
      </w:r>
      <w:r w:rsidR="00E32321">
        <w:t xml:space="preserve"> </w:t>
      </w:r>
    </w:p>
    <w:p w14:paraId="416E80CA" w14:textId="77777777" w:rsidR="00213B3F" w:rsidRDefault="00213B3F" w:rsidP="009C06D3">
      <w:pPr>
        <w:widowControl w:val="0"/>
        <w:ind w:firstLine="720"/>
        <w:rPr>
          <w:rFonts w:cs="Times New Roman"/>
        </w:rPr>
      </w:pPr>
    </w:p>
    <w:p w14:paraId="7D24D873" w14:textId="0990B748" w:rsidR="000A4AD1" w:rsidRPr="000A4AD1" w:rsidRDefault="000A4AD1" w:rsidP="00B63FA1">
      <w:pPr>
        <w:keepNext/>
        <w:keepLines/>
        <w:widowControl w:val="0"/>
        <w:rPr>
          <w:i/>
        </w:rPr>
      </w:pPr>
      <w:r w:rsidRPr="000A4AD1">
        <w:rPr>
          <w:rFonts w:cs="Times New Roman"/>
          <w:i/>
        </w:rPr>
        <w:t>Outcomes conditional on 1850 characteristics</w:t>
      </w:r>
    </w:p>
    <w:p w14:paraId="1F08750A" w14:textId="6D00EDD0" w:rsidR="009D71D9" w:rsidRDefault="00EB5A8D" w:rsidP="00B63FA1">
      <w:pPr>
        <w:keepNext/>
        <w:keepLines/>
        <w:widowControl w:val="0"/>
      </w:pPr>
      <w:r>
        <w:tab/>
      </w:r>
      <w:r w:rsidR="001D0769">
        <w:t xml:space="preserve">Given their relatively </w:t>
      </w:r>
      <w:r w:rsidR="008B5DFA">
        <w:t>poor starting point, it is</w:t>
      </w:r>
      <w:r w:rsidR="00510F44">
        <w:t xml:space="preserve"> </w:t>
      </w:r>
      <w:r w:rsidR="008B5DFA">
        <w:t>unsurprising that</w:t>
      </w:r>
      <w:r w:rsidR="00E153B1">
        <w:t xml:space="preserve"> Irish</w:t>
      </w:r>
      <w:r w:rsidR="008B5DFA">
        <w:t xml:space="preserve"> </w:t>
      </w:r>
      <w:r w:rsidR="00E153B1">
        <w:t>immigrants’</w:t>
      </w:r>
      <w:r w:rsidR="008B5DFA">
        <w:t xml:space="preserve"> children </w:t>
      </w:r>
      <w:r w:rsidR="0041652D">
        <w:t>had</w:t>
      </w:r>
      <w:r w:rsidR="008B5DFA">
        <w:t xml:space="preserve"> </w:t>
      </w:r>
      <w:r w:rsidR="001D0769">
        <w:t>worse</w:t>
      </w:r>
      <w:r w:rsidR="008B5DFA">
        <w:t xml:space="preserve"> </w:t>
      </w:r>
      <w:r w:rsidR="001D0769">
        <w:t xml:space="preserve">labor market </w:t>
      </w:r>
      <w:r w:rsidR="008B5DFA">
        <w:t>outcomes</w:t>
      </w:r>
      <w:r w:rsidR="001D0769">
        <w:t xml:space="preserve"> than the average </w:t>
      </w:r>
      <w:r w:rsidR="00510F44">
        <w:t xml:space="preserve">child of </w:t>
      </w:r>
      <w:r w:rsidR="001D0769">
        <w:t>native</w:t>
      </w:r>
      <w:r w:rsidR="00510F44">
        <w:t>s</w:t>
      </w:r>
      <w:r w:rsidR="008B5DFA">
        <w:t>.</w:t>
      </w:r>
      <w:r w:rsidR="001D0769">
        <w:t xml:space="preserve">  </w:t>
      </w:r>
      <w:r w:rsidR="00E153B1">
        <w:t>A different perspective on assimilation is afforded by controlling for the adverse childhood conditions faced by the famine-era Irish children.</w:t>
      </w:r>
      <w:r w:rsidR="0041652D">
        <w:t xml:space="preserve">  In studying intergenerational mobility for immigrants, scholars often rely on comparisons of cross-sectional data observed roughly a generation apart</w:t>
      </w:r>
      <w:r w:rsidR="0012627B">
        <w:t xml:space="preserve">; that is, they </w:t>
      </w:r>
      <w:r w:rsidR="0041652D">
        <w:t>compar</w:t>
      </w:r>
      <w:r w:rsidR="0012627B">
        <w:t>e</w:t>
      </w:r>
      <w:r w:rsidR="0041652D">
        <w:t xml:space="preserve"> foreign-born workers’ outcomes in one census to outcomes for US-born workers who report having foreign-born parents </w:t>
      </w:r>
      <w:r w:rsidR="00C31D69">
        <w:t xml:space="preserve">in a </w:t>
      </w:r>
      <w:r w:rsidR="0041652D">
        <w:t>later</w:t>
      </w:r>
      <w:r w:rsidR="00C31D69">
        <w:t xml:space="preserve"> census</w:t>
      </w:r>
      <w:r w:rsidR="0041652D">
        <w:t xml:space="preserve"> (</w:t>
      </w:r>
      <w:r w:rsidR="002B799D">
        <w:t xml:space="preserve">see </w:t>
      </w:r>
      <w:r w:rsidR="0041652D">
        <w:t xml:space="preserve">Borjas </w:t>
      </w:r>
      <w:r w:rsidR="004B7104">
        <w:t>1993</w:t>
      </w:r>
      <w:r w:rsidR="0041652D">
        <w:t xml:space="preserve">; Card 2005; Abramitzky, Boustan, Eriksson 2014).  An advantage of the linked census dataset studied here is that we observe at the individual-level both the childhood </w:t>
      </w:r>
      <w:r w:rsidR="008E0BE9">
        <w:t xml:space="preserve">household characteristics </w:t>
      </w:r>
      <w:r w:rsidR="0041652D">
        <w:t>and</w:t>
      </w:r>
      <w:r w:rsidR="008E0BE9">
        <w:t xml:space="preserve"> the</w:t>
      </w:r>
      <w:r w:rsidR="0041652D">
        <w:t xml:space="preserve"> adult </w:t>
      </w:r>
      <w:r w:rsidR="008E0BE9">
        <w:t>outcomes</w:t>
      </w:r>
      <w:r w:rsidR="0041652D">
        <w:t xml:space="preserve">.  </w:t>
      </w:r>
      <w:r w:rsidR="008E0BE9">
        <w:t>That is</w:t>
      </w:r>
      <w:r w:rsidR="0041652D">
        <w:t xml:space="preserve">, we can study the immigrants’ children’s outcomes conditional </w:t>
      </w:r>
      <w:r w:rsidR="00CE1AE1">
        <w:t xml:space="preserve">on a rich set of early life </w:t>
      </w:r>
      <w:r w:rsidR="00717462">
        <w:t>circumstances</w:t>
      </w:r>
      <w:r w:rsidR="00CE1AE1">
        <w:t xml:space="preserve">.  </w:t>
      </w:r>
      <w:r w:rsidR="004D7379">
        <w:t>T</w:t>
      </w:r>
      <w:r w:rsidR="00304A68">
        <w:t xml:space="preserve">o compare </w:t>
      </w:r>
      <w:r w:rsidR="00277A8E">
        <w:t xml:space="preserve">the </w:t>
      </w:r>
      <w:r w:rsidR="00304A68">
        <w:t>immigrant</w:t>
      </w:r>
      <w:r w:rsidR="00277A8E">
        <w:t>s’</w:t>
      </w:r>
      <w:r w:rsidR="00304A68">
        <w:t xml:space="preserve"> children to observationally similar native</w:t>
      </w:r>
      <w:r w:rsidR="00277A8E">
        <w:t>s’</w:t>
      </w:r>
      <w:r w:rsidR="00304A68">
        <w:t xml:space="preserve"> children,</w:t>
      </w:r>
      <w:r w:rsidR="00A9454F">
        <w:t xml:space="preserve"> we repeat the estimation of equation (1) </w:t>
      </w:r>
      <w:r w:rsidR="00304A68">
        <w:t>but expand</w:t>
      </w:r>
      <w:r w:rsidR="00A9454F">
        <w:t xml:space="preserve"> </w:t>
      </w:r>
      <w:r w:rsidR="00304A68">
        <w:t xml:space="preserve">the </w:t>
      </w:r>
      <w:r w:rsidR="00A9454F">
        <w:t>vector of control</w:t>
      </w:r>
      <w:r w:rsidR="00304A68">
        <w:t xml:space="preserve"> variables in</w:t>
      </w:r>
      <w:r w:rsidR="00A9454F">
        <w:t xml:space="preserve"> </w:t>
      </w:r>
      <m:oMath>
        <m:sSub>
          <m:sSubPr>
            <m:ctrlPr>
              <w:rPr>
                <w:rFonts w:ascii="Cambria Math" w:hAnsi="Cambria Math"/>
                <w:i/>
              </w:rPr>
            </m:ctrlPr>
          </m:sSubPr>
          <m:e>
            <m:r>
              <m:rPr>
                <m:sty m:val="b"/>
              </m:rPr>
              <w:rPr>
                <w:rFonts w:ascii="Cambria Math" w:hAnsi="Cambria Math"/>
              </w:rPr>
              <m:t>x</m:t>
            </m:r>
          </m:e>
          <m:sub>
            <m:r>
              <w:rPr>
                <w:rFonts w:ascii="Cambria Math" w:hAnsi="Cambria Math"/>
              </w:rPr>
              <m:t>ijk</m:t>
            </m:r>
          </m:sub>
        </m:sSub>
      </m:oMath>
      <w:r w:rsidR="00A9454F">
        <w:t xml:space="preserve"> </w:t>
      </w:r>
      <w:r w:rsidR="00CD7BE4">
        <w:t>to include quartic polynomials</w:t>
      </w:r>
      <w:r w:rsidR="009D71D9">
        <w:t xml:space="preserve"> in the log of the occupational wealth score of the head of household</w:t>
      </w:r>
      <w:r w:rsidR="00717462">
        <w:t xml:space="preserve"> (in 1850)</w:t>
      </w:r>
      <w:r w:rsidR="009D71D9">
        <w:t xml:space="preserve">, the head’s real property holdings, and the head’s age; indicators for head’s literacy and numeracy; </w:t>
      </w:r>
      <w:r w:rsidR="0074192A">
        <w:t xml:space="preserve">indicators for </w:t>
      </w:r>
      <w:r w:rsidR="009D71D9">
        <w:t xml:space="preserve">head’s </w:t>
      </w:r>
      <w:r w:rsidR="0074192A">
        <w:t xml:space="preserve">broad </w:t>
      </w:r>
      <w:r w:rsidR="009D71D9">
        <w:t>occupational category; and indicators for urban residence, school attendance, and state of residence.</w:t>
      </w:r>
      <w:r w:rsidR="00E95867">
        <w:t xml:space="preserve"> The ethnicity-cohort indicators</w:t>
      </w:r>
      <w:r w:rsidR="00C31D69">
        <w:t xml:space="preserve"> (</w:t>
      </w:r>
      <m:oMath>
        <m:sSub>
          <m:sSubPr>
            <m:ctrlPr>
              <w:rPr>
                <w:rFonts w:ascii="Cambria Math" w:hAnsi="Cambria Math"/>
                <w:i/>
              </w:rPr>
            </m:ctrlPr>
          </m:sSubPr>
          <m:e>
            <m:r>
              <w:rPr>
                <w:rFonts w:ascii="Cambria Math" w:hAnsi="Cambria Math"/>
              </w:rPr>
              <m:t>δ</m:t>
            </m:r>
            <m:ctrlPr>
              <w:rPr>
                <w:rFonts w:ascii="Cambria Math" w:eastAsia="MS Mincho" w:hAnsi="Cambria Math" w:cs="MS Mincho"/>
                <w:i/>
              </w:rPr>
            </m:ctrlPr>
          </m:e>
          <m:sub>
            <m:r>
              <w:rPr>
                <w:rFonts w:ascii="Cambria Math" w:hAnsi="Cambria Math"/>
              </w:rPr>
              <m:t>jk</m:t>
            </m:r>
          </m:sub>
        </m:sSub>
      </m:oMath>
      <w:r w:rsidR="00C31D69">
        <w:t xml:space="preserve">) </w:t>
      </w:r>
      <w:r w:rsidR="00E95867">
        <w:t>can thus be interpreted as the difference in intergenerational mobility between natives and observationally similar immigrants.</w:t>
      </w:r>
    </w:p>
    <w:p w14:paraId="66DAE154" w14:textId="379E3D97" w:rsidR="00870F50" w:rsidRDefault="006642A2" w:rsidP="009C06D3">
      <w:pPr>
        <w:widowControl w:val="0"/>
        <w:ind w:firstLine="720"/>
      </w:pPr>
      <w:r>
        <w:t xml:space="preserve">Each </w:t>
      </w:r>
      <w:r w:rsidR="00277A8E">
        <w:t>panel</w:t>
      </w:r>
      <w:r>
        <w:t xml:space="preserve"> in Figure 4 presents the </w:t>
      </w:r>
      <w:r w:rsidR="00B4590E">
        <w:t>coefficient</w:t>
      </w:r>
      <w:r w:rsidR="00277A8E">
        <w:t xml:space="preserve"> estimates for</w:t>
      </w:r>
      <w:r w:rsidR="00B4590E">
        <w:t xml:space="preserve"> the ethnicity-cohort indicators </w:t>
      </w:r>
      <w:r w:rsidR="00870F50">
        <w:t>(</w:t>
      </w:r>
      <m:oMath>
        <m:sSub>
          <m:sSubPr>
            <m:ctrlPr>
              <w:rPr>
                <w:rFonts w:ascii="Cambria Math" w:hAnsi="Cambria Math"/>
                <w:i/>
              </w:rPr>
            </m:ctrlPr>
          </m:sSubPr>
          <m:e>
            <m:r>
              <w:rPr>
                <w:rFonts w:ascii="Cambria Math" w:hAnsi="Cambria Math"/>
              </w:rPr>
              <m:t>δ</m:t>
            </m:r>
            <m:ctrlPr>
              <w:rPr>
                <w:rFonts w:ascii="Cambria Math" w:eastAsia="MS Mincho" w:hAnsi="Cambria Math" w:cs="MS Mincho"/>
                <w:i/>
              </w:rPr>
            </m:ctrlPr>
          </m:e>
          <m:sub>
            <m:r>
              <w:rPr>
                <w:rFonts w:ascii="Cambria Math" w:hAnsi="Cambria Math"/>
              </w:rPr>
              <m:t>jk</m:t>
            </m:r>
          </m:sub>
        </m:sSub>
      </m:oMath>
      <w:r w:rsidR="00870F50">
        <w:t xml:space="preserve">) </w:t>
      </w:r>
      <w:r w:rsidR="00B4590E">
        <w:t xml:space="preserve">for three specifications. </w:t>
      </w:r>
      <w:r w:rsidR="00304A68">
        <w:t xml:space="preserve"> </w:t>
      </w:r>
      <w:r w:rsidR="00B4590E">
        <w:t>The first</w:t>
      </w:r>
      <w:r w:rsidR="009D71D9">
        <w:t xml:space="preserve"> set of estimates</w:t>
      </w:r>
      <w:r w:rsidR="00B4590E">
        <w:t>, labeled “</w:t>
      </w:r>
      <w:r w:rsidR="00304A68">
        <w:t>Baseline</w:t>
      </w:r>
      <w:r w:rsidR="00B4590E">
        <w:t>,” are the coefficient</w:t>
      </w:r>
      <w:r w:rsidR="00304A68">
        <w:t>s</w:t>
      </w:r>
      <w:r w:rsidR="009D71D9">
        <w:t xml:space="preserve"> obtained</w:t>
      </w:r>
      <w:r w:rsidR="00B4590E">
        <w:t xml:space="preserve"> </w:t>
      </w:r>
      <w:r w:rsidR="00304A68">
        <w:t xml:space="preserve">when </w:t>
      </w:r>
      <w:r w:rsidR="00B4590E">
        <w:t>controlling only for the quartic in age</w:t>
      </w:r>
      <w:r w:rsidR="0020232E">
        <w:t xml:space="preserve"> (i.e., they are the same as in Table 6)</w:t>
      </w:r>
      <w:r w:rsidR="00B4590E">
        <w:t xml:space="preserve">. </w:t>
      </w:r>
      <w:r w:rsidR="00304A68">
        <w:t xml:space="preserve"> </w:t>
      </w:r>
      <w:r w:rsidR="00B4590E">
        <w:t>The second, labeled “Controls,” are the coefficient</w:t>
      </w:r>
      <w:r w:rsidR="00304A68">
        <w:t xml:space="preserve"> estimates</w:t>
      </w:r>
      <w:r w:rsidR="00B4590E">
        <w:t xml:space="preserve"> </w:t>
      </w:r>
      <w:r w:rsidR="00870F50">
        <w:t xml:space="preserve">obtained when </w:t>
      </w:r>
      <w:r w:rsidR="00B4590E">
        <w:t xml:space="preserve">controlling for </w:t>
      </w:r>
      <w:r w:rsidR="009D71D9">
        <w:t>the</w:t>
      </w:r>
      <w:r w:rsidR="00B4590E">
        <w:t xml:space="preserve"> 1850 household characteristics</w:t>
      </w:r>
      <w:r w:rsidR="009D71D9">
        <w:t xml:space="preserve"> listed above.</w:t>
      </w:r>
      <w:r w:rsidR="00984E34">
        <w:t xml:space="preserve"> </w:t>
      </w:r>
      <w:r w:rsidR="00277A8E">
        <w:t xml:space="preserve"> </w:t>
      </w:r>
      <w:r w:rsidR="00984E34">
        <w:t xml:space="preserve">The last </w:t>
      </w:r>
      <w:r w:rsidR="00BE3D73">
        <w:t>s</w:t>
      </w:r>
      <w:r w:rsidR="00984E34">
        <w:t>et, labeled “</w:t>
      </w:r>
      <w:r w:rsidR="00304A68">
        <w:t>Controls plus nativity</w:t>
      </w:r>
      <w:r w:rsidR="00984E34">
        <w:t xml:space="preserve">,” </w:t>
      </w:r>
      <w:r w:rsidR="003C2F80">
        <w:t xml:space="preserve">are the </w:t>
      </w:r>
      <w:r w:rsidR="00870F50">
        <w:t>estimates</w:t>
      </w:r>
      <w:r w:rsidR="003C2F80">
        <w:t xml:space="preserve"> obtained with all </w:t>
      </w:r>
      <w:r w:rsidR="00984E34">
        <w:t>the controls</w:t>
      </w:r>
      <w:r w:rsidR="00304A68">
        <w:t xml:space="preserve"> mentioned above and an</w:t>
      </w:r>
      <w:r w:rsidR="00984E34">
        <w:t xml:space="preserve"> indicator for </w:t>
      </w:r>
      <w:r w:rsidR="009D71D9">
        <w:t>US</w:t>
      </w:r>
      <w:r w:rsidR="00984E34">
        <w:t xml:space="preserve"> birth</w:t>
      </w:r>
      <w:r w:rsidR="00984E34" w:rsidRPr="004F115F">
        <w:t>.</w:t>
      </w:r>
      <w:r w:rsidR="00AC75AE" w:rsidRPr="004F115F">
        <w:rPr>
          <w:rStyle w:val="FootnoteReference"/>
        </w:rPr>
        <w:footnoteReference w:id="46"/>
      </w:r>
      <w:r w:rsidR="00984E34" w:rsidRPr="004F115F">
        <w:t xml:space="preserve"> </w:t>
      </w:r>
      <w:r w:rsidR="00870F50" w:rsidRPr="00283D85">
        <w:t xml:space="preserve"> </w:t>
      </w:r>
      <w:r w:rsidR="00870F50" w:rsidRPr="00F96079">
        <w:t>US birth might be advantageous to later life outcomes, as it implies no exposure to a long trans-Atlantic voyage and full exposure to American educational institutions, language, and society</w:t>
      </w:r>
      <w:r w:rsidR="00342405" w:rsidRPr="00F96079">
        <w:t xml:space="preserve"> (</w:t>
      </w:r>
      <w:r w:rsidR="008B4E68" w:rsidRPr="00F96079">
        <w:t xml:space="preserve">Hatton 1997; </w:t>
      </w:r>
      <w:r w:rsidR="00342405" w:rsidRPr="00F96079">
        <w:t>Alexander and Ward 2018)</w:t>
      </w:r>
      <w:r w:rsidR="00870F50" w:rsidRPr="00F96079">
        <w:t>.</w:t>
      </w:r>
    </w:p>
    <w:p w14:paraId="6712B821" w14:textId="35792673" w:rsidR="00BD4DEB" w:rsidRDefault="001B3AF7" w:rsidP="009C06D3">
      <w:pPr>
        <w:widowControl w:val="0"/>
        <w:ind w:firstLine="720"/>
      </w:pPr>
      <w:r>
        <w:t xml:space="preserve">The </w:t>
      </w:r>
      <w:r w:rsidR="00C53FCD">
        <w:t>famine</w:t>
      </w:r>
      <w:r w:rsidR="00F26EC8">
        <w:t>-era</w:t>
      </w:r>
      <w:r w:rsidR="00C53FCD">
        <w:t xml:space="preserve"> Irish </w:t>
      </w:r>
      <w:r w:rsidR="00CA57AE">
        <w:t xml:space="preserve">children’s </w:t>
      </w:r>
      <w:r w:rsidR="00F26EC8">
        <w:t>disadvantage</w:t>
      </w:r>
      <w:r w:rsidR="008E7BD6">
        <w:t xml:space="preserve"> in occupational status rel</w:t>
      </w:r>
      <w:r w:rsidR="005A7C9F">
        <w:t>ative to other groups</w:t>
      </w:r>
      <w:r w:rsidR="00F26EC8">
        <w:t xml:space="preserve"> </w:t>
      </w:r>
      <w:r w:rsidR="00277A8E">
        <w:t xml:space="preserve">is </w:t>
      </w:r>
      <w:r w:rsidR="005A7C9F">
        <w:t>greatly diminished</w:t>
      </w:r>
      <w:r w:rsidR="004A3900">
        <w:t>,</w:t>
      </w:r>
      <w:r w:rsidR="005A7C9F">
        <w:t xml:space="preserve"> but still </w:t>
      </w:r>
      <w:r w:rsidR="00717462">
        <w:t>visible</w:t>
      </w:r>
      <w:r w:rsidR="004A3900">
        <w:t>,</w:t>
      </w:r>
      <w:r w:rsidR="005A7C9F">
        <w:t xml:space="preserve"> </w:t>
      </w:r>
      <w:r w:rsidR="00870F50">
        <w:t>when the regression includes</w:t>
      </w:r>
      <w:r>
        <w:t xml:space="preserve"> </w:t>
      </w:r>
      <w:r w:rsidR="00CA57AE">
        <w:t>background</w:t>
      </w:r>
      <w:r>
        <w:t xml:space="preserve"> controls</w:t>
      </w:r>
      <w:r w:rsidR="00C53FCD">
        <w:t xml:space="preserve">. </w:t>
      </w:r>
      <w:r w:rsidR="00AB2EE6">
        <w:t xml:space="preserve"> In the baseline</w:t>
      </w:r>
      <w:r w:rsidR="007752B3">
        <w:t xml:space="preserve"> results</w:t>
      </w:r>
      <w:r w:rsidR="00AB2EE6">
        <w:t xml:space="preserve">, </w:t>
      </w:r>
      <w:r w:rsidR="007752B3">
        <w:t xml:space="preserve">recall that </w:t>
      </w:r>
      <w:r w:rsidR="00AB2EE6">
        <w:t>t</w:t>
      </w:r>
      <w:r w:rsidR="00C21E32">
        <w:t>he sons of the famine</w:t>
      </w:r>
      <w:r w:rsidR="00F26EC8">
        <w:t>-era</w:t>
      </w:r>
      <w:r w:rsidR="00C21E32">
        <w:t xml:space="preserve"> Irish were 24 p</w:t>
      </w:r>
      <w:r w:rsidR="00510F44">
        <w:t>ercentage points</w:t>
      </w:r>
      <w:r w:rsidR="00F649CE">
        <w:t xml:space="preserve"> </w:t>
      </w:r>
      <w:r w:rsidR="00C21E32">
        <w:t xml:space="preserve">more likely than the sons of natives to </w:t>
      </w:r>
      <w:r w:rsidR="00F649CE">
        <w:t>have</w:t>
      </w:r>
      <w:r w:rsidR="00C21E32">
        <w:t xml:space="preserve"> an unskilled occupation</w:t>
      </w:r>
      <w:r w:rsidR="00F649CE">
        <w:t>,</w:t>
      </w:r>
      <w:r w:rsidR="00C21E32">
        <w:t xml:space="preserve"> and </w:t>
      </w:r>
      <w:r w:rsidR="00F649CE">
        <w:t>the</w:t>
      </w:r>
      <w:r w:rsidR="00AB2EE6">
        <w:t xml:space="preserve">ir </w:t>
      </w:r>
      <w:r w:rsidR="00F649CE">
        <w:t>occupations</w:t>
      </w:r>
      <w:r w:rsidR="005A7C9F">
        <w:t xml:space="preserve"> scored</w:t>
      </w:r>
      <w:r w:rsidR="00F649CE">
        <w:t xml:space="preserve"> </w:t>
      </w:r>
      <w:r w:rsidR="00C21E32">
        <w:t>48 log points</w:t>
      </w:r>
      <w:r w:rsidR="00F649CE">
        <w:t xml:space="preserve"> lower</w:t>
      </w:r>
      <w:r w:rsidR="00F26EC8">
        <w:t xml:space="preserve"> </w:t>
      </w:r>
      <w:r w:rsidR="00F649CE">
        <w:t>than natives’ sons</w:t>
      </w:r>
      <w:r w:rsidR="00AB2EE6">
        <w:t xml:space="preserve"> on average</w:t>
      </w:r>
      <w:r w:rsidR="00C21E32">
        <w:t>.</w:t>
      </w:r>
      <w:r w:rsidR="00F649CE">
        <w:t xml:space="preserve">  Once the background control variables are added to the specification, the gaps decline to 14 p</w:t>
      </w:r>
      <w:r w:rsidR="00510F44">
        <w:t>ercentage points</w:t>
      </w:r>
      <w:r w:rsidR="00F649CE">
        <w:t xml:space="preserve"> and 2</w:t>
      </w:r>
      <w:r w:rsidR="002266CF">
        <w:t>7</w:t>
      </w:r>
      <w:r w:rsidR="00F649CE">
        <w:t xml:space="preserve"> log points for unskilled occupations and occupation scores, respectively.  </w:t>
      </w:r>
      <w:r w:rsidR="00501963">
        <w:t>Additionally</w:t>
      </w:r>
      <w:r w:rsidR="00F649CE">
        <w:t xml:space="preserve"> c</w:t>
      </w:r>
      <w:r w:rsidR="00C21E32">
        <w:t>ontrolling for native</w:t>
      </w:r>
      <w:r w:rsidR="006D3417">
        <w:t xml:space="preserve"> birth further reduces </w:t>
      </w:r>
      <w:r w:rsidR="00F649CE">
        <w:t>the</w:t>
      </w:r>
      <w:r w:rsidR="006D3417">
        <w:t xml:space="preserve"> gap</w:t>
      </w:r>
      <w:r w:rsidR="00510F44">
        <w:t>s to</w:t>
      </w:r>
      <w:r w:rsidR="004A3900">
        <w:t xml:space="preserve"> just</w:t>
      </w:r>
      <w:r w:rsidR="00510F44">
        <w:t xml:space="preserve"> 8 percentage points</w:t>
      </w:r>
      <w:r w:rsidR="00F649CE">
        <w:t xml:space="preserve"> and 1</w:t>
      </w:r>
      <w:r w:rsidR="002266CF">
        <w:t>2</w:t>
      </w:r>
      <w:r w:rsidR="00F649CE">
        <w:t xml:space="preserve"> log points.</w:t>
      </w:r>
      <w:r w:rsidR="00BD4DEB">
        <w:t xml:space="preserve">  </w:t>
      </w:r>
      <w:r w:rsidR="00FF3F87">
        <w:t xml:space="preserve">Separately, it is notable that the “controls plus nativity” results for the English and Germans are small and indicate slightly </w:t>
      </w:r>
      <w:r w:rsidR="00FF3F87" w:rsidRPr="009F51A9">
        <w:rPr>
          <w:i/>
        </w:rPr>
        <w:t>better</w:t>
      </w:r>
      <w:r w:rsidR="00FF3F87">
        <w:t xml:space="preserve"> performance for the immigrants’ children than for observationally similar natives.</w:t>
      </w:r>
    </w:p>
    <w:p w14:paraId="095C3437" w14:textId="07FE7201" w:rsidR="002929EC" w:rsidRDefault="00EF3C2F" w:rsidP="009C06D3">
      <w:pPr>
        <w:widowControl w:val="0"/>
        <w:ind w:firstLine="720"/>
      </w:pPr>
      <w:r>
        <w:t xml:space="preserve">A Gelbach decomposition indicates that </w:t>
      </w:r>
      <w:r w:rsidR="008E7BD6">
        <w:t xml:space="preserve">the native birth variable and the </w:t>
      </w:r>
      <w:r w:rsidR="002F5275">
        <w:t>measures of</w:t>
      </w:r>
      <w:r w:rsidR="008E7BD6">
        <w:t xml:space="preserve"> the father’s occupational </w:t>
      </w:r>
      <w:r w:rsidR="002F5275">
        <w:t>status</w:t>
      </w:r>
      <w:r w:rsidR="008E7BD6">
        <w:t xml:space="preserve"> in 1850</w:t>
      </w:r>
      <w:r w:rsidR="002F5275">
        <w:t xml:space="preserve"> (the indicators for occupational category and the quartic in the occupational wealth score)</w:t>
      </w:r>
      <w:r w:rsidR="008E7BD6">
        <w:t xml:space="preserve"> are </w:t>
      </w:r>
      <w:r w:rsidR="008315EC">
        <w:t>responsible for the greatest portion of the decline in the magnitude of the famine Irish coefficient</w:t>
      </w:r>
      <w:r w:rsidR="00EA4682">
        <w:t xml:space="preserve"> relative to the more parsimonious baseline</w:t>
      </w:r>
      <w:r w:rsidR="002F120E">
        <w:t xml:space="preserve"> (Gelbach 2016)</w:t>
      </w:r>
      <w:r w:rsidR="008315EC">
        <w:t>.</w:t>
      </w:r>
      <w:r w:rsidR="008E7BD6">
        <w:rPr>
          <w:rStyle w:val="FootnoteReference"/>
        </w:rPr>
        <w:footnoteReference w:id="47"/>
      </w:r>
      <w:r w:rsidR="002929EC">
        <w:t xml:space="preserve">  </w:t>
      </w:r>
      <w:r w:rsidR="008E7BD6">
        <w:t xml:space="preserve">In this sense, the </w:t>
      </w:r>
      <w:r w:rsidR="00D55CB6">
        <w:t xml:space="preserve">relatively poor </w:t>
      </w:r>
      <w:r w:rsidR="008E7BD6">
        <w:t xml:space="preserve">early life economic circumstances of the children of the famine-era Irish immigrants were quantitatively important to their subsequent outcomes.  </w:t>
      </w:r>
    </w:p>
    <w:p w14:paraId="3DEC5DFA" w14:textId="3981A0F2" w:rsidR="00065FB1" w:rsidRDefault="00AB2EE6" w:rsidP="009C06D3">
      <w:pPr>
        <w:widowControl w:val="0"/>
        <w:ind w:firstLine="720"/>
      </w:pPr>
      <w:r w:rsidRPr="00674AA7">
        <w:t>Interpreting the residual gap</w:t>
      </w:r>
      <w:r w:rsidR="000C7DC8" w:rsidRPr="00674AA7">
        <w:t xml:space="preserve"> for the famine-era Irish</w:t>
      </w:r>
      <w:r w:rsidRPr="00674AA7">
        <w:t xml:space="preserve"> is, of course, difficult in </w:t>
      </w:r>
      <w:r w:rsidR="000C7DC8" w:rsidRPr="00674AA7">
        <w:t>this kind of analysis</w:t>
      </w:r>
      <w:r w:rsidRPr="00674AA7">
        <w:t xml:space="preserve">.  It is consistent with both unobservably worse background conditions for the Irish children—circumstances that are not fully captured in </w:t>
      </w:r>
      <m:oMath>
        <m:sSub>
          <m:sSubPr>
            <m:ctrlPr>
              <w:rPr>
                <w:rFonts w:ascii="Cambria Math" w:hAnsi="Cambria Math"/>
                <w:i/>
              </w:rPr>
            </m:ctrlPr>
          </m:sSubPr>
          <m:e>
            <m:r>
              <m:rPr>
                <m:sty m:val="b"/>
              </m:rPr>
              <w:rPr>
                <w:rFonts w:ascii="Cambria Math" w:hAnsi="Cambria Math"/>
              </w:rPr>
              <m:t>x</m:t>
            </m:r>
          </m:e>
          <m:sub>
            <m:r>
              <w:rPr>
                <w:rFonts w:ascii="Cambria Math" w:hAnsi="Cambria Math"/>
              </w:rPr>
              <m:t>ijk</m:t>
            </m:r>
          </m:sub>
        </m:sSub>
      </m:oMath>
      <w:r w:rsidRPr="00674AA7">
        <w:t>—and discrimination</w:t>
      </w:r>
      <w:r w:rsidR="00A935A0">
        <w:t xml:space="preserve"> that affects labor market outcomes</w:t>
      </w:r>
      <w:r w:rsidRPr="00674AA7">
        <w:t>.</w:t>
      </w:r>
      <w:r w:rsidR="00DD4698" w:rsidRPr="00674AA7">
        <w:t xml:space="preserve">  The main point here is simply that the children of famine-era Irish fared </w:t>
      </w:r>
      <w:r w:rsidR="007752B3" w:rsidRPr="00674AA7">
        <w:t>only slightly worse than</w:t>
      </w:r>
      <w:r w:rsidR="00DD4698" w:rsidRPr="00674AA7">
        <w:t xml:space="preserve"> children</w:t>
      </w:r>
      <w:r w:rsidR="00004CB4" w:rsidRPr="00674AA7">
        <w:t xml:space="preserve"> of</w:t>
      </w:r>
      <w:r w:rsidR="00DD4698" w:rsidRPr="00674AA7">
        <w:t xml:space="preserve"> natives </w:t>
      </w:r>
      <w:r w:rsidR="00544AFD">
        <w:t>with</w:t>
      </w:r>
      <w:r w:rsidR="007752B3" w:rsidRPr="00674AA7">
        <w:t xml:space="preserve"> observationally</w:t>
      </w:r>
      <w:r w:rsidR="00DD4698" w:rsidRPr="00674AA7">
        <w:t xml:space="preserve"> similar backgrounds</w:t>
      </w:r>
      <w:r w:rsidR="007752B3" w:rsidRPr="00674AA7">
        <w:t xml:space="preserve">, despite facing obstacles that might have been particularly relevant to </w:t>
      </w:r>
      <w:r w:rsidR="00C27B7D">
        <w:t xml:space="preserve">the </w:t>
      </w:r>
      <w:r w:rsidR="007752B3" w:rsidRPr="00674AA7">
        <w:t xml:space="preserve">children of </w:t>
      </w:r>
      <w:r w:rsidR="00C27B7D">
        <w:t xml:space="preserve">Irish </w:t>
      </w:r>
      <w:r w:rsidR="007752B3" w:rsidRPr="00674AA7">
        <w:t>immigrants</w:t>
      </w:r>
      <w:r w:rsidR="00DD4698" w:rsidRPr="00674AA7">
        <w:t xml:space="preserve">. </w:t>
      </w:r>
      <w:r w:rsidR="004D7379">
        <w:t xml:space="preserve"> I</w:t>
      </w:r>
      <w:r w:rsidR="009749EC">
        <w:t xml:space="preserve">n addition to </w:t>
      </w:r>
      <w:r w:rsidR="00674AA7" w:rsidRPr="00674AA7">
        <w:rPr>
          <w:rFonts w:cs="Times New Roman"/>
        </w:rPr>
        <w:t>hindrances associated with relatively low human capital parents</w:t>
      </w:r>
      <w:r w:rsidR="009749EC">
        <w:rPr>
          <w:rFonts w:cs="Times New Roman"/>
        </w:rPr>
        <w:t xml:space="preserve">, they might also have experienced </w:t>
      </w:r>
      <w:r w:rsidR="00C31D69">
        <w:rPr>
          <w:rFonts w:cs="Times New Roman"/>
        </w:rPr>
        <w:t xml:space="preserve">more </w:t>
      </w:r>
      <w:r w:rsidR="00674AA7" w:rsidRPr="00674AA7">
        <w:rPr>
          <w:rFonts w:cs="Times New Roman"/>
        </w:rPr>
        <w:t>overcrowding of schools</w:t>
      </w:r>
      <w:r w:rsidR="009749EC">
        <w:rPr>
          <w:rFonts w:cs="Times New Roman"/>
        </w:rPr>
        <w:t>, housing,</w:t>
      </w:r>
      <w:r w:rsidR="00674AA7" w:rsidRPr="00674AA7">
        <w:rPr>
          <w:rFonts w:cs="Times New Roman"/>
        </w:rPr>
        <w:t xml:space="preserve"> and public goods</w:t>
      </w:r>
      <w:r w:rsidR="009749EC">
        <w:rPr>
          <w:rFonts w:cs="Times New Roman"/>
        </w:rPr>
        <w:t>;</w:t>
      </w:r>
      <w:r w:rsidR="00674AA7" w:rsidRPr="00674AA7">
        <w:rPr>
          <w:rFonts w:cs="Times New Roman"/>
        </w:rPr>
        <w:t xml:space="preserve"> a nativist backlash against immigrants</w:t>
      </w:r>
      <w:r w:rsidR="009749EC">
        <w:rPr>
          <w:rFonts w:cs="Times New Roman"/>
        </w:rPr>
        <w:t xml:space="preserve">, especially Irish Catholics; </w:t>
      </w:r>
      <w:r w:rsidR="0006725E">
        <w:rPr>
          <w:rFonts w:cs="Times New Roman"/>
        </w:rPr>
        <w:t xml:space="preserve">intense labor market competition from new waves of immigrants; </w:t>
      </w:r>
      <w:r w:rsidR="00674AA7" w:rsidRPr="00674AA7">
        <w:rPr>
          <w:rFonts w:cs="Times New Roman"/>
        </w:rPr>
        <w:t>and, for some, the physical and psychological trauma of the famine itself.</w:t>
      </w:r>
    </w:p>
    <w:p w14:paraId="5D6206F2" w14:textId="77777777" w:rsidR="00504672" w:rsidRDefault="00504672" w:rsidP="009C06D3">
      <w:pPr>
        <w:widowControl w:val="0"/>
      </w:pPr>
    </w:p>
    <w:p w14:paraId="14B15340" w14:textId="71D36FDA" w:rsidR="00504672" w:rsidRPr="00504672" w:rsidRDefault="00504672" w:rsidP="009C06D3">
      <w:pPr>
        <w:widowControl w:val="0"/>
        <w:rPr>
          <w:i/>
        </w:rPr>
      </w:pPr>
      <w:r w:rsidRPr="00504672">
        <w:rPr>
          <w:i/>
        </w:rPr>
        <w:t>Discussion</w:t>
      </w:r>
    </w:p>
    <w:p w14:paraId="022039D9" w14:textId="320FCA9E" w:rsidR="00BF3567" w:rsidRDefault="00C53FCD" w:rsidP="009C06D3">
      <w:pPr>
        <w:widowControl w:val="0"/>
        <w:rPr>
          <w:rFonts w:cs="Times New Roman"/>
        </w:rPr>
      </w:pPr>
      <w:r>
        <w:tab/>
      </w:r>
      <w:r w:rsidR="00F71A30" w:rsidRPr="004A0AB6">
        <w:rPr>
          <w:rFonts w:cs="Times New Roman"/>
        </w:rPr>
        <w:t xml:space="preserve">The results described </w:t>
      </w:r>
      <w:r w:rsidR="002647E1">
        <w:rPr>
          <w:rFonts w:cs="Times New Roman"/>
        </w:rPr>
        <w:t xml:space="preserve">thus far </w:t>
      </w:r>
      <w:r w:rsidR="00F71A30" w:rsidRPr="004A0AB6">
        <w:rPr>
          <w:rFonts w:cs="Times New Roman"/>
        </w:rPr>
        <w:t>answer simple but fundamental questions about immigrants and their children in the early Age of Mass Migration.</w:t>
      </w:r>
      <w:r w:rsidR="0011178F" w:rsidRPr="004A0AB6">
        <w:rPr>
          <w:rFonts w:cs="Times New Roman"/>
        </w:rPr>
        <w:t xml:space="preserve">  The answers are made possible by advances in data resources and techniques that allow us to create linked census records at large scale. </w:t>
      </w:r>
      <w:r w:rsidR="0086174F" w:rsidRPr="004A0AB6">
        <w:rPr>
          <w:rFonts w:cs="Times New Roman"/>
        </w:rPr>
        <w:t xml:space="preserve"> </w:t>
      </w:r>
      <w:r w:rsidR="00F71A30" w:rsidRPr="004A0AB6">
        <w:rPr>
          <w:rFonts w:cs="Times New Roman"/>
        </w:rPr>
        <w:t>Our interpretation</w:t>
      </w:r>
      <w:r w:rsidR="0011178F" w:rsidRPr="004A0AB6">
        <w:rPr>
          <w:rFonts w:cs="Times New Roman"/>
        </w:rPr>
        <w:t xml:space="preserve"> </w:t>
      </w:r>
      <w:r w:rsidR="00F71A30" w:rsidRPr="004A0AB6">
        <w:rPr>
          <w:rFonts w:cs="Times New Roman"/>
        </w:rPr>
        <w:t xml:space="preserve">emphasizes that the famine-era Irish were more negatively selected than prior Irish immigrants </w:t>
      </w:r>
      <w:r w:rsidR="00F71A30" w:rsidRPr="00E5348E">
        <w:rPr>
          <w:rFonts w:cs="Times New Roman"/>
        </w:rPr>
        <w:t>and</w:t>
      </w:r>
      <w:r w:rsidR="00F71A30" w:rsidRPr="004A0AB6">
        <w:rPr>
          <w:rFonts w:cs="Times New Roman"/>
        </w:rPr>
        <w:t xml:space="preserve"> arrived in a large wave </w:t>
      </w:r>
      <w:r w:rsidR="00BF3567" w:rsidRPr="004A0AB6">
        <w:rPr>
          <w:rFonts w:cs="Times New Roman"/>
        </w:rPr>
        <w:t>on the northeastern seaboard.  The</w:t>
      </w:r>
      <w:r w:rsidR="00A340B7" w:rsidRPr="004A0AB6">
        <w:rPr>
          <w:rFonts w:cs="Times New Roman"/>
        </w:rPr>
        <w:t xml:space="preserve">ir </w:t>
      </w:r>
      <w:r w:rsidR="005D516E" w:rsidRPr="004A0AB6">
        <w:rPr>
          <w:rFonts w:cs="Times New Roman"/>
        </w:rPr>
        <w:t xml:space="preserve">poverty and </w:t>
      </w:r>
      <w:r w:rsidR="00BF3567" w:rsidRPr="004A0AB6">
        <w:rPr>
          <w:rFonts w:cs="Times New Roman"/>
        </w:rPr>
        <w:t>relative lack of human capital</w:t>
      </w:r>
      <w:r w:rsidR="005D516E" w:rsidRPr="004A0AB6">
        <w:rPr>
          <w:rFonts w:cs="Times New Roman"/>
        </w:rPr>
        <w:t xml:space="preserve"> </w:t>
      </w:r>
      <w:r w:rsidR="00A340B7" w:rsidRPr="004A0AB6">
        <w:rPr>
          <w:rFonts w:cs="Times New Roman"/>
        </w:rPr>
        <w:t>s</w:t>
      </w:r>
      <w:r w:rsidR="00BF3567" w:rsidRPr="004A0AB6">
        <w:rPr>
          <w:rFonts w:cs="Times New Roman"/>
        </w:rPr>
        <w:t>quare with historical accounts</w:t>
      </w:r>
      <w:r w:rsidR="00471C9E">
        <w:rPr>
          <w:rFonts w:cs="Times New Roman"/>
        </w:rPr>
        <w:t>,</w:t>
      </w:r>
      <w:r w:rsidR="00A340B7" w:rsidRPr="004A0AB6">
        <w:rPr>
          <w:rFonts w:cs="Times New Roman"/>
        </w:rPr>
        <w:t xml:space="preserve"> </w:t>
      </w:r>
      <w:r w:rsidR="00407FED">
        <w:rPr>
          <w:rFonts w:cs="Times New Roman"/>
        </w:rPr>
        <w:t>but</w:t>
      </w:r>
      <w:r w:rsidR="00A340B7" w:rsidRPr="004A0AB6">
        <w:rPr>
          <w:rFonts w:cs="Times New Roman"/>
        </w:rPr>
        <w:t xml:space="preserve"> the new dataset offers </w:t>
      </w:r>
      <w:r w:rsidR="0086174F" w:rsidRPr="004A0AB6">
        <w:rPr>
          <w:rFonts w:cs="Times New Roman"/>
        </w:rPr>
        <w:t xml:space="preserve">much </w:t>
      </w:r>
      <w:r w:rsidR="00280D4B" w:rsidRPr="004A0AB6">
        <w:rPr>
          <w:rFonts w:cs="Times New Roman"/>
        </w:rPr>
        <w:t xml:space="preserve">more </w:t>
      </w:r>
      <w:r w:rsidR="00A340B7" w:rsidRPr="004A0AB6">
        <w:rPr>
          <w:rFonts w:cs="Times New Roman"/>
        </w:rPr>
        <w:t xml:space="preserve">detail and precision than previously available. </w:t>
      </w:r>
      <w:r w:rsidR="00674AA7" w:rsidRPr="004A0AB6">
        <w:rPr>
          <w:rFonts w:cs="Times New Roman"/>
        </w:rPr>
        <w:t xml:space="preserve"> </w:t>
      </w:r>
      <w:r w:rsidR="00280D4B" w:rsidRPr="0006725E">
        <w:rPr>
          <w:rFonts w:cs="Times New Roman"/>
        </w:rPr>
        <w:t xml:space="preserve">It can be no surprise that the Irish children did not completely close the gap in </w:t>
      </w:r>
      <w:r w:rsidR="004D7379">
        <w:rPr>
          <w:rFonts w:cs="Times New Roman"/>
        </w:rPr>
        <w:t xml:space="preserve">average </w:t>
      </w:r>
      <w:r w:rsidR="00280D4B" w:rsidRPr="0006725E">
        <w:rPr>
          <w:rFonts w:cs="Times New Roman"/>
        </w:rPr>
        <w:t>economic status relative to natives’ children by 1880</w:t>
      </w:r>
      <w:r w:rsidR="005638CD" w:rsidRPr="0006725E">
        <w:rPr>
          <w:rFonts w:cs="Times New Roman"/>
        </w:rPr>
        <w:t xml:space="preserve">.  </w:t>
      </w:r>
      <w:r w:rsidR="009F54C8" w:rsidRPr="0006725E">
        <w:rPr>
          <w:rFonts w:cs="Times New Roman"/>
        </w:rPr>
        <w:t>Yet</w:t>
      </w:r>
      <w:r w:rsidR="00634EFB" w:rsidRPr="0006725E">
        <w:rPr>
          <w:rFonts w:cs="Times New Roman"/>
        </w:rPr>
        <w:t xml:space="preserve"> u</w:t>
      </w:r>
      <w:r w:rsidR="005B758E" w:rsidRPr="0006725E">
        <w:rPr>
          <w:rFonts w:cs="Times New Roman"/>
        </w:rPr>
        <w:t>nder the circumstances, the</w:t>
      </w:r>
      <w:r w:rsidR="005638CD" w:rsidRPr="0006725E">
        <w:rPr>
          <w:rFonts w:cs="Times New Roman"/>
        </w:rPr>
        <w:t xml:space="preserve"> </w:t>
      </w:r>
      <w:r w:rsidR="006C7F32">
        <w:rPr>
          <w:rFonts w:cs="Times New Roman"/>
        </w:rPr>
        <w:t xml:space="preserve">strong </w:t>
      </w:r>
      <w:r w:rsidR="00280D4B" w:rsidRPr="0006725E">
        <w:rPr>
          <w:rFonts w:cs="Times New Roman"/>
        </w:rPr>
        <w:t>evidence of convergence</w:t>
      </w:r>
      <w:r w:rsidR="005638CD" w:rsidRPr="0006725E">
        <w:rPr>
          <w:rFonts w:cs="Times New Roman"/>
        </w:rPr>
        <w:t xml:space="preserve"> </w:t>
      </w:r>
      <w:r w:rsidR="00374F6D" w:rsidRPr="0006725E">
        <w:rPr>
          <w:rFonts w:cs="Times New Roman"/>
        </w:rPr>
        <w:t>is</w:t>
      </w:r>
      <w:r w:rsidR="00065FB1" w:rsidRPr="0006725E">
        <w:rPr>
          <w:rFonts w:cs="Times New Roman"/>
        </w:rPr>
        <w:t xml:space="preserve"> </w:t>
      </w:r>
      <w:r w:rsidR="0006725E" w:rsidRPr="0006725E">
        <w:rPr>
          <w:rFonts w:cs="Times New Roman"/>
        </w:rPr>
        <w:t>notable</w:t>
      </w:r>
      <w:r w:rsidR="00C76FC4" w:rsidRPr="0006725E">
        <w:rPr>
          <w:rFonts w:cs="Times New Roman"/>
        </w:rPr>
        <w:t>.</w:t>
      </w:r>
      <w:r w:rsidR="004F547D">
        <w:rPr>
          <w:rFonts w:cs="Times New Roman"/>
        </w:rPr>
        <w:t xml:space="preserve">  </w:t>
      </w:r>
      <w:r w:rsidR="00407FED">
        <w:rPr>
          <w:rFonts w:cs="Times New Roman"/>
        </w:rPr>
        <w:t xml:space="preserve">They may have benefited </w:t>
      </w:r>
      <w:r w:rsidR="00C76FC4" w:rsidRPr="004A0AB6">
        <w:rPr>
          <w:rFonts w:cs="Times New Roman"/>
        </w:rPr>
        <w:t xml:space="preserve">from arriving at </w:t>
      </w:r>
      <w:r w:rsidR="008702FD">
        <w:rPr>
          <w:rFonts w:cs="Times New Roman"/>
        </w:rPr>
        <w:t xml:space="preserve">a </w:t>
      </w:r>
      <w:r w:rsidR="00C76FC4" w:rsidRPr="004A0AB6">
        <w:rPr>
          <w:rFonts w:cs="Times New Roman"/>
        </w:rPr>
        <w:t xml:space="preserve">time when </w:t>
      </w:r>
      <w:r w:rsidR="00C41FDF" w:rsidRPr="004A0AB6">
        <w:rPr>
          <w:rFonts w:cs="Times New Roman"/>
        </w:rPr>
        <w:t>whites’ intergenerational mobility was at a historically high level compared to later</w:t>
      </w:r>
      <w:r w:rsidR="005A5D5B" w:rsidRPr="004A0AB6">
        <w:rPr>
          <w:rFonts w:cs="Times New Roman"/>
        </w:rPr>
        <w:t xml:space="preserve"> periods (Long and Ferrie 2013)</w:t>
      </w:r>
      <w:r w:rsidR="00E31832" w:rsidRPr="004A0AB6">
        <w:rPr>
          <w:rFonts w:cs="Times New Roman"/>
        </w:rPr>
        <w:t>.</w:t>
      </w:r>
      <w:r w:rsidR="00065FB1" w:rsidRPr="004A0AB6">
        <w:rPr>
          <w:rFonts w:cs="Times New Roman"/>
        </w:rPr>
        <w:t xml:space="preserve"> </w:t>
      </w:r>
      <w:r w:rsidR="006C7F32">
        <w:rPr>
          <w:rFonts w:cs="Times New Roman"/>
        </w:rPr>
        <w:t xml:space="preserve"> M</w:t>
      </w:r>
      <w:r w:rsidR="00FA0DD2">
        <w:rPr>
          <w:rFonts w:cs="Times New Roman"/>
        </w:rPr>
        <w:t>ovement</w:t>
      </w:r>
      <w:r w:rsidR="00C76FC4" w:rsidRPr="004A0AB6">
        <w:rPr>
          <w:rFonts w:cs="Times New Roman"/>
        </w:rPr>
        <w:t xml:space="preserve"> toward the mean from the bottom of the occupational distribution</w:t>
      </w:r>
      <w:r w:rsidR="009749EC" w:rsidRPr="004A0AB6">
        <w:rPr>
          <w:rFonts w:cs="Times New Roman"/>
        </w:rPr>
        <w:t xml:space="preserve"> was </w:t>
      </w:r>
      <w:r w:rsidR="004A0AB6" w:rsidRPr="004A0AB6">
        <w:rPr>
          <w:rFonts w:cs="Times New Roman"/>
        </w:rPr>
        <w:t>fairly</w:t>
      </w:r>
      <w:r w:rsidR="009749EC" w:rsidRPr="004A0AB6">
        <w:rPr>
          <w:rFonts w:cs="Times New Roman"/>
        </w:rPr>
        <w:t xml:space="preserve"> common for low-status whites</w:t>
      </w:r>
      <w:r w:rsidR="009F5B65" w:rsidRPr="004A0AB6">
        <w:rPr>
          <w:rFonts w:cs="Times New Roman"/>
        </w:rPr>
        <w:t xml:space="preserve">, </w:t>
      </w:r>
      <w:r w:rsidR="008702FD">
        <w:rPr>
          <w:rFonts w:cs="Times New Roman"/>
        </w:rPr>
        <w:t xml:space="preserve">but </w:t>
      </w:r>
      <w:r w:rsidR="009F5B65" w:rsidRPr="004A0AB6">
        <w:rPr>
          <w:rFonts w:cs="Times New Roman"/>
        </w:rPr>
        <w:t>such</w:t>
      </w:r>
      <w:r w:rsidR="00BD26B4">
        <w:rPr>
          <w:rFonts w:cs="Times New Roman"/>
        </w:rPr>
        <w:t xml:space="preserve"> strong</w:t>
      </w:r>
      <w:r w:rsidR="009F5B65" w:rsidRPr="004A0AB6">
        <w:rPr>
          <w:rFonts w:cs="Times New Roman"/>
        </w:rPr>
        <w:t xml:space="preserve"> convergence is neither mechanical nor </w:t>
      </w:r>
      <w:r w:rsidR="00AC2F07">
        <w:rPr>
          <w:rFonts w:cs="Times New Roman"/>
        </w:rPr>
        <w:t>to be taken for granted</w:t>
      </w:r>
      <w:r w:rsidR="009F5B65" w:rsidRPr="004A0AB6">
        <w:rPr>
          <w:rFonts w:cs="Times New Roman"/>
        </w:rPr>
        <w:t>, as evidenced by the history of black</w:t>
      </w:r>
      <w:r w:rsidR="00065C0E">
        <w:rPr>
          <w:rFonts w:cs="Times New Roman"/>
        </w:rPr>
        <w:t xml:space="preserve"> men’s</w:t>
      </w:r>
      <w:r w:rsidR="009F5B65" w:rsidRPr="004A0AB6">
        <w:rPr>
          <w:rFonts w:cs="Times New Roman"/>
        </w:rPr>
        <w:t xml:space="preserve"> intergeneration</w:t>
      </w:r>
      <w:r w:rsidR="004A0AB6" w:rsidRPr="004A0AB6">
        <w:rPr>
          <w:rFonts w:cs="Times New Roman"/>
        </w:rPr>
        <w:t>al</w:t>
      </w:r>
      <w:r w:rsidR="009F5B65" w:rsidRPr="004A0AB6">
        <w:rPr>
          <w:rFonts w:cs="Times New Roman"/>
        </w:rPr>
        <w:t xml:space="preserve"> mobility</w:t>
      </w:r>
      <w:r w:rsidR="00471C9E">
        <w:rPr>
          <w:rFonts w:cs="Times New Roman"/>
        </w:rPr>
        <w:t xml:space="preserve"> later in the nineteenth century</w:t>
      </w:r>
      <w:r w:rsidR="009F5B65" w:rsidRPr="004A0AB6">
        <w:rPr>
          <w:rFonts w:cs="Times New Roman"/>
        </w:rPr>
        <w:t xml:space="preserve"> (Collins and Wanamaker 2017).</w:t>
      </w:r>
      <w:r w:rsidR="002C622C">
        <w:rPr>
          <w:rFonts w:cs="Times New Roman"/>
        </w:rPr>
        <w:t xml:space="preserve"> </w:t>
      </w:r>
    </w:p>
    <w:p w14:paraId="3620FE6A" w14:textId="2150C12E" w:rsidR="00504672" w:rsidRPr="008D419D" w:rsidRDefault="00504672" w:rsidP="00504672">
      <w:pPr>
        <w:widowControl w:val="0"/>
        <w:ind w:firstLine="720"/>
        <w:rPr>
          <w:rFonts w:cs="Times New Roman"/>
        </w:rPr>
      </w:pPr>
      <w:r w:rsidRPr="00955B9D">
        <w:rPr>
          <w:rFonts w:cs="Times New Roman"/>
        </w:rPr>
        <w:t xml:space="preserve">Our finding of substantial but incomplete intergenerational convergence by the famine Irish is consistent with </w:t>
      </w:r>
      <w:r w:rsidR="00065C0E" w:rsidRPr="00955B9D">
        <w:rPr>
          <w:rFonts w:cs="Times New Roman"/>
        </w:rPr>
        <w:t>important</w:t>
      </w:r>
      <w:r w:rsidRPr="00955B9D">
        <w:rPr>
          <w:rFonts w:cs="Times New Roman"/>
        </w:rPr>
        <w:t xml:space="preserve"> studies of mid- to late-twentieth century</w:t>
      </w:r>
      <w:r w:rsidR="00856F2C" w:rsidRPr="00955B9D">
        <w:rPr>
          <w:rFonts w:cs="Times New Roman"/>
        </w:rPr>
        <w:t xml:space="preserve"> immigrants, which typically rely on </w:t>
      </w:r>
      <w:r w:rsidRPr="00955B9D">
        <w:rPr>
          <w:rFonts w:cs="Times New Roman"/>
        </w:rPr>
        <w:t>cross-sectional data sources</w:t>
      </w:r>
      <w:r w:rsidR="002B799D" w:rsidRPr="00955B9D">
        <w:rPr>
          <w:rFonts w:cs="Times New Roman"/>
        </w:rPr>
        <w:t xml:space="preserve"> (as described above)</w:t>
      </w:r>
      <w:r w:rsidRPr="00955B9D">
        <w:rPr>
          <w:rFonts w:cs="Times New Roman"/>
        </w:rPr>
        <w:t>.</w:t>
      </w:r>
      <w:r>
        <w:rPr>
          <w:rFonts w:cs="Times New Roman"/>
        </w:rPr>
        <w:t xml:space="preserve">  For instance, our finding that the children of famine-era Irish migrants fared worse than other groups is consistent with Borjas (1993</w:t>
      </w:r>
      <w:r w:rsidR="00C54A02">
        <w:rPr>
          <w:rFonts w:cs="Times New Roman"/>
        </w:rPr>
        <w:t>, pp. 122-128</w:t>
      </w:r>
      <w:r>
        <w:rPr>
          <w:rFonts w:cs="Times New Roman"/>
        </w:rPr>
        <w:t xml:space="preserve">), which finds evidence of </w:t>
      </w:r>
      <w:r w:rsidR="00CF5AEC">
        <w:rPr>
          <w:rFonts w:cs="Times New Roman"/>
        </w:rPr>
        <w:t xml:space="preserve">substantial but </w:t>
      </w:r>
      <w:r>
        <w:rPr>
          <w:rFonts w:cs="Times New Roman"/>
        </w:rPr>
        <w:t>in</w:t>
      </w:r>
      <w:r w:rsidR="00DA2B02">
        <w:rPr>
          <w:rFonts w:cs="Times New Roman"/>
        </w:rPr>
        <w:t xml:space="preserve">complete income </w:t>
      </w:r>
      <w:r w:rsidR="00CF5AEC">
        <w:rPr>
          <w:rFonts w:cs="Times New Roman"/>
        </w:rPr>
        <w:t xml:space="preserve">convergence </w:t>
      </w:r>
      <w:r w:rsidR="00DA2B02">
        <w:rPr>
          <w:rFonts w:cs="Times New Roman"/>
        </w:rPr>
        <w:t xml:space="preserve">by the children of </w:t>
      </w:r>
      <w:r w:rsidR="00C54A02">
        <w:rPr>
          <w:rFonts w:cs="Times New Roman"/>
        </w:rPr>
        <w:t xml:space="preserve">relatively poor </w:t>
      </w:r>
      <w:r w:rsidR="00065C0E">
        <w:rPr>
          <w:rFonts w:cs="Times New Roman"/>
        </w:rPr>
        <w:t>immigrant</w:t>
      </w:r>
      <w:r w:rsidR="00CF5AEC">
        <w:rPr>
          <w:rFonts w:cs="Times New Roman"/>
        </w:rPr>
        <w:t xml:space="preserve"> group</w:t>
      </w:r>
      <w:r w:rsidR="00065C0E">
        <w:rPr>
          <w:rFonts w:cs="Times New Roman"/>
        </w:rPr>
        <w:t>s</w:t>
      </w:r>
      <w:r>
        <w:rPr>
          <w:rFonts w:cs="Times New Roman"/>
        </w:rPr>
        <w:t xml:space="preserve">.  Our convergence results are also roughly consistent with </w:t>
      </w:r>
      <w:r w:rsidRPr="00B676D3">
        <w:rPr>
          <w:rFonts w:cs="Times New Roman"/>
        </w:rPr>
        <w:t>Card</w:t>
      </w:r>
      <w:r w:rsidR="00065C0E">
        <w:rPr>
          <w:rFonts w:cs="Times New Roman"/>
        </w:rPr>
        <w:t xml:space="preserve"> (2005), </w:t>
      </w:r>
      <w:r w:rsidR="00955B9D">
        <w:rPr>
          <w:rFonts w:cs="Times New Roman"/>
        </w:rPr>
        <w:t xml:space="preserve">which </w:t>
      </w:r>
      <w:r>
        <w:rPr>
          <w:rFonts w:cs="Times New Roman"/>
        </w:rPr>
        <w:t>finds that second-generation immigrants tend to converge on or even overtake the educational attainment of US natives (pp. F318-F319).  Second-generation Mexican immigrants, for instance, eliminated about 80 percent of the education gap faced by first-generation fathers (Card 2005, p. F319)</w:t>
      </w:r>
      <w:r w:rsidRPr="00B676D3">
        <w:rPr>
          <w:rFonts w:cs="Times New Roman"/>
        </w:rPr>
        <w:t>.</w:t>
      </w:r>
      <w:r>
        <w:rPr>
          <w:rStyle w:val="FootnoteReference"/>
          <w:rFonts w:cs="Times New Roman"/>
        </w:rPr>
        <w:footnoteReference w:id="48"/>
      </w:r>
      <w:r>
        <w:rPr>
          <w:rFonts w:cs="Times New Roman"/>
        </w:rPr>
        <w:t xml:space="preserve"> </w:t>
      </w:r>
      <w:r w:rsidR="008D419D">
        <w:rPr>
          <w:rFonts w:cs="Times New Roman"/>
        </w:rPr>
        <w:t xml:space="preserve"> </w:t>
      </w:r>
      <w:r w:rsidR="008D419D" w:rsidRPr="008D419D">
        <w:rPr>
          <w:rFonts w:cs="Times New Roman"/>
        </w:rPr>
        <w:t xml:space="preserve">For an earlier period, </w:t>
      </w:r>
      <w:r w:rsidR="005F58D1">
        <w:rPr>
          <w:rFonts w:cs="Times New Roman"/>
        </w:rPr>
        <w:t xml:space="preserve">White and Mullen (2016) describe intergenerational gains in occupational status using IPUMS microdata samples, and </w:t>
      </w:r>
      <w:r w:rsidR="008D419D" w:rsidRPr="008D419D">
        <w:rPr>
          <w:rFonts w:cs="Times New Roman"/>
        </w:rPr>
        <w:t xml:space="preserve">Hatton and Williamson (1998, pp. 128-129) </w:t>
      </w:r>
      <w:r w:rsidR="005F58D1">
        <w:rPr>
          <w:rFonts w:cs="Times New Roman"/>
        </w:rPr>
        <w:t xml:space="preserve">do so </w:t>
      </w:r>
      <w:r w:rsidR="008D419D">
        <w:rPr>
          <w:rFonts w:cs="Times New Roman"/>
        </w:rPr>
        <w:t>based on</w:t>
      </w:r>
      <w:r w:rsidR="008D419D" w:rsidRPr="008D419D">
        <w:rPr>
          <w:rFonts w:cs="Times New Roman"/>
        </w:rPr>
        <w:t xml:space="preserve"> the reports of the US Immigration Commission (1911).</w:t>
      </w:r>
    </w:p>
    <w:p w14:paraId="2ACCEB45" w14:textId="43C1A3DF" w:rsidR="00504672" w:rsidRPr="00F96079" w:rsidRDefault="00504672" w:rsidP="00504672">
      <w:pPr>
        <w:widowControl w:val="0"/>
        <w:ind w:firstLine="720"/>
        <w:rPr>
          <w:rFonts w:cs="Times New Roman"/>
        </w:rPr>
      </w:pPr>
      <w:r w:rsidRPr="00F96079">
        <w:rPr>
          <w:rFonts w:cs="Times New Roman"/>
        </w:rPr>
        <w:t xml:space="preserve">Our findings also complement evidence provided in Abramitzky, Boustan, and Eriksson (2014, </w:t>
      </w:r>
      <w:r w:rsidR="003902AF" w:rsidRPr="00F96079">
        <w:rPr>
          <w:rFonts w:cs="Times New Roman"/>
        </w:rPr>
        <w:t>p</w:t>
      </w:r>
      <w:r w:rsidRPr="00F96079">
        <w:rPr>
          <w:rFonts w:cs="Times New Roman"/>
        </w:rPr>
        <w:t xml:space="preserve">p. </w:t>
      </w:r>
      <w:r w:rsidR="00F53B15" w:rsidRPr="00F96079">
        <w:rPr>
          <w:rFonts w:cs="Times New Roman"/>
        </w:rPr>
        <w:t>498-500</w:t>
      </w:r>
      <w:r w:rsidRPr="00F96079">
        <w:rPr>
          <w:rFonts w:cs="Times New Roman"/>
        </w:rPr>
        <w:t xml:space="preserve">), who study immigrant assimilation in the early to mid-twentieth century.  </w:t>
      </w:r>
      <w:r w:rsidR="003519EE" w:rsidRPr="00F96079">
        <w:rPr>
          <w:rFonts w:cs="Times New Roman"/>
        </w:rPr>
        <w:t>Their</w:t>
      </w:r>
      <w:r w:rsidRPr="00F96079">
        <w:rPr>
          <w:rFonts w:cs="Times New Roman"/>
        </w:rPr>
        <w:t xml:space="preserve"> paper is primarily focused on describing assimilation within a generation using linked data, but it also provides some insight regarding the second generation’s outcomes using cross-sectional data.  They find persistence in outcomes across generations, such that groups that were initially disadvantaged</w:t>
      </w:r>
      <w:r w:rsidR="00F53B15" w:rsidRPr="00F96079">
        <w:rPr>
          <w:rFonts w:cs="Times New Roman"/>
        </w:rPr>
        <w:t xml:space="preserve"> (or advantaged)</w:t>
      </w:r>
      <w:r w:rsidRPr="00F96079">
        <w:rPr>
          <w:rFonts w:cs="Times New Roman"/>
        </w:rPr>
        <w:t xml:space="preserve"> relative to natives </w:t>
      </w:r>
      <w:r w:rsidR="00F53B15" w:rsidRPr="00F96079">
        <w:rPr>
          <w:rFonts w:cs="Times New Roman"/>
        </w:rPr>
        <w:t xml:space="preserve">in terms of occupational status </w:t>
      </w:r>
      <w:r w:rsidRPr="00F96079">
        <w:rPr>
          <w:rFonts w:cs="Times New Roman"/>
        </w:rPr>
        <w:t xml:space="preserve">tended to maintain </w:t>
      </w:r>
      <w:r w:rsidR="003519EE" w:rsidRPr="00F96079">
        <w:rPr>
          <w:rFonts w:cs="Times New Roman"/>
        </w:rPr>
        <w:t>that</w:t>
      </w:r>
      <w:r w:rsidRPr="00F96079">
        <w:rPr>
          <w:rFonts w:cs="Times New Roman"/>
        </w:rPr>
        <w:t xml:space="preserve"> position in the second generation.  Our results for the Irish are consistent with this finding</w:t>
      </w:r>
      <w:r w:rsidR="002647E1" w:rsidRPr="00F96079">
        <w:rPr>
          <w:rFonts w:cs="Times New Roman"/>
        </w:rPr>
        <w:t>.  Our results f</w:t>
      </w:r>
      <w:r w:rsidRPr="00F96079">
        <w:rPr>
          <w:rFonts w:cs="Times New Roman"/>
        </w:rPr>
        <w:t>or the pre-famine cohorts of British and German immigrants (Table 6) are somewhat different</w:t>
      </w:r>
      <w:r w:rsidR="002647E1" w:rsidRPr="00F96079">
        <w:rPr>
          <w:rFonts w:cs="Times New Roman"/>
        </w:rPr>
        <w:t>, as t</w:t>
      </w:r>
      <w:r w:rsidRPr="00F96079">
        <w:rPr>
          <w:rFonts w:cs="Times New Roman"/>
        </w:rPr>
        <w:t xml:space="preserve">heir children appear to have surpassed those of natives by 1880, </w:t>
      </w:r>
      <w:r w:rsidR="007A0239" w:rsidRPr="00F96079">
        <w:rPr>
          <w:rFonts w:cs="Times New Roman"/>
        </w:rPr>
        <w:t xml:space="preserve">but </w:t>
      </w:r>
      <w:r w:rsidRPr="00F96079">
        <w:rPr>
          <w:rFonts w:cs="Times New Roman"/>
        </w:rPr>
        <w:t>only slightly.  Abramitzky, Boustan, and Eriksson (2014</w:t>
      </w:r>
      <w:r w:rsidR="00387B9A" w:rsidRPr="00F96079">
        <w:rPr>
          <w:rFonts w:cs="Times New Roman"/>
        </w:rPr>
        <w:t>, p. 499</w:t>
      </w:r>
      <w:r w:rsidRPr="00F96079">
        <w:rPr>
          <w:rFonts w:cs="Times New Roman"/>
        </w:rPr>
        <w:t xml:space="preserve">) also find that the second generation fared better than the first </w:t>
      </w:r>
      <w:r w:rsidR="00471C9E" w:rsidRPr="00F96079">
        <w:rPr>
          <w:rFonts w:cs="Times New Roman"/>
        </w:rPr>
        <w:t xml:space="preserve">(relative to US natives) </w:t>
      </w:r>
      <w:r w:rsidR="00294D4A" w:rsidRPr="00F96079">
        <w:rPr>
          <w:rFonts w:cs="Times New Roman"/>
        </w:rPr>
        <w:t>for</w:t>
      </w:r>
      <w:r w:rsidRPr="00F96079">
        <w:rPr>
          <w:rFonts w:cs="Times New Roman"/>
        </w:rPr>
        <w:t xml:space="preserve"> about half of the </w:t>
      </w:r>
      <w:r w:rsidR="00387B9A" w:rsidRPr="00F96079">
        <w:rPr>
          <w:rFonts w:cs="Times New Roman"/>
        </w:rPr>
        <w:t>16 s</w:t>
      </w:r>
      <w:r w:rsidRPr="00F96079">
        <w:rPr>
          <w:rFonts w:cs="Times New Roman"/>
        </w:rPr>
        <w:t>ending countries in their dataset, with second-generation German</w:t>
      </w:r>
      <w:r w:rsidR="00387B9A" w:rsidRPr="00F96079">
        <w:rPr>
          <w:rFonts w:cs="Times New Roman"/>
        </w:rPr>
        <w:t>,</w:t>
      </w:r>
      <w:r w:rsidRPr="00F96079">
        <w:rPr>
          <w:rFonts w:cs="Times New Roman"/>
        </w:rPr>
        <w:t xml:space="preserve"> English</w:t>
      </w:r>
      <w:r w:rsidR="00387B9A" w:rsidRPr="00F96079">
        <w:rPr>
          <w:rFonts w:cs="Times New Roman"/>
        </w:rPr>
        <w:t>, Scottish, and Welsh</w:t>
      </w:r>
      <w:r w:rsidRPr="00F96079">
        <w:rPr>
          <w:rFonts w:cs="Times New Roman"/>
        </w:rPr>
        <w:t xml:space="preserve"> men faring worse, and second-generation Irish men faring better.</w:t>
      </w:r>
      <w:r w:rsidR="008C3CB2" w:rsidRPr="00F96079">
        <w:rPr>
          <w:rFonts w:cs="Times New Roman"/>
        </w:rPr>
        <w:t xml:space="preserve"> </w:t>
      </w:r>
      <w:r w:rsidRPr="00F96079">
        <w:rPr>
          <w:rFonts w:cs="Times New Roman"/>
        </w:rPr>
        <w:t xml:space="preserve"> These mixed results contrast with the </w:t>
      </w:r>
      <w:r w:rsidR="00F53B15" w:rsidRPr="00F96079">
        <w:rPr>
          <w:rFonts w:cs="Times New Roman"/>
        </w:rPr>
        <w:t xml:space="preserve">fairly </w:t>
      </w:r>
      <w:r w:rsidRPr="00F96079">
        <w:rPr>
          <w:rFonts w:cs="Times New Roman"/>
        </w:rPr>
        <w:t xml:space="preserve">consistent patterns of improvement in the relative status of </w:t>
      </w:r>
      <w:r w:rsidR="00F53B15" w:rsidRPr="00F96079">
        <w:rPr>
          <w:rFonts w:cs="Times New Roman"/>
        </w:rPr>
        <w:t xml:space="preserve">the </w:t>
      </w:r>
      <w:r w:rsidRPr="00F96079">
        <w:rPr>
          <w:rFonts w:cs="Times New Roman"/>
        </w:rPr>
        <w:t>immigrant groups that we document in Figure 3</w:t>
      </w:r>
      <w:r w:rsidR="00471C9E" w:rsidRPr="00F96079">
        <w:rPr>
          <w:rFonts w:cs="Times New Roman"/>
        </w:rPr>
        <w:t>, albeit for a small number of groups</w:t>
      </w:r>
      <w:r w:rsidRPr="00F96079">
        <w:rPr>
          <w:rFonts w:cs="Times New Roman"/>
        </w:rPr>
        <w:t>.</w:t>
      </w:r>
      <w:r w:rsidR="002A0F0E" w:rsidRPr="00F96079">
        <w:rPr>
          <w:rStyle w:val="CommentReference"/>
        </w:rPr>
        <w:t xml:space="preserve"> </w:t>
      </w:r>
      <w:r w:rsidRPr="00F96079">
        <w:rPr>
          <w:rFonts w:cs="Times New Roman"/>
        </w:rPr>
        <w:t xml:space="preserve">  </w:t>
      </w:r>
    </w:p>
    <w:p w14:paraId="126A89D7" w14:textId="070CDBCA" w:rsidR="00504672" w:rsidRPr="00DF331E" w:rsidRDefault="00504672" w:rsidP="00504672">
      <w:pPr>
        <w:widowControl w:val="0"/>
        <w:ind w:firstLine="720"/>
        <w:rPr>
          <w:rFonts w:cs="Times New Roman"/>
        </w:rPr>
      </w:pPr>
      <w:r w:rsidRPr="00F96079">
        <w:rPr>
          <w:rFonts w:cs="Times New Roman"/>
        </w:rPr>
        <w:t xml:space="preserve">There are </w:t>
      </w:r>
      <w:r w:rsidR="006F3026" w:rsidRPr="00F96079">
        <w:rPr>
          <w:rFonts w:cs="Times New Roman"/>
        </w:rPr>
        <w:t>several</w:t>
      </w:r>
      <w:r w:rsidRPr="00F96079">
        <w:rPr>
          <w:rFonts w:cs="Times New Roman"/>
        </w:rPr>
        <w:t xml:space="preserve"> possible reasons for differences between our findings and those of Abramitzky, Boustan, and Eriksson (2014).  The most obvious is that we study different cohorts and periods of time, with our focus being on the </w:t>
      </w:r>
      <w:r w:rsidR="006F3026" w:rsidRPr="00F96079">
        <w:rPr>
          <w:rFonts w:cs="Times New Roman"/>
        </w:rPr>
        <w:t>earliest</w:t>
      </w:r>
      <w:r w:rsidRPr="00F96079">
        <w:rPr>
          <w:rFonts w:cs="Times New Roman"/>
        </w:rPr>
        <w:t xml:space="preserve"> cohorts of the Age of Mass Migration and their focus being on the later cohorts.  </w:t>
      </w:r>
      <w:r w:rsidR="006F3026" w:rsidRPr="00F96079">
        <w:rPr>
          <w:rFonts w:cs="Times New Roman"/>
        </w:rPr>
        <w:t>The</w:t>
      </w:r>
      <w:r w:rsidRPr="00F96079">
        <w:rPr>
          <w:rFonts w:cs="Times New Roman"/>
        </w:rPr>
        <w:t xml:space="preserve"> later cohorts were drawn from a wider range of sending countries, faced lower transport costs, and </w:t>
      </w:r>
      <w:r w:rsidR="006F3026" w:rsidRPr="00F96079">
        <w:rPr>
          <w:rFonts w:cs="Times New Roman"/>
        </w:rPr>
        <w:t>arrived in a</w:t>
      </w:r>
      <w:r w:rsidRPr="00F96079">
        <w:rPr>
          <w:rFonts w:cs="Times New Roman"/>
        </w:rPr>
        <w:t>n economy that had been transformed by rapid indus</w:t>
      </w:r>
      <w:r w:rsidR="006F3026" w:rsidRPr="00F96079">
        <w:rPr>
          <w:rFonts w:cs="Times New Roman"/>
        </w:rPr>
        <w:t xml:space="preserve">trialization and urbanization.  It is possible that </w:t>
      </w:r>
      <w:r w:rsidRPr="00F96079">
        <w:rPr>
          <w:rFonts w:cs="Times New Roman"/>
        </w:rPr>
        <w:t xml:space="preserve">features of the mid-nineteenth century </w:t>
      </w:r>
      <w:r w:rsidR="00294D4A" w:rsidRPr="00F96079">
        <w:rPr>
          <w:rFonts w:cs="Times New Roman"/>
        </w:rPr>
        <w:t>US</w:t>
      </w:r>
      <w:r w:rsidRPr="00F96079">
        <w:rPr>
          <w:rFonts w:cs="Times New Roman"/>
        </w:rPr>
        <w:t xml:space="preserve"> economy facilitated the occupational advancement of poor immigrants relative to later periods.  For instance, the frontier remained open</w:t>
      </w:r>
      <w:r w:rsidR="00054CF8" w:rsidRPr="00F96079">
        <w:rPr>
          <w:rFonts w:cs="Times New Roman"/>
        </w:rPr>
        <w:t xml:space="preserve"> (a factor cited by Pérez </w:t>
      </w:r>
      <w:r w:rsidR="0002357F" w:rsidRPr="00F96079">
        <w:rPr>
          <w:rFonts w:cs="Times New Roman"/>
        </w:rPr>
        <w:t>2019</w:t>
      </w:r>
      <w:r w:rsidR="005020D2" w:rsidRPr="00F96079">
        <w:rPr>
          <w:rFonts w:cs="Times New Roman"/>
        </w:rPr>
        <w:t>a</w:t>
      </w:r>
      <w:r w:rsidR="00054CF8" w:rsidRPr="00F96079">
        <w:rPr>
          <w:rFonts w:cs="Times New Roman"/>
        </w:rPr>
        <w:t>)</w:t>
      </w:r>
      <w:r w:rsidRPr="00F96079">
        <w:rPr>
          <w:rFonts w:cs="Times New Roman"/>
        </w:rPr>
        <w:t>, and both native-born workers and immigrants move</w:t>
      </w:r>
      <w:r w:rsidR="00294D4A" w:rsidRPr="00F96079">
        <w:rPr>
          <w:rFonts w:cs="Times New Roman"/>
        </w:rPr>
        <w:t>d</w:t>
      </w:r>
      <w:r w:rsidRPr="00F96079">
        <w:rPr>
          <w:rFonts w:cs="Times New Roman"/>
        </w:rPr>
        <w:t xml:space="preserve"> westward in large numbers, possibly in response to continuing immigrant inflows (Ferrie 1995).</w:t>
      </w:r>
      <w:r w:rsidR="00425340" w:rsidRPr="00F96079">
        <w:rPr>
          <w:rFonts w:cs="Times New Roman"/>
        </w:rPr>
        <w:t xml:space="preserve">  </w:t>
      </w:r>
      <w:r w:rsidR="00425340" w:rsidRPr="00F96079">
        <w:rPr>
          <w:vanish/>
        </w:rPr>
        <w:t>d being born in Ireland ed connection to be made between childhood circumstances and adult labor market outcomes.  nearly thei</w:t>
      </w:r>
      <w:r w:rsidR="00425340" w:rsidRPr="00F96079">
        <w:rPr>
          <w:rFonts w:cs="Times New Roman"/>
        </w:rPr>
        <w:t xml:space="preserve">Although we cannot observe whether the men in our sample participated in the US Civil War, it is possible that the tumult of the period provided opportunities for economic mobility. </w:t>
      </w:r>
      <w:r w:rsidRPr="00F96079">
        <w:rPr>
          <w:rFonts w:cs="Times New Roman"/>
        </w:rPr>
        <w:t xml:space="preserve"> </w:t>
      </w:r>
      <w:r w:rsidR="00AB684F" w:rsidRPr="00F96079">
        <w:rPr>
          <w:rFonts w:cs="Times New Roman"/>
        </w:rPr>
        <w:t>Finally, r</w:t>
      </w:r>
      <w:r w:rsidRPr="00F96079">
        <w:rPr>
          <w:rFonts w:cs="Times New Roman"/>
        </w:rPr>
        <w:t>eturn migration was far less common in the period that we study than in the later years of the Age of Mass Migration, which may have had implications for</w:t>
      </w:r>
      <w:r w:rsidR="00480F22" w:rsidRPr="00F96079">
        <w:rPr>
          <w:rFonts w:cs="Times New Roman"/>
        </w:rPr>
        <w:t xml:space="preserve"> immigrants’</w:t>
      </w:r>
      <w:r w:rsidRPr="00F96079">
        <w:rPr>
          <w:rFonts w:cs="Times New Roman"/>
        </w:rPr>
        <w:t xml:space="preserve"> investment in US-specific human capital (Cortes 2004).</w:t>
      </w:r>
      <w:r w:rsidRPr="00DF331E">
        <w:rPr>
          <w:rFonts w:cs="Times New Roman"/>
        </w:rPr>
        <w:t xml:space="preserve"> </w:t>
      </w:r>
    </w:p>
    <w:p w14:paraId="7EFCDE15" w14:textId="537E209B" w:rsidR="00B650BD" w:rsidRDefault="00B650BD" w:rsidP="009C06D3">
      <w:pPr>
        <w:widowControl w:val="0"/>
        <w:rPr>
          <w:rFonts w:cs="Times New Roman"/>
        </w:rPr>
      </w:pPr>
      <w:r>
        <w:rPr>
          <w:rFonts w:cs="Times New Roman"/>
        </w:rPr>
        <w:tab/>
      </w:r>
    </w:p>
    <w:p w14:paraId="5368D882" w14:textId="0077DEF2" w:rsidR="004A4FFF" w:rsidRPr="002E47A2" w:rsidRDefault="004A4FFF" w:rsidP="009C06D3">
      <w:pPr>
        <w:rPr>
          <w:rFonts w:cs="Times New Roman"/>
          <w:b/>
        </w:rPr>
      </w:pPr>
      <w:r>
        <w:rPr>
          <w:rFonts w:cs="Times New Roman"/>
          <w:b/>
        </w:rPr>
        <w:t>5</w:t>
      </w:r>
      <w:r w:rsidRPr="002E47A2">
        <w:rPr>
          <w:rFonts w:cs="Times New Roman"/>
          <w:b/>
        </w:rPr>
        <w:t>. Correlates of economic mobility among the famine Irish</w:t>
      </w:r>
    </w:p>
    <w:p w14:paraId="29F219C6" w14:textId="13588803" w:rsidR="004A5D3C" w:rsidRDefault="004A4FFF" w:rsidP="00EB4578">
      <w:pPr>
        <w:widowControl w:val="0"/>
        <w:rPr>
          <w:rFonts w:cs="Times New Roman"/>
        </w:rPr>
      </w:pPr>
      <w:r w:rsidRPr="002E47A2">
        <w:rPr>
          <w:rFonts w:cs="Times New Roman"/>
        </w:rPr>
        <w:tab/>
        <w:t xml:space="preserve">In this section, we </w:t>
      </w:r>
      <w:r w:rsidR="006877F8">
        <w:rPr>
          <w:rFonts w:cs="Times New Roman"/>
        </w:rPr>
        <w:t xml:space="preserve">investigate </w:t>
      </w:r>
      <w:r>
        <w:rPr>
          <w:rFonts w:cs="Times New Roman"/>
        </w:rPr>
        <w:t xml:space="preserve">heterogeneity </w:t>
      </w:r>
      <w:r w:rsidR="006877F8">
        <w:rPr>
          <w:rFonts w:cs="Times New Roman"/>
        </w:rPr>
        <w:t xml:space="preserve">in economic mobility </w:t>
      </w:r>
      <w:r w:rsidR="004A5D3C">
        <w:rPr>
          <w:rFonts w:cs="Times New Roman"/>
        </w:rPr>
        <w:t xml:space="preserve">among </w:t>
      </w:r>
      <w:r w:rsidRPr="002E47A2">
        <w:rPr>
          <w:rFonts w:cs="Times New Roman"/>
        </w:rPr>
        <w:t>the famine-era Irish</w:t>
      </w:r>
      <w:r w:rsidR="00A47DF6">
        <w:rPr>
          <w:rFonts w:cs="Times New Roman"/>
        </w:rPr>
        <w:t xml:space="preserve"> immigrants</w:t>
      </w:r>
      <w:r>
        <w:rPr>
          <w:rFonts w:cs="Times New Roman"/>
        </w:rPr>
        <w:t xml:space="preserve">, </w:t>
      </w:r>
      <w:r w:rsidR="004A5D3C">
        <w:rPr>
          <w:rFonts w:cs="Times New Roman"/>
        </w:rPr>
        <w:t>offering</w:t>
      </w:r>
      <w:r w:rsidR="006877F8">
        <w:rPr>
          <w:rFonts w:cs="Times New Roman"/>
        </w:rPr>
        <w:t xml:space="preserve"> </w:t>
      </w:r>
      <w:r w:rsidR="004A5D3C">
        <w:rPr>
          <w:rFonts w:cs="Times New Roman"/>
        </w:rPr>
        <w:t>the first such analysis of this group</w:t>
      </w:r>
      <w:r w:rsidRPr="002E47A2">
        <w:rPr>
          <w:rFonts w:cs="Times New Roman"/>
        </w:rPr>
        <w:t>.</w:t>
      </w:r>
      <w:r w:rsidR="006877F8">
        <w:rPr>
          <w:rFonts w:cs="Times New Roman"/>
        </w:rPr>
        <w:t xml:space="preserve">  </w:t>
      </w:r>
      <w:r w:rsidR="001E2262">
        <w:t xml:space="preserve">The analysis aims to </w:t>
      </w:r>
      <w:r w:rsidR="00D30800">
        <w:t xml:space="preserve">highlight </w:t>
      </w:r>
      <w:r w:rsidR="001E2262">
        <w:t xml:space="preserve">characteristics that were strongly associated with differences in economic </w:t>
      </w:r>
      <w:r w:rsidR="002F5275">
        <w:t>mobility</w:t>
      </w:r>
      <w:r w:rsidR="001E2262">
        <w:t xml:space="preserve"> for the sons of famine-era immigrants. </w:t>
      </w:r>
      <w:r w:rsidR="00505ECD">
        <w:t xml:space="preserve"> W</w:t>
      </w:r>
      <w:r w:rsidR="006877F8">
        <w:rPr>
          <w:rFonts w:cs="Times New Roman"/>
        </w:rPr>
        <w:t xml:space="preserve">e begin with a focus on variables that from the child’s perspective were pre-determined, such as </w:t>
      </w:r>
      <w:r w:rsidR="00B24FE5">
        <w:rPr>
          <w:rFonts w:cs="Times New Roman"/>
        </w:rPr>
        <w:t>the father’s</w:t>
      </w:r>
      <w:r w:rsidR="006877F8">
        <w:rPr>
          <w:rFonts w:cs="Times New Roman"/>
        </w:rPr>
        <w:t xml:space="preserve"> literacy, </w:t>
      </w:r>
      <w:r w:rsidR="00A861C4">
        <w:rPr>
          <w:rFonts w:cs="Times New Roman"/>
        </w:rPr>
        <w:t xml:space="preserve">whether </w:t>
      </w:r>
      <w:r w:rsidR="00B24FE5">
        <w:rPr>
          <w:rFonts w:cs="Times New Roman"/>
        </w:rPr>
        <w:t>the son</w:t>
      </w:r>
      <w:r w:rsidR="00A861C4">
        <w:rPr>
          <w:rFonts w:cs="Times New Roman"/>
        </w:rPr>
        <w:t xml:space="preserve"> was born in the US or</w:t>
      </w:r>
      <w:r w:rsidR="000C08CA">
        <w:rPr>
          <w:rFonts w:cs="Times New Roman"/>
        </w:rPr>
        <w:t xml:space="preserve"> born in Ireland</w:t>
      </w:r>
      <w:r w:rsidR="002F5275">
        <w:rPr>
          <w:rFonts w:cs="Times New Roman"/>
        </w:rPr>
        <w:t>, whether an Irish-born child was born</w:t>
      </w:r>
      <w:r w:rsidR="00A861C4">
        <w:rPr>
          <w:rFonts w:cs="Times New Roman"/>
        </w:rPr>
        <w:t xml:space="preserve"> during</w:t>
      </w:r>
      <w:r w:rsidR="00E250E6">
        <w:rPr>
          <w:rFonts w:cs="Times New Roman"/>
        </w:rPr>
        <w:t xml:space="preserve"> or before</w:t>
      </w:r>
      <w:r w:rsidR="00A861C4">
        <w:rPr>
          <w:rFonts w:cs="Times New Roman"/>
        </w:rPr>
        <w:t xml:space="preserve"> the famine, </w:t>
      </w:r>
      <w:r w:rsidR="006877F8">
        <w:rPr>
          <w:rFonts w:cs="Times New Roman"/>
        </w:rPr>
        <w:t xml:space="preserve">the share of neighbors who were Irish, </w:t>
      </w:r>
      <w:r w:rsidR="002D0D6A">
        <w:rPr>
          <w:rFonts w:cs="Times New Roman"/>
        </w:rPr>
        <w:t>and the “</w:t>
      </w:r>
      <w:r w:rsidR="005B1C56">
        <w:rPr>
          <w:rFonts w:cs="Times New Roman"/>
        </w:rPr>
        <w:t>Catholicity</w:t>
      </w:r>
      <w:r w:rsidR="002D0D6A">
        <w:rPr>
          <w:rFonts w:cs="Times New Roman"/>
        </w:rPr>
        <w:t xml:space="preserve">” of his surname.  </w:t>
      </w:r>
      <w:r w:rsidR="00505ECD">
        <w:rPr>
          <w:rFonts w:cs="Times New Roman"/>
        </w:rPr>
        <w:t xml:space="preserve">These correspond </w:t>
      </w:r>
      <w:r w:rsidR="00505ECD" w:rsidRPr="002E47A2">
        <w:rPr>
          <w:rFonts w:cs="Times New Roman"/>
        </w:rPr>
        <w:t>to</w:t>
      </w:r>
      <w:r w:rsidR="00505ECD">
        <w:rPr>
          <w:rFonts w:cs="Times New Roman"/>
        </w:rPr>
        <w:t xml:space="preserve"> prominent</w:t>
      </w:r>
      <w:r w:rsidR="00505ECD" w:rsidRPr="002E47A2">
        <w:rPr>
          <w:rFonts w:cs="Times New Roman"/>
        </w:rPr>
        <w:t xml:space="preserve"> themes in the literature on immigrant assimilation </w:t>
      </w:r>
      <w:r w:rsidR="00505ECD">
        <w:rPr>
          <w:rFonts w:cs="Times New Roman"/>
        </w:rPr>
        <w:t xml:space="preserve">regarding human capital, enclave residence, and social distance.  </w:t>
      </w:r>
      <w:r w:rsidR="00865AA2">
        <w:rPr>
          <w:rFonts w:cs="Times New Roman"/>
        </w:rPr>
        <w:t xml:space="preserve">Variation in these characteristics is not </w:t>
      </w:r>
      <w:r w:rsidR="001E6728">
        <w:rPr>
          <w:rFonts w:cs="Times New Roman"/>
        </w:rPr>
        <w:t>quasi</w:t>
      </w:r>
      <w:r w:rsidR="00865AA2">
        <w:rPr>
          <w:rFonts w:cs="Times New Roman"/>
        </w:rPr>
        <w:t xml:space="preserve">-random, and our interpretations are therefore descriptive not causal; even so, the results provide novel insights into the group’s pattern of economic mobility.  </w:t>
      </w:r>
    </w:p>
    <w:p w14:paraId="4FD6CF9B" w14:textId="37FB3627" w:rsidR="004A4FFF" w:rsidRPr="002E47A2" w:rsidRDefault="004A5D3C" w:rsidP="00EB4578">
      <w:pPr>
        <w:widowControl w:val="0"/>
        <w:rPr>
          <w:rFonts w:cs="Times New Roman"/>
        </w:rPr>
      </w:pPr>
      <w:r>
        <w:rPr>
          <w:rFonts w:cs="Times New Roman"/>
        </w:rPr>
        <w:tab/>
        <w:t>W</w:t>
      </w:r>
      <w:r w:rsidR="004A4FFF">
        <w:rPr>
          <w:rFonts w:cs="Times New Roman"/>
        </w:rPr>
        <w:t xml:space="preserve">e </w:t>
      </w:r>
      <w:r w:rsidR="004A4FFF" w:rsidRPr="002E47A2">
        <w:rPr>
          <w:rFonts w:cs="Times New Roman"/>
        </w:rPr>
        <w:t xml:space="preserve">estimate an equation of the form </w:t>
      </w:r>
    </w:p>
    <w:p w14:paraId="7EE7463F" w14:textId="5F1CE950" w:rsidR="004A4FFF" w:rsidRPr="002E47A2" w:rsidRDefault="005D2993" w:rsidP="006052B1">
      <w:pPr>
        <w:widowControl w:val="0"/>
        <w:jc w:val="both"/>
        <w:rPr>
          <w:rFonts w:cs="Times New Roman"/>
        </w:rPr>
      </w:pPr>
      <m:oMathPara>
        <m:oMath>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i</m:t>
              </m:r>
            </m:sub>
            <m:sup>
              <m:r>
                <w:rPr>
                  <w:rFonts w:ascii="Cambria Math" w:hAnsi="Cambria Math" w:cs="Times New Roman"/>
                </w:rPr>
                <m:t>c</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ηy</m:t>
              </m:r>
            </m:e>
            <m:sub>
              <m:r>
                <w:rPr>
                  <w:rFonts w:ascii="Cambria Math" w:hAnsi="Cambria Math" w:cs="Times New Roman"/>
                </w:rPr>
                <m:t>i</m:t>
              </m:r>
            </m:sub>
            <m:sup>
              <m:r>
                <w:rPr>
                  <w:rFonts w:ascii="Cambria Math" w:hAnsi="Cambria Math" w:cs="Times New Roman"/>
                </w:rPr>
                <m:t>h</m:t>
              </m:r>
            </m:sup>
          </m:sSubSup>
          <m: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z</m:t>
              </m:r>
            </m:e>
            <m:sub>
              <m:r>
                <w:rPr>
                  <w:rFonts w:ascii="Cambria Math" w:hAnsi="Cambria Math" w:cs="Times New Roman"/>
                </w:rPr>
                <m:t>i</m:t>
              </m:r>
            </m:sub>
            <m:sup>
              <m:r>
                <w:rPr>
                  <w:rFonts w:ascii="Cambria Math" w:hAnsi="Cambria Math" w:cs="Times New Roman"/>
                </w:rPr>
                <m:t>'</m:t>
              </m:r>
            </m:sup>
          </m:sSubSup>
          <m:r>
            <w:rPr>
              <w:rFonts w:ascii="Cambria Math" w:hAnsi="Cambria Math" w:cs="Times New Roman"/>
            </w:rPr>
            <m:t>γ+f</m:t>
          </m:r>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a</m:t>
                  </m:r>
                </m:e>
                <m:sub>
                  <m:r>
                    <w:rPr>
                      <w:rFonts w:ascii="Cambria Math" w:hAnsi="Cambria Math" w:cs="Times New Roman"/>
                    </w:rPr>
                    <m:t>i</m:t>
                  </m:r>
                </m:sub>
                <m:sup>
                  <m:r>
                    <w:rPr>
                      <w:rFonts w:ascii="Cambria Math" w:hAnsi="Cambria Math" w:cs="Times New Roman"/>
                    </w:rPr>
                    <m:t>c</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a</m:t>
                  </m:r>
                </m:e>
                <m:sub>
                  <m:r>
                    <w:rPr>
                      <w:rFonts w:ascii="Cambria Math" w:hAnsi="Cambria Math" w:cs="Times New Roman"/>
                    </w:rPr>
                    <m:t>i</m:t>
                  </m:r>
                </m:sub>
                <m:sup>
                  <m:r>
                    <w:rPr>
                      <w:rFonts w:ascii="Cambria Math" w:hAnsi="Cambria Math" w:cs="Times New Roman"/>
                    </w:rPr>
                    <m:t>h</m:t>
                  </m:r>
                </m:sup>
              </m:sSubSup>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m:t>
              </m:r>
            </m:sub>
          </m:sSub>
        </m:oMath>
      </m:oMathPara>
    </w:p>
    <w:p w14:paraId="7CFD2555" w14:textId="56847041" w:rsidR="00B24FE5" w:rsidRDefault="004A4FFF" w:rsidP="009C06D3">
      <w:pPr>
        <w:widowControl w:val="0"/>
        <w:rPr>
          <w:rFonts w:cs="Times New Roman"/>
        </w:rPr>
      </w:pPr>
      <w:r w:rsidRPr="002E47A2">
        <w:rPr>
          <w:rFonts w:cs="Times New Roman"/>
        </w:rPr>
        <w:t xml:space="preserve">where </w:t>
      </w:r>
      <m:oMath>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i</m:t>
            </m:r>
          </m:sub>
          <m:sup>
            <m:r>
              <w:rPr>
                <w:rFonts w:ascii="Cambria Math" w:hAnsi="Cambria Math" w:cs="Times New Roman"/>
              </w:rPr>
              <m:t>c</m:t>
            </m:r>
          </m:sup>
        </m:sSubSup>
      </m:oMath>
      <w:r w:rsidRPr="002E47A2">
        <w:rPr>
          <w:rFonts w:cs="Times New Roman"/>
        </w:rPr>
        <w:t xml:space="preserve"> is an occupational outcome for the child in 1880 (an indicator for unskilled occupation or the log of the occupational wealth score), </w:t>
      </w:r>
      <m:oMath>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i</m:t>
            </m:r>
          </m:sub>
          <m:sup>
            <m:r>
              <w:rPr>
                <w:rFonts w:ascii="Cambria Math" w:hAnsi="Cambria Math" w:cs="Times New Roman"/>
              </w:rPr>
              <m:t>h</m:t>
            </m:r>
          </m:sup>
        </m:sSubSup>
      </m:oMath>
      <w:r w:rsidRPr="002E47A2">
        <w:rPr>
          <w:rFonts w:cs="Times New Roman"/>
        </w:rPr>
        <w:t xml:space="preserve"> is the same </w:t>
      </w:r>
      <w:r w:rsidR="00DC5E9A">
        <w:rPr>
          <w:rFonts w:cs="Times New Roman"/>
        </w:rPr>
        <w:t xml:space="preserve">occupational </w:t>
      </w:r>
      <w:r w:rsidRPr="002E47A2">
        <w:rPr>
          <w:rFonts w:cs="Times New Roman"/>
        </w:rPr>
        <w:t>outcome</w:t>
      </w:r>
      <w:r w:rsidR="00DC5E9A">
        <w:rPr>
          <w:rFonts w:cs="Times New Roman"/>
        </w:rPr>
        <w:t xml:space="preserve"> variable</w:t>
      </w:r>
      <w:r w:rsidRPr="002E47A2">
        <w:rPr>
          <w:rFonts w:cs="Times New Roman"/>
        </w:rPr>
        <w:t xml:space="preserve"> for the</w:t>
      </w:r>
      <w:r w:rsidR="00A02A3C">
        <w:rPr>
          <w:rFonts w:cs="Times New Roman"/>
        </w:rPr>
        <w:t xml:space="preserve"> child’s</w:t>
      </w:r>
      <w:r w:rsidRPr="002E47A2">
        <w:rPr>
          <w:rFonts w:cs="Times New Roman"/>
        </w:rPr>
        <w:t xml:space="preserve"> </w:t>
      </w:r>
      <w:r w:rsidR="00A02A3C">
        <w:rPr>
          <w:rFonts w:cs="Times New Roman"/>
        </w:rPr>
        <w:t xml:space="preserve">father </w:t>
      </w:r>
      <w:r w:rsidRPr="002E47A2">
        <w:rPr>
          <w:rFonts w:cs="Times New Roman"/>
        </w:rPr>
        <w:t xml:space="preserve">in 1850, </w:t>
      </w:r>
      <m:oMath>
        <m:sSub>
          <m:sSubPr>
            <m:ctrlPr>
              <w:rPr>
                <w:rFonts w:ascii="Cambria Math" w:hAnsi="Cambria Math" w:cs="Times New Roman"/>
                <w:i/>
              </w:rPr>
            </m:ctrlPr>
          </m:sSubPr>
          <m:e>
            <m:r>
              <m:rPr>
                <m:sty m:val="b"/>
              </m:rPr>
              <w:rPr>
                <w:rFonts w:ascii="Cambria Math" w:hAnsi="Cambria Math" w:cs="Times New Roman"/>
              </w:rPr>
              <m:t>z</m:t>
            </m:r>
          </m:e>
          <m:sub>
            <m:r>
              <w:rPr>
                <w:rFonts w:ascii="Cambria Math" w:hAnsi="Cambria Math" w:cs="Times New Roman"/>
              </w:rPr>
              <m:t>i</m:t>
            </m:r>
          </m:sub>
        </m:sSub>
      </m:oMath>
      <w:r w:rsidRPr="002E47A2">
        <w:rPr>
          <w:rFonts w:cs="Times New Roman"/>
        </w:rPr>
        <w:t xml:space="preserve"> is the </w:t>
      </w:r>
      <w:r w:rsidR="005044CE">
        <w:rPr>
          <w:rFonts w:cs="Times New Roman"/>
        </w:rPr>
        <w:t xml:space="preserve">vector of </w:t>
      </w:r>
      <w:r w:rsidRPr="002E47A2">
        <w:rPr>
          <w:rFonts w:cs="Times New Roman"/>
        </w:rPr>
        <w:t>regressor</w:t>
      </w:r>
      <w:r w:rsidR="005044CE">
        <w:rPr>
          <w:rFonts w:cs="Times New Roman"/>
        </w:rPr>
        <w:t>s</w:t>
      </w:r>
      <w:r w:rsidRPr="002E47A2">
        <w:rPr>
          <w:rFonts w:cs="Times New Roman"/>
        </w:rPr>
        <w:t xml:space="preserve"> of interest, and </w:t>
      </w:r>
      <m:oMath>
        <m:r>
          <w:rPr>
            <w:rFonts w:ascii="Cambria Math" w:hAnsi="Cambria Math" w:cs="Times New Roman"/>
          </w:rPr>
          <m:t>f(</m:t>
        </m:r>
        <m:sSubSup>
          <m:sSubSupPr>
            <m:ctrlPr>
              <w:rPr>
                <w:rFonts w:ascii="Cambria Math" w:hAnsi="Cambria Math" w:cs="Times New Roman"/>
                <w:i/>
              </w:rPr>
            </m:ctrlPr>
          </m:sSubSupPr>
          <m:e>
            <m:r>
              <w:rPr>
                <w:rFonts w:ascii="Cambria Math" w:hAnsi="Cambria Math" w:cs="Times New Roman"/>
              </w:rPr>
              <m:t>a</m:t>
            </m:r>
          </m:e>
          <m:sub>
            <m:r>
              <w:rPr>
                <w:rFonts w:ascii="Cambria Math" w:hAnsi="Cambria Math" w:cs="Times New Roman"/>
              </w:rPr>
              <m:t>i</m:t>
            </m:r>
          </m:sub>
          <m:sup>
            <m:r>
              <w:rPr>
                <w:rFonts w:ascii="Cambria Math" w:hAnsi="Cambria Math" w:cs="Times New Roman"/>
              </w:rPr>
              <m:t>c</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a</m:t>
            </m:r>
          </m:e>
          <m:sub>
            <m:r>
              <w:rPr>
                <w:rFonts w:ascii="Cambria Math" w:hAnsi="Cambria Math" w:cs="Times New Roman"/>
              </w:rPr>
              <m:t>i</m:t>
            </m:r>
          </m:sub>
          <m:sup>
            <m:r>
              <w:rPr>
                <w:rFonts w:ascii="Cambria Math" w:hAnsi="Cambria Math" w:cs="Times New Roman"/>
              </w:rPr>
              <m:t>h</m:t>
            </m:r>
          </m:sup>
        </m:sSubSup>
        <m:r>
          <w:rPr>
            <w:rFonts w:ascii="Cambria Math" w:hAnsi="Cambria Math" w:cs="Times New Roman"/>
          </w:rPr>
          <m:t>)</m:t>
        </m:r>
      </m:oMath>
      <w:r w:rsidRPr="002E47A2">
        <w:rPr>
          <w:rFonts w:cs="Times New Roman"/>
        </w:rPr>
        <w:t xml:space="preserve"> represents quartic polynomials in the age of the head of household in 1850 and the age of the child in 1880. </w:t>
      </w:r>
      <w:r w:rsidR="003B1656">
        <w:rPr>
          <w:rFonts w:cs="Times New Roman"/>
        </w:rPr>
        <w:t xml:space="preserve"> </w:t>
      </w:r>
      <w:r w:rsidR="005044CE">
        <w:rPr>
          <w:rFonts w:cs="Times New Roman"/>
        </w:rPr>
        <w:t xml:space="preserve">The </w:t>
      </w:r>
      <m:oMath>
        <m:r>
          <w:rPr>
            <w:rFonts w:ascii="Cambria Math" w:hAnsi="Cambria Math" w:cs="Times New Roman"/>
          </w:rPr>
          <m:t>γ</m:t>
        </m:r>
      </m:oMath>
      <w:r w:rsidR="005044CE">
        <w:rPr>
          <w:rFonts w:cs="Times New Roman"/>
        </w:rPr>
        <w:t xml:space="preserve"> coefficients measure the </w:t>
      </w:r>
      <w:r w:rsidR="00CB11E2">
        <w:rPr>
          <w:rFonts w:cs="Times New Roman"/>
        </w:rPr>
        <w:t xml:space="preserve">conditional </w:t>
      </w:r>
      <w:r w:rsidR="005044CE">
        <w:rPr>
          <w:rFonts w:cs="Times New Roman"/>
        </w:rPr>
        <w:t xml:space="preserve">correlation of </w:t>
      </w:r>
      <w:r w:rsidR="00A861C4">
        <w:rPr>
          <w:rFonts w:cs="Times New Roman"/>
        </w:rPr>
        <w:t xml:space="preserve">the sons’ </w:t>
      </w:r>
      <w:r w:rsidR="005044CE">
        <w:rPr>
          <w:rFonts w:cs="Times New Roman"/>
        </w:rPr>
        <w:t xml:space="preserve">economic status </w:t>
      </w:r>
      <w:r w:rsidR="000C08CA">
        <w:rPr>
          <w:rFonts w:cs="Times New Roman"/>
        </w:rPr>
        <w:t>with</w:t>
      </w:r>
      <w:r w:rsidR="005044CE">
        <w:rPr>
          <w:rFonts w:cs="Times New Roman"/>
        </w:rPr>
        <w:t xml:space="preserve"> elements of </w:t>
      </w:r>
      <m:oMath>
        <m:sSub>
          <m:sSubPr>
            <m:ctrlPr>
              <w:rPr>
                <w:rFonts w:ascii="Cambria Math" w:hAnsi="Cambria Math" w:cs="Times New Roman"/>
                <w:i/>
              </w:rPr>
            </m:ctrlPr>
          </m:sSubPr>
          <m:e>
            <m:r>
              <m:rPr>
                <m:sty m:val="b"/>
              </m:rPr>
              <w:rPr>
                <w:rFonts w:ascii="Cambria Math" w:hAnsi="Cambria Math" w:cs="Times New Roman"/>
              </w:rPr>
              <m:t>z</m:t>
            </m:r>
          </m:e>
          <m:sub>
            <m:r>
              <w:rPr>
                <w:rFonts w:ascii="Cambria Math" w:hAnsi="Cambria Math" w:cs="Times New Roman"/>
              </w:rPr>
              <m:t>i</m:t>
            </m:r>
          </m:sub>
        </m:sSub>
      </m:oMath>
      <w:r w:rsidR="00CB11E2">
        <w:rPr>
          <w:rFonts w:cs="Times New Roman"/>
        </w:rPr>
        <w:t xml:space="preserve">, taking account of differences in </w:t>
      </w:r>
      <w:r w:rsidR="005044CE">
        <w:rPr>
          <w:rFonts w:cs="Times New Roman"/>
        </w:rPr>
        <w:t>fathers</w:t>
      </w:r>
      <w:r w:rsidR="00A861C4">
        <w:rPr>
          <w:rFonts w:cs="Times New Roman"/>
        </w:rPr>
        <w:t>’</w:t>
      </w:r>
      <w:r w:rsidR="005044CE">
        <w:rPr>
          <w:rFonts w:cs="Times New Roman"/>
        </w:rPr>
        <w:t xml:space="preserve"> </w:t>
      </w:r>
      <w:r w:rsidR="000C08CA">
        <w:rPr>
          <w:rFonts w:cs="Times New Roman"/>
        </w:rPr>
        <w:t xml:space="preserve">occupational </w:t>
      </w:r>
      <w:r w:rsidR="005044CE">
        <w:rPr>
          <w:rFonts w:cs="Times New Roman"/>
        </w:rPr>
        <w:t>status, age</w:t>
      </w:r>
      <w:r w:rsidR="00CB11E2">
        <w:rPr>
          <w:rFonts w:cs="Times New Roman"/>
        </w:rPr>
        <w:t xml:space="preserve"> variables</w:t>
      </w:r>
      <w:r w:rsidR="005044CE">
        <w:rPr>
          <w:rFonts w:cs="Times New Roman"/>
        </w:rPr>
        <w:t>, and other covariates</w:t>
      </w:r>
      <w:r w:rsidR="00865AA2">
        <w:rPr>
          <w:rFonts w:cs="Times New Roman"/>
        </w:rPr>
        <w:t>.</w:t>
      </w:r>
      <w:r w:rsidR="005C7F8D">
        <w:rPr>
          <w:rFonts w:cs="Times New Roman"/>
        </w:rPr>
        <w:t xml:space="preserve">  The sample is restricted to </w:t>
      </w:r>
      <w:r w:rsidR="00FE5115">
        <w:rPr>
          <w:rFonts w:cs="Times New Roman"/>
        </w:rPr>
        <w:t>sons</w:t>
      </w:r>
      <w:r w:rsidR="005C7F8D">
        <w:rPr>
          <w:rFonts w:cs="Times New Roman"/>
        </w:rPr>
        <w:t xml:space="preserve"> of the famine-era</w:t>
      </w:r>
      <w:r w:rsidR="00FE5115">
        <w:rPr>
          <w:rFonts w:cs="Times New Roman"/>
        </w:rPr>
        <w:t xml:space="preserve"> Irish</w:t>
      </w:r>
      <w:r w:rsidR="005C7F8D">
        <w:rPr>
          <w:rFonts w:cs="Times New Roman"/>
        </w:rPr>
        <w:t xml:space="preserve"> immigrants.</w:t>
      </w:r>
      <w:r w:rsidR="00865AA2">
        <w:rPr>
          <w:rFonts w:cs="Times New Roman"/>
        </w:rPr>
        <w:t xml:space="preserve">  </w:t>
      </w:r>
    </w:p>
    <w:p w14:paraId="2AEB0A95" w14:textId="66BAF801" w:rsidR="00B805AB" w:rsidRDefault="00617221" w:rsidP="000C08CA">
      <w:pPr>
        <w:widowControl w:val="0"/>
        <w:ind w:firstLine="720"/>
        <w:rPr>
          <w:rFonts w:cs="Times New Roman"/>
        </w:rPr>
      </w:pPr>
      <w:r>
        <w:rPr>
          <w:rFonts w:cs="Times New Roman"/>
        </w:rPr>
        <w:t xml:space="preserve">Table 7 reports </w:t>
      </w:r>
      <w:r w:rsidR="000C08CA">
        <w:rPr>
          <w:rFonts w:cs="Times New Roman"/>
        </w:rPr>
        <w:t xml:space="preserve">the </w:t>
      </w:r>
      <w:r>
        <w:rPr>
          <w:rFonts w:cs="Times New Roman"/>
        </w:rPr>
        <w:t>results</w:t>
      </w:r>
      <w:r w:rsidR="000C08CA">
        <w:rPr>
          <w:rFonts w:cs="Times New Roman"/>
        </w:rPr>
        <w:t>.</w:t>
      </w:r>
      <w:r w:rsidR="00C408F7">
        <w:rPr>
          <w:rStyle w:val="FootnoteReference"/>
          <w:rFonts w:cs="Times New Roman"/>
        </w:rPr>
        <w:footnoteReference w:id="49"/>
      </w:r>
      <w:r w:rsidR="000C08CA">
        <w:rPr>
          <w:rFonts w:cs="Times New Roman"/>
        </w:rPr>
        <w:t xml:space="preserve">  Native</w:t>
      </w:r>
      <w:r w:rsidR="00B805AB">
        <w:rPr>
          <w:rFonts w:cs="Times New Roman"/>
        </w:rPr>
        <w:t xml:space="preserve"> (US)</w:t>
      </w:r>
      <w:r w:rsidR="000C08CA">
        <w:rPr>
          <w:rFonts w:cs="Times New Roman"/>
        </w:rPr>
        <w:t xml:space="preserve"> birth</w:t>
      </w:r>
      <w:r w:rsidR="000C08CA" w:rsidRPr="002E47A2">
        <w:rPr>
          <w:rFonts w:cs="Times New Roman"/>
        </w:rPr>
        <w:t xml:space="preserve"> </w:t>
      </w:r>
      <w:r w:rsidR="000C08CA">
        <w:rPr>
          <w:rFonts w:cs="Times New Roman"/>
        </w:rPr>
        <w:t>was</w:t>
      </w:r>
      <w:r w:rsidR="000C08CA" w:rsidRPr="002E47A2">
        <w:rPr>
          <w:rFonts w:cs="Times New Roman"/>
        </w:rPr>
        <w:t xml:space="preserve"> </w:t>
      </w:r>
      <w:r w:rsidR="000C08CA">
        <w:rPr>
          <w:rFonts w:cs="Times New Roman"/>
        </w:rPr>
        <w:t>a</w:t>
      </w:r>
      <w:r w:rsidR="000C08CA" w:rsidRPr="002E47A2">
        <w:rPr>
          <w:rFonts w:cs="Times New Roman"/>
        </w:rPr>
        <w:t>ssociated with greater upward mobility</w:t>
      </w:r>
      <w:r w:rsidR="00761A72">
        <w:rPr>
          <w:rFonts w:cs="Times New Roman"/>
        </w:rPr>
        <w:t xml:space="preserve"> </w:t>
      </w:r>
      <w:r w:rsidR="005C7F8D">
        <w:rPr>
          <w:rFonts w:cs="Times New Roman"/>
        </w:rPr>
        <w:t xml:space="preserve">relative to </w:t>
      </w:r>
      <w:r w:rsidR="005C7F8D" w:rsidRPr="002117A9">
        <w:rPr>
          <w:rFonts w:cs="Times New Roman"/>
        </w:rPr>
        <w:t>children born in Ireland before the famine</w:t>
      </w:r>
      <w:r w:rsidR="005C7F8D">
        <w:rPr>
          <w:rFonts w:cs="Times New Roman"/>
        </w:rPr>
        <w:t xml:space="preserve"> (the implicit comparison group)</w:t>
      </w:r>
      <w:r w:rsidR="000C08CA">
        <w:rPr>
          <w:rFonts w:cs="Times New Roman"/>
        </w:rPr>
        <w:t xml:space="preserve">. </w:t>
      </w:r>
      <w:r w:rsidR="005C7F8D">
        <w:rPr>
          <w:rFonts w:cs="Times New Roman"/>
        </w:rPr>
        <w:t xml:space="preserve"> </w:t>
      </w:r>
      <w:r w:rsidR="000C08CA">
        <w:rPr>
          <w:rFonts w:cs="Times New Roman"/>
        </w:rPr>
        <w:t xml:space="preserve">This is consistent with findings </w:t>
      </w:r>
      <w:r w:rsidR="00761A72">
        <w:rPr>
          <w:rFonts w:cs="Times New Roman"/>
        </w:rPr>
        <w:t>regarding age at arrival and assimilation</w:t>
      </w:r>
      <w:r w:rsidR="000C08CA">
        <w:rPr>
          <w:rFonts w:cs="Times New Roman"/>
        </w:rPr>
        <w:t xml:space="preserve"> later in </w:t>
      </w:r>
      <w:r w:rsidR="000C08CA" w:rsidRPr="002E47A2">
        <w:rPr>
          <w:rFonts w:cs="Times New Roman"/>
        </w:rPr>
        <w:t>the Age of Mass Migration (</w:t>
      </w:r>
      <w:r w:rsidR="00EE1B66">
        <w:rPr>
          <w:rFonts w:cs="Times New Roman"/>
        </w:rPr>
        <w:t xml:space="preserve">Hatton 1997, </w:t>
      </w:r>
      <w:r w:rsidR="000C08CA" w:rsidRPr="002E47A2">
        <w:rPr>
          <w:rFonts w:cs="Times New Roman"/>
        </w:rPr>
        <w:t>Alexander and Ward 2018)</w:t>
      </w:r>
      <w:r w:rsidR="00761A72">
        <w:rPr>
          <w:rFonts w:cs="Times New Roman"/>
        </w:rPr>
        <w:t xml:space="preserve">.  </w:t>
      </w:r>
      <w:r w:rsidR="00B805AB">
        <w:rPr>
          <w:rFonts w:cs="Times New Roman"/>
        </w:rPr>
        <w:t>In this context</w:t>
      </w:r>
      <w:r w:rsidR="00160D63">
        <w:rPr>
          <w:rFonts w:cs="Times New Roman"/>
        </w:rPr>
        <w:t>,</w:t>
      </w:r>
      <w:r w:rsidR="00B805AB">
        <w:rPr>
          <w:rFonts w:cs="Times New Roman"/>
        </w:rPr>
        <w:t xml:space="preserve"> </w:t>
      </w:r>
      <w:r w:rsidR="00761A72">
        <w:rPr>
          <w:rFonts w:cs="Times New Roman"/>
        </w:rPr>
        <w:t>native birth implies no exposure to famine conditions in Ireland</w:t>
      </w:r>
      <w:r w:rsidR="005C7F8D">
        <w:rPr>
          <w:rFonts w:cs="Times New Roman"/>
        </w:rPr>
        <w:t xml:space="preserve"> or a long trans-Atlantic voyage,</w:t>
      </w:r>
      <w:r w:rsidR="00761A72">
        <w:rPr>
          <w:rFonts w:cs="Times New Roman"/>
        </w:rPr>
        <w:t xml:space="preserve"> and full exposure to US educational and other institutions.  These children would have acquired US-specific human capital from the start</w:t>
      </w:r>
      <w:r w:rsidR="001A0A5D">
        <w:rPr>
          <w:rFonts w:cs="Times New Roman"/>
        </w:rPr>
        <w:t xml:space="preserve">.  </w:t>
      </w:r>
      <w:r w:rsidR="00160D63">
        <w:rPr>
          <w:rFonts w:cs="Times New Roman"/>
        </w:rPr>
        <w:t xml:space="preserve">Those </w:t>
      </w:r>
      <w:r w:rsidR="001A0A5D">
        <w:rPr>
          <w:rFonts w:cs="Times New Roman"/>
        </w:rPr>
        <w:t>born in Ireland during the famine did not have statistically different outcomes from those born</w:t>
      </w:r>
      <w:r w:rsidR="00B805AB">
        <w:rPr>
          <w:rFonts w:cs="Times New Roman"/>
        </w:rPr>
        <w:t xml:space="preserve"> </w:t>
      </w:r>
      <w:r w:rsidR="00160D63">
        <w:rPr>
          <w:rFonts w:cs="Times New Roman"/>
        </w:rPr>
        <w:t xml:space="preserve">earlier </w:t>
      </w:r>
      <w:r w:rsidR="00B805AB">
        <w:rPr>
          <w:rFonts w:cs="Times New Roman"/>
        </w:rPr>
        <w:t>in Ireland</w:t>
      </w:r>
      <w:r w:rsidR="00EE1B66">
        <w:rPr>
          <w:rFonts w:cs="Times New Roman"/>
        </w:rPr>
        <w:t xml:space="preserve">, </w:t>
      </w:r>
      <w:r w:rsidR="00160D63">
        <w:rPr>
          <w:rFonts w:cs="Times New Roman"/>
        </w:rPr>
        <w:t xml:space="preserve">who would still have been </w:t>
      </w:r>
      <w:r w:rsidR="00EE1B66">
        <w:rPr>
          <w:rFonts w:cs="Times New Roman"/>
        </w:rPr>
        <w:t xml:space="preserve">young at the </w:t>
      </w:r>
      <w:r w:rsidR="00160D63">
        <w:rPr>
          <w:rFonts w:cs="Times New Roman"/>
        </w:rPr>
        <w:t xml:space="preserve">famine’s </w:t>
      </w:r>
      <w:r w:rsidR="00EE1B66">
        <w:rPr>
          <w:rFonts w:cs="Times New Roman"/>
        </w:rPr>
        <w:t>onset</w:t>
      </w:r>
      <w:r w:rsidR="001A0A5D">
        <w:rPr>
          <w:rFonts w:cs="Times New Roman"/>
        </w:rPr>
        <w:t>.</w:t>
      </w:r>
      <w:r w:rsidR="00A86F37" w:rsidRPr="002E47A2">
        <w:rPr>
          <w:rStyle w:val="FootnoteReference"/>
          <w:rFonts w:cs="Times New Roman"/>
        </w:rPr>
        <w:footnoteReference w:id="50"/>
      </w:r>
      <w:r w:rsidR="00B805AB">
        <w:rPr>
          <w:rFonts w:cs="Times New Roman"/>
        </w:rPr>
        <w:t xml:space="preserve"> </w:t>
      </w:r>
      <w:r w:rsidR="005C7F8D">
        <w:rPr>
          <w:rFonts w:cs="Times New Roman"/>
        </w:rPr>
        <w:t xml:space="preserve"> T</w:t>
      </w:r>
      <w:r w:rsidR="00B805AB">
        <w:rPr>
          <w:rFonts w:cs="Times New Roman"/>
        </w:rPr>
        <w:t>hey did</w:t>
      </w:r>
      <w:r w:rsidR="005C7F8D">
        <w:rPr>
          <w:rFonts w:cs="Times New Roman"/>
        </w:rPr>
        <w:t>, however,</w:t>
      </w:r>
      <w:r w:rsidR="00B805AB">
        <w:rPr>
          <w:rFonts w:cs="Times New Roman"/>
        </w:rPr>
        <w:t xml:space="preserve"> fare worse than </w:t>
      </w:r>
      <w:r w:rsidR="00160D63">
        <w:rPr>
          <w:rFonts w:cs="Times New Roman"/>
        </w:rPr>
        <w:t xml:space="preserve">similarly aged </w:t>
      </w:r>
      <w:r w:rsidR="00B805AB">
        <w:rPr>
          <w:rFonts w:cs="Times New Roman"/>
        </w:rPr>
        <w:t>US-born children of famine-era immigrants</w:t>
      </w:r>
      <w:r w:rsidR="000F2B81">
        <w:rPr>
          <w:rFonts w:cs="Times New Roman"/>
        </w:rPr>
        <w:t xml:space="preserve"> (i.e., </w:t>
      </w:r>
      <w:r w:rsidR="005C7F8D">
        <w:rPr>
          <w:rFonts w:cs="Times New Roman"/>
        </w:rPr>
        <w:t xml:space="preserve">comparing </w:t>
      </w:r>
      <w:r w:rsidR="000F2B81">
        <w:rPr>
          <w:rFonts w:cs="Times New Roman"/>
        </w:rPr>
        <w:t xml:space="preserve">to the coefficient on </w:t>
      </w:r>
      <w:r w:rsidR="00160D63">
        <w:rPr>
          <w:rFonts w:cs="Times New Roman"/>
        </w:rPr>
        <w:t>native</w:t>
      </w:r>
      <w:r w:rsidR="000F2B81">
        <w:rPr>
          <w:rFonts w:cs="Times New Roman"/>
        </w:rPr>
        <w:t>-born).</w:t>
      </w:r>
      <w:r w:rsidR="00160D63">
        <w:rPr>
          <w:rFonts w:cs="Times New Roman"/>
        </w:rPr>
        <w:t xml:space="preserve">  This difference </w:t>
      </w:r>
      <w:r w:rsidR="005C7F8D">
        <w:rPr>
          <w:rFonts w:cs="Times New Roman"/>
        </w:rPr>
        <w:t xml:space="preserve">is particularly interesting since both groups spent nearly their entire lives in the US, but of course the Irish-born </w:t>
      </w:r>
      <w:r w:rsidR="000A7E3C">
        <w:rPr>
          <w:rFonts w:cs="Times New Roman"/>
        </w:rPr>
        <w:t xml:space="preserve">children </w:t>
      </w:r>
      <w:r w:rsidR="005C7F8D">
        <w:rPr>
          <w:rFonts w:cs="Times New Roman"/>
        </w:rPr>
        <w:t>experienced the famine directly.</w:t>
      </w:r>
      <w:r w:rsidR="00B805AB">
        <w:rPr>
          <w:rFonts w:cs="Times New Roman"/>
        </w:rPr>
        <w:t xml:space="preserve"> </w:t>
      </w:r>
      <w:r w:rsidR="00A86F37">
        <w:rPr>
          <w:rFonts w:cs="Times New Roman"/>
        </w:rPr>
        <w:t xml:space="preserve"> </w:t>
      </w:r>
      <w:r w:rsidR="001A0A5D">
        <w:rPr>
          <w:rFonts w:cs="Times New Roman"/>
        </w:rPr>
        <w:t xml:space="preserve"> </w:t>
      </w:r>
    </w:p>
    <w:p w14:paraId="59EB446F" w14:textId="733C6522" w:rsidR="00B805AB" w:rsidRDefault="006107A9" w:rsidP="000C08CA">
      <w:pPr>
        <w:widowControl w:val="0"/>
        <w:ind w:firstLine="720"/>
        <w:rPr>
          <w:rFonts w:cs="Times New Roman"/>
        </w:rPr>
      </w:pPr>
      <w:r>
        <w:rPr>
          <w:rFonts w:cs="Times New Roman"/>
        </w:rPr>
        <w:t>In other settings, research has shown that immigrants tend to negatively select into enclaves, but that conditional on this sorting, immigrant enclaves may be beneficial (Cutler, Glaeser, and Vigdor 2008; Damm 2009; Edin, Fredriksson, and Åslund 2003)</w:t>
      </w:r>
      <w:r w:rsidR="00005CD9">
        <w:rPr>
          <w:rFonts w:cs="Times New Roman"/>
        </w:rPr>
        <w:t xml:space="preserve"> or detrimental (Battisti, Peri, Romiti 2018; Eriksson 2018)</w:t>
      </w:r>
      <w:r w:rsidR="00D33E78">
        <w:rPr>
          <w:rFonts w:cs="Times New Roman"/>
        </w:rPr>
        <w:t xml:space="preserve"> for employment outcomes</w:t>
      </w:r>
      <w:r w:rsidRPr="002E47A2">
        <w:rPr>
          <w:rFonts w:cs="Times New Roman"/>
        </w:rPr>
        <w:t xml:space="preserve">. </w:t>
      </w:r>
      <w:r>
        <w:rPr>
          <w:rFonts w:cs="Times New Roman"/>
        </w:rPr>
        <w:t xml:space="preserve"> Table 7 shows that </w:t>
      </w:r>
      <w:r w:rsidR="00F738DB">
        <w:rPr>
          <w:rFonts w:cs="Times New Roman"/>
        </w:rPr>
        <w:t xml:space="preserve">residing in a home with </w:t>
      </w:r>
      <w:r w:rsidR="000A7E3C">
        <w:rPr>
          <w:rFonts w:cs="Times New Roman"/>
        </w:rPr>
        <w:t xml:space="preserve">a </w:t>
      </w:r>
      <w:r w:rsidR="00F738DB">
        <w:rPr>
          <w:rFonts w:cs="Times New Roman"/>
        </w:rPr>
        <w:t xml:space="preserve">high share of Irish neighbors </w:t>
      </w:r>
      <w:r w:rsidR="001E6728">
        <w:rPr>
          <w:rFonts w:cs="Times New Roman"/>
        </w:rPr>
        <w:t xml:space="preserve">was </w:t>
      </w:r>
      <w:r w:rsidR="00F738DB">
        <w:rPr>
          <w:rFonts w:cs="Times New Roman"/>
        </w:rPr>
        <w:t>associated with worse outcomes for children, but the estimates are</w:t>
      </w:r>
      <w:r w:rsidR="00160D63">
        <w:rPr>
          <w:rFonts w:cs="Times New Roman"/>
        </w:rPr>
        <w:t xml:space="preserve"> very </w:t>
      </w:r>
      <w:r w:rsidR="00F738DB">
        <w:rPr>
          <w:rFonts w:cs="Times New Roman"/>
        </w:rPr>
        <w:t xml:space="preserve">imprecise.  </w:t>
      </w:r>
      <w:r w:rsidR="00B72F01">
        <w:rPr>
          <w:rFonts w:cs="Times New Roman"/>
        </w:rPr>
        <w:t>Thus, there is no clear evidence that links residence in an Irish enclave to worse (or better) outcomes, conditional on 1850 observables.</w:t>
      </w:r>
      <w:r w:rsidR="00F738DB">
        <w:rPr>
          <w:rFonts w:cs="Times New Roman"/>
        </w:rPr>
        <w:t xml:space="preserve">  </w:t>
      </w:r>
      <w:r w:rsidRPr="002E47A2">
        <w:rPr>
          <w:rFonts w:cs="Times New Roman"/>
        </w:rPr>
        <w:t xml:space="preserve">  </w:t>
      </w:r>
    </w:p>
    <w:p w14:paraId="47485235" w14:textId="0E6BD17E" w:rsidR="002E1FA0" w:rsidRDefault="00F97A9C" w:rsidP="00A86F37">
      <w:pPr>
        <w:widowControl w:val="0"/>
        <w:ind w:firstLine="720"/>
        <w:rPr>
          <w:rFonts w:cs="Times New Roman"/>
        </w:rPr>
      </w:pPr>
      <w:r>
        <w:rPr>
          <w:rFonts w:cs="Times New Roman"/>
        </w:rPr>
        <w:t>T</w:t>
      </w:r>
      <w:r w:rsidR="003B1656">
        <w:rPr>
          <w:rFonts w:cs="Times New Roman"/>
        </w:rPr>
        <w:t xml:space="preserve">he predominantly Catholic character of the famine immigrants was </w:t>
      </w:r>
      <w:r w:rsidR="00A86F37">
        <w:rPr>
          <w:rFonts w:cs="Times New Roman"/>
        </w:rPr>
        <w:t xml:space="preserve">highly </w:t>
      </w:r>
      <w:r w:rsidR="003B1656">
        <w:rPr>
          <w:rFonts w:cs="Times New Roman"/>
        </w:rPr>
        <w:t>controversia</w:t>
      </w:r>
      <w:r w:rsidR="00991F13">
        <w:rPr>
          <w:rFonts w:cs="Times New Roman"/>
        </w:rPr>
        <w:t>l at the time</w:t>
      </w:r>
      <w:r w:rsidR="003B1656">
        <w:rPr>
          <w:rFonts w:cs="Times New Roman"/>
        </w:rPr>
        <w:t xml:space="preserve">.  </w:t>
      </w:r>
      <w:r w:rsidR="00F738DB">
        <w:rPr>
          <w:rFonts w:cs="Times New Roman"/>
        </w:rPr>
        <w:t xml:space="preserve">Their religion </w:t>
      </w:r>
      <w:r w:rsidR="00A86F37">
        <w:rPr>
          <w:rFonts w:cs="Times New Roman"/>
        </w:rPr>
        <w:t xml:space="preserve">was seen as a </w:t>
      </w:r>
      <w:r w:rsidR="003B1656">
        <w:rPr>
          <w:rFonts w:cs="Times New Roman"/>
        </w:rPr>
        <w:t xml:space="preserve">barrier to assimilation in a predominantly Protestant </w:t>
      </w:r>
      <w:r w:rsidR="00B21BF3">
        <w:rPr>
          <w:rFonts w:cs="Times New Roman"/>
        </w:rPr>
        <w:t>society</w:t>
      </w:r>
      <w:r w:rsidR="00A86F37">
        <w:rPr>
          <w:rFonts w:cs="Times New Roman"/>
        </w:rPr>
        <w:t xml:space="preserve">, and </w:t>
      </w:r>
      <w:r w:rsidR="002E1FA0">
        <w:rPr>
          <w:rFonts w:cs="Times New Roman"/>
        </w:rPr>
        <w:t>some US natives were</w:t>
      </w:r>
      <w:r w:rsidR="003B1656">
        <w:rPr>
          <w:rFonts w:cs="Times New Roman"/>
        </w:rPr>
        <w:t xml:space="preserve"> </w:t>
      </w:r>
      <w:r w:rsidR="00A86F37">
        <w:rPr>
          <w:rFonts w:cs="Times New Roman"/>
        </w:rPr>
        <w:t>open</w:t>
      </w:r>
      <w:r w:rsidR="002E1FA0">
        <w:rPr>
          <w:rFonts w:cs="Times New Roman"/>
        </w:rPr>
        <w:t>ly</w:t>
      </w:r>
      <w:r w:rsidR="00A86F37">
        <w:rPr>
          <w:rFonts w:cs="Times New Roman"/>
        </w:rPr>
        <w:t xml:space="preserve"> </w:t>
      </w:r>
      <w:r w:rsidR="003B1656">
        <w:rPr>
          <w:rFonts w:cs="Times New Roman"/>
        </w:rPr>
        <w:t>hostil</w:t>
      </w:r>
      <w:r w:rsidR="002E1FA0">
        <w:rPr>
          <w:rFonts w:cs="Times New Roman"/>
        </w:rPr>
        <w:t>e</w:t>
      </w:r>
      <w:r w:rsidR="003B1656">
        <w:rPr>
          <w:rFonts w:cs="Times New Roman"/>
        </w:rPr>
        <w:t xml:space="preserve"> (</w:t>
      </w:r>
      <w:r w:rsidR="00964357">
        <w:rPr>
          <w:rFonts w:cs="Times New Roman"/>
        </w:rPr>
        <w:t>Anbinder 1992</w:t>
      </w:r>
      <w:r w:rsidR="000A7E3C">
        <w:rPr>
          <w:rFonts w:cs="Times New Roman"/>
        </w:rPr>
        <w:t>; Hirota 2017</w:t>
      </w:r>
      <w:r w:rsidR="003B1656">
        <w:rPr>
          <w:rFonts w:cs="Times New Roman"/>
        </w:rPr>
        <w:t>).</w:t>
      </w:r>
      <w:r w:rsidR="00A47DF6">
        <w:rPr>
          <w:rFonts w:cs="Times New Roman"/>
        </w:rPr>
        <w:t xml:space="preserve"> </w:t>
      </w:r>
      <w:r w:rsidR="00A86F37">
        <w:rPr>
          <w:rFonts w:cs="Times New Roman"/>
        </w:rPr>
        <w:t xml:space="preserve"> </w:t>
      </w:r>
      <w:r w:rsidR="00991F13">
        <w:rPr>
          <w:rFonts w:cs="Times New Roman"/>
        </w:rPr>
        <w:t>As described above</w:t>
      </w:r>
      <w:r w:rsidR="00991F13">
        <w:t>, we used full-count micro-level data from Ireland’s 1901 census to calculate the fraction of individuals who were Catholic by surname</w:t>
      </w:r>
      <w:r w:rsidR="00D573CE">
        <w:t xml:space="preserve">; </w:t>
      </w:r>
      <w:r w:rsidR="00F738DB">
        <w:t xml:space="preserve">we </w:t>
      </w:r>
      <w:r w:rsidR="00D573CE">
        <w:t xml:space="preserve">then </w:t>
      </w:r>
      <w:r w:rsidR="00991F13">
        <w:t xml:space="preserve">merged that information with </w:t>
      </w:r>
      <w:r w:rsidR="00F738DB">
        <w:t>the</w:t>
      </w:r>
      <w:r w:rsidR="00991F13">
        <w:t xml:space="preserve"> linked dataset. </w:t>
      </w:r>
      <w:r w:rsidR="0060311E">
        <w:t xml:space="preserve"> </w:t>
      </w:r>
      <w:r w:rsidR="00B805AB">
        <w:rPr>
          <w:rFonts w:cs="Times New Roman"/>
        </w:rPr>
        <w:t xml:space="preserve">Having a “more Catholic” surname is strongly negatively correlated with sons’ labor market outcomes, even after conditioning on fathers’ </w:t>
      </w:r>
      <w:r w:rsidR="002E1FA0">
        <w:rPr>
          <w:rFonts w:cs="Times New Roman"/>
        </w:rPr>
        <w:t xml:space="preserve">economic </w:t>
      </w:r>
      <w:r w:rsidR="00B805AB">
        <w:rPr>
          <w:rFonts w:cs="Times New Roman"/>
        </w:rPr>
        <w:t>status and literacy</w:t>
      </w:r>
      <w:r w:rsidR="00680BF8">
        <w:rPr>
          <w:rFonts w:cs="Times New Roman"/>
        </w:rPr>
        <w:t xml:space="preserve"> and the Irish</w:t>
      </w:r>
      <w:r w:rsidR="00B24FE5">
        <w:rPr>
          <w:rFonts w:cs="Times New Roman"/>
        </w:rPr>
        <w:t>ness of the child’s neighborhood</w:t>
      </w:r>
      <w:r w:rsidR="00B805AB">
        <w:rPr>
          <w:rFonts w:cs="Times New Roman"/>
        </w:rPr>
        <w:t>.  We caution that this result is difficult to interpret.  It is plausible that it reflects poor treatment</w:t>
      </w:r>
      <w:r w:rsidR="00B24FE5">
        <w:rPr>
          <w:rFonts w:cs="Times New Roman"/>
        </w:rPr>
        <w:t xml:space="preserve"> of Irish Catholics</w:t>
      </w:r>
      <w:r w:rsidR="00B805AB">
        <w:rPr>
          <w:rFonts w:cs="Times New Roman"/>
        </w:rPr>
        <w:t xml:space="preserve"> in labor markets; it is also plausible that it reflects unobserved differences in background characteristics and human capital accumulation that are not sufficiently controlled for in the regression.  That said, this st</w:t>
      </w:r>
      <w:r w:rsidR="006625EC">
        <w:rPr>
          <w:rFonts w:cs="Times New Roman"/>
        </w:rPr>
        <w:t>atistical association is strong</w:t>
      </w:r>
      <w:r w:rsidR="00B72F01">
        <w:rPr>
          <w:rFonts w:cs="Times New Roman"/>
        </w:rPr>
        <w:t>.</w:t>
      </w:r>
      <w:r w:rsidR="006625EC">
        <w:rPr>
          <w:rFonts w:cs="Times New Roman"/>
        </w:rPr>
        <w:t xml:space="preserve"> </w:t>
      </w:r>
      <w:r w:rsidR="000A7E3C">
        <w:rPr>
          <w:rFonts w:cs="Times New Roman"/>
        </w:rPr>
        <w:t xml:space="preserve"> </w:t>
      </w:r>
      <w:r w:rsidR="006625EC">
        <w:rPr>
          <w:rFonts w:cs="Times New Roman"/>
        </w:rPr>
        <w:t>A typical “Catholic” s</w:t>
      </w:r>
      <w:r w:rsidR="000D6133">
        <w:rPr>
          <w:rFonts w:cs="Times New Roman"/>
        </w:rPr>
        <w:t xml:space="preserve">urname had a </w:t>
      </w:r>
      <w:r w:rsidR="005B1C56">
        <w:rPr>
          <w:rFonts w:cs="Times New Roman"/>
        </w:rPr>
        <w:t>Catholicity</w:t>
      </w:r>
      <w:r w:rsidR="000D6133">
        <w:rPr>
          <w:rFonts w:cs="Times New Roman"/>
        </w:rPr>
        <w:t xml:space="preserve"> of 0.95</w:t>
      </w:r>
      <w:r w:rsidR="006625EC">
        <w:rPr>
          <w:rFonts w:cs="Times New Roman"/>
        </w:rPr>
        <w:t xml:space="preserve"> whereas a typical “Protestant” surname had a </w:t>
      </w:r>
      <w:r w:rsidR="005B1C56">
        <w:rPr>
          <w:rFonts w:cs="Times New Roman"/>
        </w:rPr>
        <w:t>Catholicity</w:t>
      </w:r>
      <w:r w:rsidR="006625EC">
        <w:rPr>
          <w:rFonts w:cs="Times New Roman"/>
        </w:rPr>
        <w:t xml:space="preserve"> of 0.1</w:t>
      </w:r>
      <w:r w:rsidR="00C34D5C">
        <w:rPr>
          <w:rFonts w:cs="Times New Roman"/>
        </w:rPr>
        <w:t>8</w:t>
      </w:r>
      <w:r w:rsidR="006625EC">
        <w:rPr>
          <w:rFonts w:cs="Times New Roman"/>
        </w:rPr>
        <w:t>.</w:t>
      </w:r>
      <w:r w:rsidR="00C34D5C">
        <w:rPr>
          <w:rStyle w:val="FootnoteReference"/>
          <w:rFonts w:cs="Times New Roman"/>
        </w:rPr>
        <w:footnoteReference w:id="51"/>
      </w:r>
      <w:r w:rsidR="006625EC">
        <w:rPr>
          <w:rFonts w:cs="Times New Roman"/>
        </w:rPr>
        <w:t xml:space="preserve">  This difference translates to Cat</w:t>
      </w:r>
      <w:r w:rsidR="00C34D5C">
        <w:rPr>
          <w:rFonts w:cs="Times New Roman"/>
        </w:rPr>
        <w:t>holics being about 11</w:t>
      </w:r>
      <w:r w:rsidR="006625EC">
        <w:rPr>
          <w:rFonts w:cs="Times New Roman"/>
        </w:rPr>
        <w:t xml:space="preserve"> percentage points more likely to hold an unskilled occupation (</w:t>
      </w:r>
      <w:r w:rsidR="006625EC" w:rsidRPr="0063496C">
        <w:rPr>
          <w:rFonts w:cs="Times New Roman"/>
        </w:rPr>
        <w:t xml:space="preserve">relative to a group </w:t>
      </w:r>
      <w:r w:rsidR="00680BF8" w:rsidRPr="0063496C">
        <w:rPr>
          <w:rFonts w:cs="Times New Roman"/>
        </w:rPr>
        <w:t>mean</w:t>
      </w:r>
      <w:r w:rsidR="006625EC" w:rsidRPr="0063496C">
        <w:rPr>
          <w:rFonts w:cs="Times New Roman"/>
        </w:rPr>
        <w:t xml:space="preserve"> of 42 percent) and having </w:t>
      </w:r>
      <w:r w:rsidR="00C34D5C" w:rsidRPr="0063496C">
        <w:rPr>
          <w:rFonts w:cs="Times New Roman"/>
        </w:rPr>
        <w:t>a roughly 20</w:t>
      </w:r>
      <w:r w:rsidR="006625EC" w:rsidRPr="0063496C">
        <w:rPr>
          <w:rFonts w:cs="Times New Roman"/>
        </w:rPr>
        <w:t xml:space="preserve"> percent lower occupational wealth </w:t>
      </w:r>
      <w:r w:rsidR="006625EC" w:rsidRPr="0060311E">
        <w:rPr>
          <w:rFonts w:cs="Times New Roman"/>
        </w:rPr>
        <w:t>score.</w:t>
      </w:r>
      <w:r w:rsidR="00B72F01" w:rsidRPr="0060311E">
        <w:rPr>
          <w:rFonts w:cs="Times New Roman"/>
        </w:rPr>
        <w:t xml:space="preserve">  </w:t>
      </w:r>
    </w:p>
    <w:p w14:paraId="450B4CA7" w14:textId="2DF63155" w:rsidR="004A4FFF" w:rsidRPr="002E47A2" w:rsidRDefault="004A4FFF" w:rsidP="009C06D3">
      <w:pPr>
        <w:widowControl w:val="0"/>
        <w:rPr>
          <w:rFonts w:cs="Times New Roman"/>
        </w:rPr>
      </w:pPr>
      <w:r w:rsidRPr="002E47A2">
        <w:rPr>
          <w:rFonts w:cs="Times New Roman"/>
        </w:rPr>
        <w:tab/>
      </w:r>
      <w:r w:rsidR="00F97A9C">
        <w:rPr>
          <w:rFonts w:cs="Times New Roman"/>
        </w:rPr>
        <w:t>Finally, i</w:t>
      </w:r>
      <w:r w:rsidR="000C09BB">
        <w:rPr>
          <w:rFonts w:cs="Times New Roman"/>
        </w:rPr>
        <w:t>n a separate specification w</w:t>
      </w:r>
      <w:r w:rsidR="00C01F3D">
        <w:rPr>
          <w:rFonts w:cs="Times New Roman"/>
        </w:rPr>
        <w:t xml:space="preserve">e add an indicator variable for interstate migrants.  </w:t>
      </w:r>
      <w:r>
        <w:rPr>
          <w:rFonts w:cs="Times New Roman"/>
        </w:rPr>
        <w:t>The connection between economic and geographic mobility is salient to mid-nineteenth century</w:t>
      </w:r>
      <w:r w:rsidR="00C01F3D">
        <w:rPr>
          <w:rFonts w:cs="Times New Roman"/>
        </w:rPr>
        <w:t xml:space="preserve"> economic history; in the US context</w:t>
      </w:r>
      <w:r>
        <w:rPr>
          <w:rFonts w:cs="Times New Roman"/>
        </w:rPr>
        <w:t xml:space="preserve">, </w:t>
      </w:r>
      <w:r w:rsidR="00C01F3D">
        <w:rPr>
          <w:rFonts w:cs="Times New Roman"/>
        </w:rPr>
        <w:t>the</w:t>
      </w:r>
      <w:r>
        <w:rPr>
          <w:rFonts w:cs="Times New Roman"/>
        </w:rPr>
        <w:t xml:space="preserve"> prominent “safety valve” theory argues that geographic mobility was an important channel </w:t>
      </w:r>
      <w:r w:rsidR="00923250">
        <w:rPr>
          <w:rFonts w:cs="Times New Roman"/>
        </w:rPr>
        <w:t>for</w:t>
      </w:r>
      <w:r>
        <w:rPr>
          <w:rFonts w:cs="Times New Roman"/>
        </w:rPr>
        <w:t xml:space="preserve"> economic mobility </w:t>
      </w:r>
      <w:r w:rsidR="00923250">
        <w:rPr>
          <w:rFonts w:cs="Times New Roman"/>
        </w:rPr>
        <w:t>by</w:t>
      </w:r>
      <w:r w:rsidR="00BB11E1">
        <w:rPr>
          <w:rFonts w:cs="Times New Roman"/>
        </w:rPr>
        <w:t xml:space="preserve"> the urban poor</w:t>
      </w:r>
      <w:r>
        <w:rPr>
          <w:rFonts w:cs="Times New Roman"/>
        </w:rPr>
        <w:t xml:space="preserve"> (e.g., </w:t>
      </w:r>
      <w:r w:rsidR="00E948F9">
        <w:rPr>
          <w:rFonts w:cs="Times New Roman"/>
        </w:rPr>
        <w:t>Ferrie 1997</w:t>
      </w:r>
      <w:r w:rsidR="00C96CD1">
        <w:rPr>
          <w:rFonts w:cs="Times New Roman"/>
        </w:rPr>
        <w:t>b</w:t>
      </w:r>
      <w:r w:rsidR="00E948F9">
        <w:rPr>
          <w:rFonts w:cs="Times New Roman"/>
        </w:rPr>
        <w:t xml:space="preserve">; </w:t>
      </w:r>
      <w:r>
        <w:rPr>
          <w:rFonts w:cs="Times New Roman"/>
        </w:rPr>
        <w:t>Stewart 2006).</w:t>
      </w:r>
      <w:r w:rsidR="00C01F3D">
        <w:rPr>
          <w:rFonts w:cs="Times New Roman"/>
        </w:rPr>
        <w:t xml:space="preserve">  In recent work,</w:t>
      </w:r>
      <w:r w:rsidR="00923250">
        <w:rPr>
          <w:rFonts w:cs="Times New Roman"/>
        </w:rPr>
        <w:t xml:space="preserve"> </w:t>
      </w:r>
      <w:r w:rsidR="00C01F3D">
        <w:rPr>
          <w:rFonts w:cs="Times New Roman"/>
        </w:rPr>
        <w:t>Pérez (</w:t>
      </w:r>
      <w:r w:rsidR="002E1FA0">
        <w:rPr>
          <w:rFonts w:cs="Times New Roman"/>
        </w:rPr>
        <w:t>201</w:t>
      </w:r>
      <w:r w:rsidR="005A0EA7">
        <w:rPr>
          <w:rFonts w:cs="Times New Roman"/>
        </w:rPr>
        <w:t>8</w:t>
      </w:r>
      <w:r w:rsidR="00C01F3D">
        <w:rPr>
          <w:rFonts w:cs="Times New Roman"/>
        </w:rPr>
        <w:t>)</w:t>
      </w:r>
      <w:r w:rsidR="00C01F3D" w:rsidRPr="002E47A2">
        <w:rPr>
          <w:rFonts w:cs="Times New Roman"/>
        </w:rPr>
        <w:t xml:space="preserve"> </w:t>
      </w:r>
      <w:r w:rsidR="00C01F3D">
        <w:rPr>
          <w:rFonts w:cs="Times New Roman"/>
        </w:rPr>
        <w:t xml:space="preserve">has </w:t>
      </w:r>
      <w:r w:rsidR="00C01F3D" w:rsidRPr="002E47A2">
        <w:rPr>
          <w:rFonts w:cs="Times New Roman"/>
        </w:rPr>
        <w:t>shown that geographic mobility may</w:t>
      </w:r>
      <w:r w:rsidR="00C01F3D">
        <w:rPr>
          <w:rFonts w:cs="Times New Roman"/>
        </w:rPr>
        <w:t xml:space="preserve"> have been </w:t>
      </w:r>
      <w:r w:rsidR="00C01F3D" w:rsidRPr="002E47A2">
        <w:rPr>
          <w:rFonts w:cs="Times New Roman"/>
        </w:rPr>
        <w:t xml:space="preserve">an important </w:t>
      </w:r>
      <w:r w:rsidR="00C01F3D">
        <w:rPr>
          <w:rFonts w:cs="Times New Roman"/>
        </w:rPr>
        <w:t>contributor to</w:t>
      </w:r>
      <w:r w:rsidR="00C01F3D" w:rsidRPr="002E47A2">
        <w:rPr>
          <w:rFonts w:cs="Times New Roman"/>
        </w:rPr>
        <w:t xml:space="preserve"> economic mobility</w:t>
      </w:r>
      <w:r w:rsidR="00C01F3D">
        <w:rPr>
          <w:rFonts w:cs="Times New Roman"/>
        </w:rPr>
        <w:t xml:space="preserve"> in nineteenth century Argentina, another major destination for European migrants.  </w:t>
      </w:r>
      <w:r w:rsidRPr="002E47A2">
        <w:rPr>
          <w:rFonts w:cs="Times New Roman"/>
        </w:rPr>
        <w:t xml:space="preserve">It is interesting, and perhaps surprising, that </w:t>
      </w:r>
      <w:r w:rsidR="001A50E2">
        <w:rPr>
          <w:rFonts w:cs="Times New Roman"/>
        </w:rPr>
        <w:t xml:space="preserve">the results </w:t>
      </w:r>
      <w:r w:rsidR="00865AA2">
        <w:rPr>
          <w:rFonts w:cs="Times New Roman"/>
        </w:rPr>
        <w:t>in</w:t>
      </w:r>
      <w:r w:rsidR="001A50E2">
        <w:rPr>
          <w:rFonts w:cs="Times New Roman"/>
        </w:rPr>
        <w:t xml:space="preserve"> Table 7 show that </w:t>
      </w:r>
      <w:r w:rsidRPr="002E47A2">
        <w:rPr>
          <w:rFonts w:cs="Times New Roman"/>
        </w:rPr>
        <w:t>there is no evid</w:t>
      </w:r>
      <w:r>
        <w:rPr>
          <w:rFonts w:cs="Times New Roman"/>
        </w:rPr>
        <w:t xml:space="preserve">ence that </w:t>
      </w:r>
      <w:r w:rsidR="00333185">
        <w:rPr>
          <w:rFonts w:cs="Times New Roman"/>
        </w:rPr>
        <w:t xml:space="preserve">geographic mobility, as measured by </w:t>
      </w:r>
      <w:r>
        <w:rPr>
          <w:rFonts w:cs="Times New Roman"/>
        </w:rPr>
        <w:t>moving states</w:t>
      </w:r>
      <w:r w:rsidR="00333185">
        <w:rPr>
          <w:rFonts w:cs="Times New Roman"/>
        </w:rPr>
        <w:t>,</w:t>
      </w:r>
      <w:r w:rsidR="00545F28">
        <w:rPr>
          <w:rFonts w:cs="Times New Roman"/>
        </w:rPr>
        <w:t xml:space="preserve"> </w:t>
      </w:r>
      <w:r w:rsidRPr="002E47A2">
        <w:rPr>
          <w:rFonts w:cs="Times New Roman"/>
        </w:rPr>
        <w:t>was an important avenue for occupational advance among the famine-era Irish children</w:t>
      </w:r>
      <w:r w:rsidR="00923250">
        <w:rPr>
          <w:rFonts w:cs="Times New Roman"/>
        </w:rPr>
        <w:t>.</w:t>
      </w:r>
      <w:r w:rsidR="00865AA2">
        <w:rPr>
          <w:rFonts w:cs="Times New Roman"/>
        </w:rPr>
        <w:t xml:space="preserve">  Most of </w:t>
      </w:r>
      <w:r w:rsidR="00F97A9C">
        <w:rPr>
          <w:rFonts w:cs="Times New Roman"/>
        </w:rPr>
        <w:t>the famine-era migrants’ children</w:t>
      </w:r>
      <w:r w:rsidR="00865AA2">
        <w:rPr>
          <w:rFonts w:cs="Times New Roman"/>
        </w:rPr>
        <w:t xml:space="preserve"> did relocate between 1850 and 1880</w:t>
      </w:r>
      <w:r w:rsidR="00F97A9C">
        <w:rPr>
          <w:rFonts w:cs="Times New Roman"/>
        </w:rPr>
        <w:t xml:space="preserve"> (Table 5)</w:t>
      </w:r>
      <w:r w:rsidR="00865AA2">
        <w:rPr>
          <w:rFonts w:cs="Times New Roman"/>
        </w:rPr>
        <w:t>, but their relocation was not associated with occupational upgrades</w:t>
      </w:r>
      <w:r w:rsidR="00F97A9C">
        <w:rPr>
          <w:rFonts w:cs="Times New Roman"/>
        </w:rPr>
        <w:t xml:space="preserve"> relative to their father</w:t>
      </w:r>
      <w:r w:rsidR="00865AA2">
        <w:rPr>
          <w:rFonts w:cs="Times New Roman"/>
        </w:rPr>
        <w:t>.</w:t>
      </w:r>
      <w:r w:rsidR="00923250">
        <w:rPr>
          <w:rFonts w:cs="Times New Roman"/>
        </w:rPr>
        <w:t xml:space="preserve">  It </w:t>
      </w:r>
      <w:r w:rsidR="00865AA2">
        <w:rPr>
          <w:rFonts w:cs="Times New Roman"/>
        </w:rPr>
        <w:t>remains</w:t>
      </w:r>
      <w:r w:rsidR="00923250">
        <w:rPr>
          <w:rFonts w:cs="Times New Roman"/>
        </w:rPr>
        <w:t xml:space="preserve"> possible, however, that </w:t>
      </w:r>
      <w:r w:rsidRPr="002E47A2">
        <w:rPr>
          <w:rFonts w:cs="Times New Roman"/>
        </w:rPr>
        <w:t>the</w:t>
      </w:r>
      <w:r w:rsidR="00865AA2">
        <w:rPr>
          <w:rFonts w:cs="Times New Roman"/>
        </w:rPr>
        <w:t xml:space="preserve"> Irish </w:t>
      </w:r>
      <w:r w:rsidRPr="002E47A2">
        <w:rPr>
          <w:rFonts w:cs="Times New Roman"/>
        </w:rPr>
        <w:t>benefited as a group from the geographic mobility of others</w:t>
      </w:r>
      <w:r w:rsidR="00C34D5C">
        <w:rPr>
          <w:rFonts w:cs="Times New Roman"/>
        </w:rPr>
        <w:t xml:space="preserve">, or that negative selection into </w:t>
      </w:r>
      <w:r w:rsidR="007B7D05">
        <w:rPr>
          <w:rFonts w:cs="Times New Roman"/>
        </w:rPr>
        <w:t>internal</w:t>
      </w:r>
      <w:r w:rsidR="00C34D5C">
        <w:rPr>
          <w:rFonts w:cs="Times New Roman"/>
        </w:rPr>
        <w:t xml:space="preserve"> migration may have obscured gains (Ferrie 1997</w:t>
      </w:r>
      <w:r w:rsidR="00C96CD1">
        <w:rPr>
          <w:rFonts w:cs="Times New Roman"/>
        </w:rPr>
        <w:t>b</w:t>
      </w:r>
      <w:r w:rsidR="00C34D5C">
        <w:rPr>
          <w:rFonts w:cs="Times New Roman"/>
        </w:rPr>
        <w:t>; Stewart 2006)</w:t>
      </w:r>
      <w:r w:rsidRPr="002E47A2">
        <w:rPr>
          <w:rFonts w:cs="Times New Roman"/>
        </w:rPr>
        <w:t xml:space="preserve">. </w:t>
      </w:r>
      <w:r w:rsidR="00923250">
        <w:rPr>
          <w:rFonts w:cs="Times New Roman"/>
        </w:rPr>
        <w:t xml:space="preserve"> </w:t>
      </w:r>
    </w:p>
    <w:p w14:paraId="501CFB12" w14:textId="6204CF08" w:rsidR="00C9599E" w:rsidRPr="00C80649" w:rsidRDefault="009C1438" w:rsidP="009C06D3">
      <w:pPr>
        <w:widowControl w:val="0"/>
        <w:rPr>
          <w:b/>
        </w:rPr>
      </w:pPr>
      <w:r>
        <w:rPr>
          <w:b/>
        </w:rPr>
        <w:t>6</w:t>
      </w:r>
      <w:r w:rsidR="005C3C5B">
        <w:rPr>
          <w:b/>
        </w:rPr>
        <w:t xml:space="preserve">. </w:t>
      </w:r>
      <w:r w:rsidR="00DA421D">
        <w:rPr>
          <w:b/>
        </w:rPr>
        <w:t>Conclusions</w:t>
      </w:r>
    </w:p>
    <w:p w14:paraId="2CE5C82A" w14:textId="4C2CC5DF" w:rsidR="003A45AB" w:rsidRDefault="00020476" w:rsidP="009C06D3">
      <w:pPr>
        <w:widowControl w:val="0"/>
        <w:ind w:firstLine="720"/>
      </w:pPr>
      <w:r>
        <w:t>This paper builds a large data</w:t>
      </w:r>
      <w:r w:rsidR="004D4F9B">
        <w:t xml:space="preserve">set of linked US census records to shed new light on the assimilation of </w:t>
      </w:r>
      <w:r w:rsidR="00DC6133">
        <w:t>a large</w:t>
      </w:r>
      <w:r w:rsidR="004D4F9B">
        <w:t xml:space="preserve"> group of </w:t>
      </w:r>
      <w:r w:rsidR="00DC6133">
        <w:t>desperate, poor, and culturally distinct im</w:t>
      </w:r>
      <w:r w:rsidR="004D4F9B">
        <w:t xml:space="preserve">migrants—the Irish fleeing the Great Famine.  </w:t>
      </w:r>
      <w:r w:rsidR="00DA60C8">
        <w:t xml:space="preserve">The </w:t>
      </w:r>
      <w:r w:rsidR="0045179C">
        <w:t>complete</w:t>
      </w:r>
      <w:r w:rsidR="00C866FA">
        <w:t xml:space="preserve"> </w:t>
      </w:r>
      <w:r w:rsidR="0045179C">
        <w:t xml:space="preserve">count </w:t>
      </w:r>
      <w:r w:rsidR="00DA60C8">
        <w:t>census-based approach</w:t>
      </w:r>
      <w:r w:rsidR="00DC6133">
        <w:t xml:space="preserve"> to </w:t>
      </w:r>
      <w:r w:rsidR="00212961">
        <w:t xml:space="preserve">linking and </w:t>
      </w:r>
      <w:r w:rsidR="00DC6133">
        <w:t>studying the Irish and other</w:t>
      </w:r>
      <w:r w:rsidR="00A77C0D">
        <w:t xml:space="preserve"> </w:t>
      </w:r>
      <w:r w:rsidR="00D24090">
        <w:t>immigrants</w:t>
      </w:r>
      <w:r w:rsidR="00DA60C8">
        <w:t xml:space="preserve"> provides </w:t>
      </w:r>
      <w:r w:rsidR="00212961">
        <w:t>several</w:t>
      </w:r>
      <w:r w:rsidR="00DA60C8">
        <w:t xml:space="preserve"> advantages relative to the existing literature.  The </w:t>
      </w:r>
      <w:r w:rsidR="00DC6133">
        <w:t xml:space="preserve">linked </w:t>
      </w:r>
      <w:r w:rsidR="00DA60C8">
        <w:t xml:space="preserve">dataset </w:t>
      </w:r>
      <w:r w:rsidR="00DC6133">
        <w:t xml:space="preserve">includes </w:t>
      </w:r>
      <w:r w:rsidR="00DA60C8">
        <w:t>immigrants regardless of the</w:t>
      </w:r>
      <w:r w:rsidR="00DC6133">
        <w:t>ir</w:t>
      </w:r>
      <w:r w:rsidR="00DA60C8">
        <w:t xml:space="preserve"> port of arrival (including arrivals via Canada), </w:t>
      </w:r>
      <w:r w:rsidR="00A77C0D">
        <w:t xml:space="preserve">is nationally representative, </w:t>
      </w:r>
      <w:r w:rsidR="00DA60C8">
        <w:t xml:space="preserve">distinguishes clearly between </w:t>
      </w:r>
      <w:r w:rsidR="000771CE">
        <w:t>those</w:t>
      </w:r>
      <w:r w:rsidR="00DA60C8">
        <w:t xml:space="preserve"> arriving before and during the </w:t>
      </w:r>
      <w:r w:rsidR="00DC6133">
        <w:t xml:space="preserve">Irish </w:t>
      </w:r>
      <w:r w:rsidR="00DA60C8">
        <w:t xml:space="preserve">famine, and relies on measures of human capital </w:t>
      </w:r>
      <w:r w:rsidR="00DC6133">
        <w:t xml:space="preserve">and occupation </w:t>
      </w:r>
      <w:r w:rsidR="00DA60C8">
        <w:t xml:space="preserve">that are consistently enumerated across groups. </w:t>
      </w:r>
      <w:r w:rsidR="00A77C0D">
        <w:t xml:space="preserve"> </w:t>
      </w:r>
      <w:r w:rsidR="00F27AE3">
        <w:rPr>
          <w:rFonts w:cs="Times New Roman"/>
        </w:rPr>
        <w:t>T</w:t>
      </w:r>
      <w:r w:rsidR="0031424D">
        <w:rPr>
          <w:rFonts w:cs="Times New Roman"/>
        </w:rPr>
        <w:t>he linked data ensure that we study a fixed group of individuals over time, which</w:t>
      </w:r>
      <w:r w:rsidR="00C73C36">
        <w:rPr>
          <w:rFonts w:cs="Times New Roman"/>
        </w:rPr>
        <w:t xml:space="preserve"> </w:t>
      </w:r>
      <w:r w:rsidR="0031424D">
        <w:rPr>
          <w:rFonts w:cs="Times New Roman"/>
        </w:rPr>
        <w:t>avoid</w:t>
      </w:r>
      <w:r w:rsidR="00A77C0D">
        <w:rPr>
          <w:rFonts w:cs="Times New Roman"/>
        </w:rPr>
        <w:t>s</w:t>
      </w:r>
      <w:r w:rsidR="0031424D">
        <w:rPr>
          <w:rFonts w:cs="Times New Roman"/>
        </w:rPr>
        <w:t xml:space="preserve"> spurious results driven by changes in sample composition, as discussed by Lubotsky (</w:t>
      </w:r>
      <w:r w:rsidR="00C61A4C">
        <w:rPr>
          <w:rFonts w:cs="Times New Roman"/>
        </w:rPr>
        <w:t>2007</w:t>
      </w:r>
      <w:r w:rsidR="0031424D">
        <w:rPr>
          <w:rFonts w:cs="Times New Roman"/>
        </w:rPr>
        <w:t>) and Abramitzky, Boustan, and Eriksson (2014).</w:t>
      </w:r>
      <w:r w:rsidR="00695422">
        <w:rPr>
          <w:rFonts w:cs="Times New Roman"/>
        </w:rPr>
        <w:t xml:space="preserve">  </w:t>
      </w:r>
      <w:r w:rsidR="00F27AE3">
        <w:rPr>
          <w:rFonts w:cs="Times New Roman"/>
        </w:rPr>
        <w:t>Th</w:t>
      </w:r>
      <w:r w:rsidR="00C73C36">
        <w:rPr>
          <w:rFonts w:cs="Times New Roman"/>
        </w:rPr>
        <w:t>e</w:t>
      </w:r>
      <w:r w:rsidR="00F27AE3">
        <w:rPr>
          <w:rFonts w:cs="Times New Roman"/>
        </w:rPr>
        <w:t xml:space="preserve"> new dataset</w:t>
      </w:r>
      <w:r w:rsidR="00DA60C8">
        <w:t xml:space="preserve"> </w:t>
      </w:r>
      <w:r w:rsidR="003A45AB">
        <w:t xml:space="preserve">forms the basis </w:t>
      </w:r>
      <w:r w:rsidR="00F27AE3">
        <w:t>for</w:t>
      </w:r>
      <w:r w:rsidR="003A45AB">
        <w:t xml:space="preserve"> </w:t>
      </w:r>
      <w:r w:rsidR="00DA60C8">
        <w:t xml:space="preserve">a more definitive picture of migrant selection </w:t>
      </w:r>
      <w:r w:rsidR="005E0E5E">
        <w:t xml:space="preserve">during the </w:t>
      </w:r>
      <w:r w:rsidR="00F27AE3">
        <w:t xml:space="preserve">Irish </w:t>
      </w:r>
      <w:r w:rsidR="005E0E5E">
        <w:t xml:space="preserve">famine and </w:t>
      </w:r>
      <w:r w:rsidR="00F27AE3">
        <w:t xml:space="preserve">immigrant </w:t>
      </w:r>
      <w:r w:rsidR="005E0E5E">
        <w:t xml:space="preserve">assimilation </w:t>
      </w:r>
      <w:r w:rsidR="00DA60C8">
        <w:t>patterns</w:t>
      </w:r>
      <w:r w:rsidR="005E0E5E">
        <w:t xml:space="preserve"> </w:t>
      </w:r>
      <w:r w:rsidR="003A45AB">
        <w:t>in the early Age of Mass Migration</w:t>
      </w:r>
      <w:r w:rsidR="00DC6133">
        <w:t>.</w:t>
      </w:r>
      <w:r w:rsidR="0031424D">
        <w:t xml:space="preserve">  </w:t>
      </w:r>
    </w:p>
    <w:p w14:paraId="5AD25DCC" w14:textId="3057C874" w:rsidR="004D4F9B" w:rsidRDefault="004D4F9B" w:rsidP="009C06D3">
      <w:pPr>
        <w:widowControl w:val="0"/>
        <w:ind w:firstLine="720"/>
      </w:pPr>
      <w:r>
        <w:t>We find evidence of a decline in human capital among the famine-era Irish immigrants relative to previous Irish migrants and</w:t>
      </w:r>
      <w:r w:rsidR="00867B3F">
        <w:t xml:space="preserve"> relative to</w:t>
      </w:r>
      <w:r>
        <w:t xml:space="preserve"> other </w:t>
      </w:r>
      <w:r w:rsidR="00452DD4">
        <w:t xml:space="preserve">immigrant and native </w:t>
      </w:r>
      <w:r>
        <w:t>groups.  As a result of this deteriorating selection, the</w:t>
      </w:r>
      <w:r w:rsidR="00C73C36">
        <w:t xml:space="preserve"> migrants’</w:t>
      </w:r>
      <w:r>
        <w:t xml:space="preserve"> </w:t>
      </w:r>
      <w:r w:rsidR="00C73C36">
        <w:t>poor</w:t>
      </w:r>
      <w:r w:rsidR="00E06BA7">
        <w:t xml:space="preserve"> </w:t>
      </w:r>
      <w:r>
        <w:t xml:space="preserve">labor market outcomes, and the backlash against Irish immigrants, </w:t>
      </w:r>
      <w:r w:rsidR="00E06BA7">
        <w:t xml:space="preserve">the </w:t>
      </w:r>
      <w:r>
        <w:t>children of th</w:t>
      </w:r>
      <w:r w:rsidR="00E06BA7">
        <w:t>e famine Irish</w:t>
      </w:r>
      <w:r>
        <w:t xml:space="preserve"> faced long odds. </w:t>
      </w:r>
      <w:r w:rsidR="00EA5431">
        <w:t xml:space="preserve"> </w:t>
      </w:r>
      <w:r>
        <w:t>But as adults they significantly narrow</w:t>
      </w:r>
      <w:r w:rsidR="000A7E3C">
        <w:t>ed</w:t>
      </w:r>
      <w:r>
        <w:t xml:space="preserve"> the gap</w:t>
      </w:r>
      <w:r w:rsidR="00C73C36">
        <w:t xml:space="preserve"> in occupational status</w:t>
      </w:r>
      <w:r>
        <w:t xml:space="preserve"> relative to natives in comparison to their fathers’ starting point, and </w:t>
      </w:r>
      <w:r w:rsidR="00EA5431">
        <w:t>they nearly kep</w:t>
      </w:r>
      <w:r w:rsidR="00010A3F">
        <w:t xml:space="preserve">t pace with </w:t>
      </w:r>
      <w:r w:rsidR="00C73C36">
        <w:t xml:space="preserve">sons of US </w:t>
      </w:r>
      <w:r w:rsidR="00EA5431">
        <w:t xml:space="preserve">natives </w:t>
      </w:r>
      <w:r w:rsidR="00010A3F">
        <w:t>whose fathers were</w:t>
      </w:r>
      <w:r w:rsidR="00EA5431">
        <w:t xml:space="preserve"> similarly situated</w:t>
      </w:r>
      <w:r w:rsidR="00010A3F">
        <w:t xml:space="preserve"> in 1850.</w:t>
      </w:r>
      <w:r>
        <w:t xml:space="preserve"> </w:t>
      </w:r>
      <w:r w:rsidR="00EA5431">
        <w:t xml:space="preserve"> </w:t>
      </w:r>
      <w:r>
        <w:t>In this sense, there is strong evidence of</w:t>
      </w:r>
      <w:r w:rsidR="000A7E3C">
        <w:t xml:space="preserve"> economic</w:t>
      </w:r>
      <w:r>
        <w:t xml:space="preserve"> assimilation</w:t>
      </w:r>
      <w:r w:rsidR="00010A3F">
        <w:t xml:space="preserve"> by the famine Irish</w:t>
      </w:r>
      <w:r w:rsidR="00C73C36">
        <w:t>.  Th</w:t>
      </w:r>
      <w:r>
        <w:t xml:space="preserve">is is the paper’s main finding. </w:t>
      </w:r>
      <w:r w:rsidR="004C7654">
        <w:t xml:space="preserve"> Among the children of the famine</w:t>
      </w:r>
      <w:r w:rsidR="00FB5537">
        <w:t>-era</w:t>
      </w:r>
      <w:r w:rsidR="004C7654">
        <w:t xml:space="preserve"> Irish</w:t>
      </w:r>
      <w:r w:rsidR="00FB5537">
        <w:t xml:space="preserve"> immigrants</w:t>
      </w:r>
      <w:r w:rsidR="004C7654">
        <w:t xml:space="preserve">, </w:t>
      </w:r>
      <w:r w:rsidR="00FB5537">
        <w:t xml:space="preserve">conditional on observables in 1850, </w:t>
      </w:r>
      <w:r w:rsidR="004C7654">
        <w:t xml:space="preserve">we find differences in </w:t>
      </w:r>
      <w:r w:rsidR="00FB5537">
        <w:t xml:space="preserve">occupational </w:t>
      </w:r>
      <w:r w:rsidR="004C7654">
        <w:t xml:space="preserve">outcomes depending on </w:t>
      </w:r>
      <w:r w:rsidR="00CA1CEC">
        <w:t xml:space="preserve">the </w:t>
      </w:r>
      <w:r w:rsidR="005B1C56">
        <w:t>Catholicity</w:t>
      </w:r>
      <w:r w:rsidR="00FB5537">
        <w:t xml:space="preserve"> of their </w:t>
      </w:r>
      <w:r w:rsidR="004C7654">
        <w:t>sur</w:t>
      </w:r>
      <w:r w:rsidR="00FB5537">
        <w:t xml:space="preserve">name; we also find that </w:t>
      </w:r>
      <w:r w:rsidR="004C7654">
        <w:t>children born in Ireland, even those who spent nearly their entire life in the US,</w:t>
      </w:r>
      <w:r w:rsidR="00FB5537">
        <w:t xml:space="preserve"> fared worse that those born in the US, potentially reflecting exposure to famine conditions. </w:t>
      </w:r>
    </w:p>
    <w:p w14:paraId="2D80734B" w14:textId="7C02C12E" w:rsidR="00A77C0D" w:rsidRDefault="000F429E" w:rsidP="009C06D3">
      <w:pPr>
        <w:widowControl w:val="0"/>
        <w:ind w:firstLine="720"/>
      </w:pPr>
      <w:r>
        <w:t>The paper’s findings</w:t>
      </w:r>
      <w:r w:rsidR="00E06BA7">
        <w:t xml:space="preserve"> </w:t>
      </w:r>
      <w:r w:rsidR="0058466E">
        <w:t>a</w:t>
      </w:r>
      <w:r w:rsidR="00E06BA7">
        <w:t xml:space="preserve">dvance </w:t>
      </w:r>
      <w:r w:rsidR="00EE2FEB">
        <w:t xml:space="preserve">the literature on the economics of migration in </w:t>
      </w:r>
      <w:r w:rsidR="00CC7571">
        <w:t>several</w:t>
      </w:r>
      <w:r w:rsidR="00EE2FEB">
        <w:t xml:space="preserve"> ways.  First and most directly, </w:t>
      </w:r>
      <w:r w:rsidR="008C5273">
        <w:t xml:space="preserve">they </w:t>
      </w:r>
      <w:r w:rsidR="00EE2FEB">
        <w:t>add</w:t>
      </w:r>
      <w:r w:rsidR="00010A3F">
        <w:t xml:space="preserve"> </w:t>
      </w:r>
      <w:r w:rsidR="00EE2FEB">
        <w:t xml:space="preserve">to our knowledge </w:t>
      </w:r>
      <w:r w:rsidR="0001644C">
        <w:t>of the early decades of the Age of Mass Migration (Hatton and Williamson 1998, Cohn 2009), especially Irish migration to the US during the Great Famine</w:t>
      </w:r>
      <w:r w:rsidR="00E54EAD">
        <w:t xml:space="preserve"> (Mokyr and </w:t>
      </w:r>
      <w:r w:rsidR="00B63B63" w:rsidRPr="000A7EB9">
        <w:rPr>
          <w:szCs w:val="21"/>
        </w:rPr>
        <w:t xml:space="preserve">Ó Gráda </w:t>
      </w:r>
      <w:r w:rsidR="00E54EAD">
        <w:t xml:space="preserve">1982; Miller 1985; </w:t>
      </w:r>
      <w:r w:rsidR="00B63B63" w:rsidRPr="000A7EB9">
        <w:rPr>
          <w:szCs w:val="21"/>
        </w:rPr>
        <w:t xml:space="preserve">Ó Gráda </w:t>
      </w:r>
      <w:r w:rsidR="00E54EAD">
        <w:t>and O’Rourke 1997</w:t>
      </w:r>
      <w:r w:rsidR="00FB5537">
        <w:t>; Ferrie 1999</w:t>
      </w:r>
      <w:r w:rsidR="00B63B63">
        <w:t>)</w:t>
      </w:r>
      <w:r w:rsidR="0001644C">
        <w:t xml:space="preserve">.  Prior research on this period has been hampered by data limitations that are inherent to mid-nineteenth century records.  </w:t>
      </w:r>
      <w:r w:rsidR="0001644C" w:rsidRPr="00A77C0D">
        <w:t>The census did not inquire about the year of immigration in this period, and passenger lists from ships are incomplete in their coverage and difficult to link.</w:t>
      </w:r>
      <w:r w:rsidR="0001644C">
        <w:t xml:space="preserve">  Consequently, m</w:t>
      </w:r>
      <w:r w:rsidR="0001644C">
        <w:rPr>
          <w:rFonts w:cs="Times New Roman"/>
        </w:rPr>
        <w:t xml:space="preserve">uch of the recent surge in research on the Age of Mass Migration has focused on the early twentieth century, by which time the US economy had passed through a remarkable period of economic growth and transformation.  The complete count census files allow us to form relatively large, conservatively linked samples and to classify </w:t>
      </w:r>
      <w:r w:rsidR="0001644C" w:rsidRPr="00DC671C">
        <w:rPr>
          <w:rFonts w:cs="Times New Roman"/>
        </w:rPr>
        <w:t>arrival</w:t>
      </w:r>
      <w:r w:rsidR="0001644C">
        <w:rPr>
          <w:rFonts w:cs="Times New Roman"/>
        </w:rPr>
        <w:t xml:space="preserve"> cohorts for many households in 1850 using t</w:t>
      </w:r>
      <w:r w:rsidR="0001644C" w:rsidRPr="00DC671C">
        <w:rPr>
          <w:rFonts w:cs="Times New Roman"/>
        </w:rPr>
        <w:t>he age and birthplace o</w:t>
      </w:r>
      <w:r w:rsidR="0001644C">
        <w:rPr>
          <w:rFonts w:cs="Times New Roman"/>
        </w:rPr>
        <w:t>f children.  We can</w:t>
      </w:r>
      <w:r w:rsidR="00A77C0D">
        <w:t xml:space="preserve"> trace labor market assimilation at</w:t>
      </w:r>
      <w:r w:rsidR="0001644C">
        <w:t xml:space="preserve"> the micro level </w:t>
      </w:r>
      <w:r w:rsidR="00A77C0D">
        <w:t>by connecting fathers and sons over a period of 30 years.</w:t>
      </w:r>
      <w:r w:rsidR="0001644C">
        <w:t xml:space="preserve">  This distinguishes our work from that of Ferrie (1999), as </w:t>
      </w:r>
      <w:r w:rsidR="00CA1CEC">
        <w:t>do</w:t>
      </w:r>
      <w:r w:rsidR="0001644C">
        <w:t xml:space="preserve"> our detailed comparisons of the famine-era arrivals to those who arrived earlier.</w:t>
      </w:r>
    </w:p>
    <w:p w14:paraId="0B444C84" w14:textId="10B9F8ED" w:rsidR="000A3521" w:rsidRDefault="007C2ED3" w:rsidP="00F10AE0">
      <w:pPr>
        <w:widowControl w:val="0"/>
        <w:ind w:firstLine="720"/>
      </w:pPr>
      <w:r>
        <w:t xml:space="preserve">The paper also </w:t>
      </w:r>
      <w:r w:rsidR="00D94E40">
        <w:t>contribut</w:t>
      </w:r>
      <w:r>
        <w:t xml:space="preserve">es to </w:t>
      </w:r>
      <w:r w:rsidR="00D94E40">
        <w:t xml:space="preserve">the </w:t>
      </w:r>
      <w:r w:rsidR="00A73082">
        <w:t xml:space="preserve">extensive </w:t>
      </w:r>
      <w:r>
        <w:t xml:space="preserve">economics </w:t>
      </w:r>
      <w:r w:rsidR="00D94E40">
        <w:t>literature on immigrants’ labor market assimilation.</w:t>
      </w:r>
      <w:r w:rsidR="00D94E40" w:rsidRPr="003D2797">
        <w:t xml:space="preserve"> </w:t>
      </w:r>
      <w:r w:rsidR="00D94E40">
        <w:t xml:space="preserve"> The influx of immigrants circa 1850 was </w:t>
      </w:r>
      <w:r w:rsidR="00ED6573">
        <w:t>very large</w:t>
      </w:r>
      <w:r w:rsidR="00D94E40">
        <w:t xml:space="preserve"> relative to the size of the US population</w:t>
      </w:r>
      <w:r w:rsidR="00A73082">
        <w:t xml:space="preserve">; </w:t>
      </w:r>
      <w:r w:rsidR="00FB5537">
        <w:t>it is</w:t>
      </w:r>
      <w:r w:rsidR="009B333A">
        <w:t>, therefore,</w:t>
      </w:r>
      <w:r w:rsidR="00FB5537">
        <w:t xml:space="preserve"> a particularly important event in the annals of mass migration</w:t>
      </w:r>
      <w:r w:rsidR="00A73082">
        <w:t xml:space="preserve">, albeit understudied for reasons discussed above.  </w:t>
      </w:r>
      <w:r w:rsidR="00D94E40">
        <w:t>Apart from its sheer magnitude, this historical setting is appealing because it allows scholars to study assimilation in the absence of</w:t>
      </w:r>
      <w:r w:rsidR="00D94E40" w:rsidRPr="003D2797">
        <w:t xml:space="preserve"> </w:t>
      </w:r>
      <w:r w:rsidR="00D94E40">
        <w:t xml:space="preserve">federal </w:t>
      </w:r>
      <w:r w:rsidR="00D94E40" w:rsidRPr="003D2797">
        <w:t>policy barriers to entry</w:t>
      </w:r>
      <w:r w:rsidR="00D94E40">
        <w:t xml:space="preserve">, </w:t>
      </w:r>
      <w:r w:rsidR="00E7194A">
        <w:t xml:space="preserve">legal </w:t>
      </w:r>
      <w:r w:rsidR="00D94E40" w:rsidRPr="003D2797">
        <w:t xml:space="preserve">curbs on </w:t>
      </w:r>
      <w:r w:rsidR="00D94E40">
        <w:t>d</w:t>
      </w:r>
      <w:r w:rsidR="00D94E40" w:rsidRPr="003D2797">
        <w:t>iscrimination</w:t>
      </w:r>
      <w:r w:rsidR="00D94E40">
        <w:t>,</w:t>
      </w:r>
      <w:r w:rsidR="00D94E40" w:rsidRPr="003D2797">
        <w:t xml:space="preserve"> </w:t>
      </w:r>
      <w:r w:rsidR="00D94E40">
        <w:t xml:space="preserve">or a </w:t>
      </w:r>
      <w:r w:rsidR="00387B9A">
        <w:t>robust</w:t>
      </w:r>
      <w:r w:rsidR="00D94E40">
        <w:t xml:space="preserve"> </w:t>
      </w:r>
      <w:r w:rsidR="00D94E40" w:rsidRPr="003D2797">
        <w:t>social safety net</w:t>
      </w:r>
      <w:r w:rsidR="00D94E40">
        <w:t xml:space="preserve">. </w:t>
      </w:r>
      <w:r w:rsidR="00E7194A">
        <w:t xml:space="preserve"> T</w:t>
      </w:r>
      <w:r w:rsidR="00D94E40">
        <w:t xml:space="preserve">he observed </w:t>
      </w:r>
      <w:r w:rsidR="00221BA9">
        <w:t xml:space="preserve">assimilation </w:t>
      </w:r>
      <w:r w:rsidR="00D94E40">
        <w:t>patterns are primarily the product of the economic and social forces, rather than of screening or support policy.</w:t>
      </w:r>
      <w:r w:rsidR="00FB5537">
        <w:t xml:space="preserve"> </w:t>
      </w:r>
      <w:r w:rsidR="009B333A">
        <w:t xml:space="preserve"> </w:t>
      </w:r>
      <w:r w:rsidR="00387B9A">
        <w:t>Moreover, u</w:t>
      </w:r>
      <w:r w:rsidR="005D5B2B">
        <w:t xml:space="preserve">nlike much of the literature on </w:t>
      </w:r>
      <w:r w:rsidR="009B333A">
        <w:t xml:space="preserve">immigrant children’s outcomes </w:t>
      </w:r>
      <w:r w:rsidR="005D5B2B">
        <w:t xml:space="preserve">that relies on cross-sectional data sources, the </w:t>
      </w:r>
      <w:r w:rsidR="009B333A">
        <w:t>linked dataset</w:t>
      </w:r>
      <w:r w:rsidR="005D5B2B">
        <w:t xml:space="preserve"> built in this paper</w:t>
      </w:r>
      <w:r w:rsidR="000A3521">
        <w:t xml:space="preserve"> </w:t>
      </w:r>
      <w:r w:rsidR="005D5B2B">
        <w:t>allows a direct</w:t>
      </w:r>
      <w:r w:rsidR="008C5273">
        <w:t xml:space="preserve">, micro-level </w:t>
      </w:r>
      <w:r w:rsidR="005D5B2B">
        <w:t xml:space="preserve">connection to be made between childhood circumstances and adult labor market outcomes.  </w:t>
      </w:r>
    </w:p>
    <w:p w14:paraId="1D7EEDC0" w14:textId="19E10C98" w:rsidR="00F230C0" w:rsidRPr="00E23949" w:rsidRDefault="00117ADD" w:rsidP="00E23949">
      <w:pPr>
        <w:widowControl w:val="0"/>
        <w:ind w:firstLine="720"/>
      </w:pPr>
      <w:r w:rsidRPr="00CA6A60">
        <w:t xml:space="preserve">The </w:t>
      </w:r>
      <w:r w:rsidR="008728D1" w:rsidRPr="00CA6A60">
        <w:t xml:space="preserve">paper’s </w:t>
      </w:r>
      <w:r w:rsidRPr="00CA6A60">
        <w:t xml:space="preserve">final contribution is to </w:t>
      </w:r>
      <w:r w:rsidR="006631E0" w:rsidRPr="00CA6A60">
        <w:t>the economics of migration in cases o</w:t>
      </w:r>
      <w:r w:rsidR="004E0825" w:rsidRPr="00CA6A60">
        <w:t>f natural or man-made disasters</w:t>
      </w:r>
      <w:r w:rsidR="003C36F9" w:rsidRPr="00CA6A60">
        <w:t>.</w:t>
      </w:r>
      <w:r w:rsidR="008728D1" w:rsidRPr="00CA6A60">
        <w:t xml:space="preserve">  In addition to</w:t>
      </w:r>
      <w:r w:rsidR="004E0825" w:rsidRPr="00CA6A60">
        <w:t xml:space="preserve"> </w:t>
      </w:r>
      <w:r w:rsidR="00BF0E42" w:rsidRPr="00CA6A60">
        <w:t xml:space="preserve">research </w:t>
      </w:r>
      <w:r w:rsidR="008728D1" w:rsidRPr="00CA6A60">
        <w:t>on</w:t>
      </w:r>
      <w:r w:rsidR="000771CE">
        <w:t xml:space="preserve"> the</w:t>
      </w:r>
      <w:r w:rsidR="008728D1" w:rsidRPr="00CA6A60">
        <w:t xml:space="preserve"> </w:t>
      </w:r>
      <w:r w:rsidR="00C74944">
        <w:t>quant</w:t>
      </w:r>
      <w:r w:rsidR="006C416B">
        <w:t>ity of migration in response to large negative</w:t>
      </w:r>
      <w:r w:rsidR="00C74944">
        <w:t xml:space="preserve"> </w:t>
      </w:r>
      <w:r w:rsidR="00BF0E42" w:rsidRPr="00CA6A60">
        <w:t xml:space="preserve">shocks, </w:t>
      </w:r>
      <w:r w:rsidR="00B008AA" w:rsidRPr="00CA6A60">
        <w:t xml:space="preserve">the </w:t>
      </w:r>
      <w:r w:rsidR="008728D1" w:rsidRPr="00CA6A60">
        <w:t xml:space="preserve">selection </w:t>
      </w:r>
      <w:r w:rsidR="00B008AA" w:rsidRPr="00CA6A60">
        <w:t>of</w:t>
      </w:r>
      <w:r w:rsidR="008728D1" w:rsidRPr="00CA6A60">
        <w:t xml:space="preserve"> refugees </w:t>
      </w:r>
      <w:r w:rsidR="002D73ED" w:rsidRPr="00CA6A60">
        <w:t>into migration</w:t>
      </w:r>
      <w:r w:rsidR="000771CE">
        <w:t xml:space="preserve"> </w:t>
      </w:r>
      <w:r w:rsidR="001F7D53" w:rsidRPr="00CA6A60">
        <w:t xml:space="preserve">and their subsequent </w:t>
      </w:r>
      <w:r w:rsidR="006C416B">
        <w:t xml:space="preserve">labor market </w:t>
      </w:r>
      <w:r w:rsidR="001F7D53" w:rsidRPr="00CA6A60">
        <w:t>assimilation</w:t>
      </w:r>
      <w:r w:rsidR="002D73ED" w:rsidRPr="00CA6A60">
        <w:t xml:space="preserve"> </w:t>
      </w:r>
      <w:r w:rsidR="001F7D53" w:rsidRPr="00CA6A60">
        <w:t>are</w:t>
      </w:r>
      <w:r w:rsidR="002D73ED" w:rsidRPr="00CA6A60">
        <w:t xml:space="preserve"> </w:t>
      </w:r>
      <w:r w:rsidR="00E94643" w:rsidRPr="00CA6A60">
        <w:t>important</w:t>
      </w:r>
      <w:r w:rsidR="00BF0E42" w:rsidRPr="00CA6A60">
        <w:t xml:space="preserve"> concern</w:t>
      </w:r>
      <w:r w:rsidR="001F7D53" w:rsidRPr="00CA6A60">
        <w:t>s</w:t>
      </w:r>
      <w:r w:rsidR="002D73ED" w:rsidRPr="00CA6A60">
        <w:t xml:space="preserve"> for receiving countries</w:t>
      </w:r>
      <w:r w:rsidR="00BF0E42" w:rsidRPr="00CA6A60">
        <w:t>.</w:t>
      </w:r>
      <w:r w:rsidR="008728D1" w:rsidRPr="00CA6A60">
        <w:t xml:space="preserve"> </w:t>
      </w:r>
      <w:r w:rsidR="00BF0E42" w:rsidRPr="00CA6A60">
        <w:t xml:space="preserve"> This paper speaks to both </w:t>
      </w:r>
      <w:r w:rsidR="00442204" w:rsidRPr="00CA6A60">
        <w:t>selection and assimilation questions</w:t>
      </w:r>
      <w:r w:rsidR="00BF0E42" w:rsidRPr="00CA6A60">
        <w:t xml:space="preserve"> from the perspective of</w:t>
      </w:r>
      <w:r w:rsidR="00FE0450" w:rsidRPr="00CA6A60">
        <w:t xml:space="preserve"> perhaps the </w:t>
      </w:r>
      <w:r w:rsidR="00BF0E42" w:rsidRPr="00CA6A60">
        <w:t>large</w:t>
      </w:r>
      <w:r w:rsidR="00FE0450" w:rsidRPr="00CA6A60">
        <w:t>st</w:t>
      </w:r>
      <w:r w:rsidR="00BF0E42" w:rsidRPr="00CA6A60">
        <w:t xml:space="preserve"> wave of </w:t>
      </w:r>
      <w:r w:rsidR="000771CE">
        <w:t xml:space="preserve">disaster </w:t>
      </w:r>
      <w:r w:rsidR="00BF0E42" w:rsidRPr="00CA6A60">
        <w:t xml:space="preserve">refugees that the </w:t>
      </w:r>
      <w:r w:rsidR="00FE0450" w:rsidRPr="00CA6A60">
        <w:t>US</w:t>
      </w:r>
      <w:r w:rsidR="00BF0E42" w:rsidRPr="00CA6A60">
        <w:t xml:space="preserve"> has ever absorbed.</w:t>
      </w:r>
      <w:r w:rsidR="00B008AA" w:rsidRPr="00CA6A60">
        <w:t xml:space="preserve"> </w:t>
      </w:r>
      <w:r w:rsidR="00E23949">
        <w:t xml:space="preserve"> </w:t>
      </w:r>
      <w:r w:rsidR="00B52BF0">
        <w:t>D</w:t>
      </w:r>
      <w:r w:rsidR="00B56500">
        <w:t xml:space="preserve">espite the desperate conditions in which </w:t>
      </w:r>
      <w:r w:rsidR="008C5273">
        <w:t xml:space="preserve">many </w:t>
      </w:r>
      <w:r w:rsidR="000771CE">
        <w:t xml:space="preserve">famine-era </w:t>
      </w:r>
      <w:r w:rsidR="00BD4EF0">
        <w:t xml:space="preserve">migrants arrived and their relatively low levels of human capital, </w:t>
      </w:r>
      <w:r w:rsidR="00B52BF0">
        <w:t>the</w:t>
      </w:r>
      <w:r w:rsidR="00C45009">
        <w:t>ir</w:t>
      </w:r>
      <w:r w:rsidR="00B52BF0">
        <w:t xml:space="preserve"> children </w:t>
      </w:r>
      <w:r w:rsidR="00B56500">
        <w:t xml:space="preserve">showed </w:t>
      </w:r>
      <w:r w:rsidR="00C45009">
        <w:t xml:space="preserve">strong </w:t>
      </w:r>
      <w:r w:rsidR="00B56500">
        <w:t>evidence of “assimilation and contribution”</w:t>
      </w:r>
      <w:r w:rsidR="00BD4EF0">
        <w:t xml:space="preserve"> in the labor market.</w:t>
      </w:r>
      <w:r w:rsidR="006C416B">
        <w:t xml:space="preserve">  </w:t>
      </w:r>
      <w:r w:rsidR="00B56500">
        <w:t>Thus, th</w:t>
      </w:r>
      <w:r w:rsidR="000771CE">
        <w:t>e</w:t>
      </w:r>
      <w:r w:rsidR="00B56500">
        <w:t xml:space="preserve"> paper provides </w:t>
      </w:r>
      <w:r w:rsidR="006C416B">
        <w:t>useful</w:t>
      </w:r>
      <w:r w:rsidR="000771CE">
        <w:t xml:space="preserve"> </w:t>
      </w:r>
      <w:r w:rsidR="00B56500">
        <w:t xml:space="preserve">historical perspective at a time when refugees are once again viewed by many with skepticism and scorn.  </w:t>
      </w:r>
      <w:r w:rsidR="00F230C0">
        <w:rPr>
          <w:b/>
        </w:rPr>
        <w:br w:type="page"/>
      </w:r>
    </w:p>
    <w:p w14:paraId="2731D302" w14:textId="751ABAD8" w:rsidR="00507CAC" w:rsidRPr="007E4EF9" w:rsidRDefault="00507CAC" w:rsidP="005F1D07">
      <w:pPr>
        <w:widowControl w:val="0"/>
        <w:jc w:val="center"/>
        <w:rPr>
          <w:rFonts w:cs="Times New Roman"/>
          <w:b/>
        </w:rPr>
      </w:pPr>
      <w:r w:rsidRPr="007E4EF9">
        <w:rPr>
          <w:rFonts w:cs="Times New Roman"/>
          <w:b/>
        </w:rPr>
        <w:t>References</w:t>
      </w:r>
    </w:p>
    <w:p w14:paraId="53DB22D5" w14:textId="77777777" w:rsidR="00F230C0" w:rsidRPr="00F03CA2" w:rsidRDefault="00F230C0" w:rsidP="00C61A4C">
      <w:pPr>
        <w:spacing w:line="240" w:lineRule="auto"/>
        <w:rPr>
          <w:rFonts w:cs="Times New Roman"/>
        </w:rPr>
      </w:pPr>
      <w:bookmarkStart w:id="1" w:name="bookmark0"/>
      <w:bookmarkEnd w:id="1"/>
    </w:p>
    <w:p w14:paraId="29B1C6AE" w14:textId="4E93C30F" w:rsidR="00BA320D" w:rsidRPr="00E52EC9" w:rsidRDefault="00BA320D" w:rsidP="00C61A4C">
      <w:pPr>
        <w:spacing w:line="240" w:lineRule="auto"/>
        <w:rPr>
          <w:rFonts w:cs="Times New Roman"/>
        </w:rPr>
      </w:pPr>
      <w:r w:rsidRPr="00E52EC9">
        <w:rPr>
          <w:rFonts w:cs="Times New Roman"/>
        </w:rPr>
        <w:t>Abramitzky, Ran, Leah Platt Boustan, and Katherine Eriksson (2012).</w:t>
      </w:r>
      <w:r w:rsidR="00E52EC9" w:rsidRPr="00E52EC9">
        <w:rPr>
          <w:rFonts w:cs="Times New Roman"/>
        </w:rPr>
        <w:t xml:space="preserve"> “Europe’s Tired, Poor, Huddled Masses: Self-Selection and Economic Outcomes in the Age of Mass Migration.” </w:t>
      </w:r>
      <w:r w:rsidR="00E52EC9" w:rsidRPr="00E52EC9">
        <w:rPr>
          <w:rFonts w:cs="Times New Roman"/>
          <w:i/>
        </w:rPr>
        <w:t xml:space="preserve">American Economic Review </w:t>
      </w:r>
      <w:r w:rsidR="00E52EC9" w:rsidRPr="00E52EC9">
        <w:rPr>
          <w:rFonts w:cs="Times New Roman"/>
        </w:rPr>
        <w:t>102:5, pp. 1832-1856.</w:t>
      </w:r>
    </w:p>
    <w:p w14:paraId="241FBAAF" w14:textId="77777777" w:rsidR="00BA320D" w:rsidRDefault="00BA320D" w:rsidP="00C61A4C">
      <w:pPr>
        <w:spacing w:line="240" w:lineRule="auto"/>
        <w:rPr>
          <w:rFonts w:cs="Times New Roman"/>
        </w:rPr>
      </w:pPr>
    </w:p>
    <w:p w14:paraId="0A28DABE" w14:textId="5E6A8C41" w:rsidR="00F230C0" w:rsidRPr="00F03CA2" w:rsidRDefault="00F230C0" w:rsidP="00C61A4C">
      <w:pPr>
        <w:spacing w:line="240" w:lineRule="auto"/>
        <w:rPr>
          <w:rFonts w:cs="Times New Roman"/>
        </w:rPr>
      </w:pPr>
      <w:r w:rsidRPr="00F03CA2">
        <w:rPr>
          <w:rFonts w:cs="Times New Roman"/>
        </w:rPr>
        <w:t>Abramitzky, Ran, Leah Platt Boustan, and Katherine Eriksson (2014). “A</w:t>
      </w:r>
      <w:r w:rsidR="007E4EF9" w:rsidRPr="00F03CA2">
        <w:rPr>
          <w:rFonts w:cs="Times New Roman"/>
        </w:rPr>
        <w:t xml:space="preserve"> </w:t>
      </w:r>
      <w:r w:rsidRPr="00F03CA2">
        <w:rPr>
          <w:rFonts w:cs="Times New Roman"/>
        </w:rPr>
        <w:t xml:space="preserve">Nation of Immigrants: Assimilation and Economic Outcomes in the Age of Mass Migration.” </w:t>
      </w:r>
      <w:r w:rsidRPr="00F03CA2">
        <w:rPr>
          <w:rFonts w:cs="Times New Roman"/>
          <w:i/>
          <w:iCs/>
        </w:rPr>
        <w:t xml:space="preserve">Journal of Political Economy </w:t>
      </w:r>
      <w:r w:rsidRPr="00F03CA2">
        <w:rPr>
          <w:rFonts w:cs="Times New Roman"/>
        </w:rPr>
        <w:t>122:3,</w:t>
      </w:r>
      <w:r w:rsidR="007E4EF9" w:rsidRPr="00F03CA2">
        <w:rPr>
          <w:rFonts w:cs="Times New Roman"/>
        </w:rPr>
        <w:t xml:space="preserve"> </w:t>
      </w:r>
      <w:r w:rsidRPr="00F03CA2">
        <w:rPr>
          <w:rFonts w:cs="Times New Roman"/>
        </w:rPr>
        <w:t>pp. 467–506.</w:t>
      </w:r>
    </w:p>
    <w:p w14:paraId="18D42225" w14:textId="77777777" w:rsidR="00F230C0" w:rsidRPr="00F03CA2" w:rsidRDefault="00F230C0" w:rsidP="00C61A4C">
      <w:pPr>
        <w:spacing w:line="240" w:lineRule="auto"/>
        <w:rPr>
          <w:rFonts w:cs="Times New Roman"/>
        </w:rPr>
      </w:pPr>
    </w:p>
    <w:p w14:paraId="47483773" w14:textId="419F3422" w:rsidR="00F230C0" w:rsidRDefault="00F230C0" w:rsidP="00C61A4C">
      <w:pPr>
        <w:spacing w:line="240" w:lineRule="auto"/>
        <w:rPr>
          <w:rFonts w:cs="Times New Roman"/>
        </w:rPr>
      </w:pPr>
      <w:r w:rsidRPr="00F03CA2">
        <w:rPr>
          <w:rFonts w:cs="Times New Roman"/>
        </w:rPr>
        <w:t>Abramitzky, Ran, Leah Platt Boustan, and Katherine Eriksson (2016).</w:t>
      </w:r>
      <w:r w:rsidR="007E4EF9" w:rsidRPr="00F03CA2">
        <w:rPr>
          <w:rFonts w:cs="Times New Roman"/>
        </w:rPr>
        <w:t xml:space="preserve"> </w:t>
      </w:r>
      <w:r w:rsidRPr="00F03CA2">
        <w:rPr>
          <w:rFonts w:cs="Times New Roman"/>
        </w:rPr>
        <w:t>“Cultural Assimilation During the Age of Mass Migration.” NBER</w:t>
      </w:r>
      <w:r w:rsidR="007E4EF9" w:rsidRPr="00F03CA2">
        <w:rPr>
          <w:rFonts w:cs="Times New Roman"/>
        </w:rPr>
        <w:t xml:space="preserve"> </w:t>
      </w:r>
      <w:r w:rsidRPr="00F03CA2">
        <w:rPr>
          <w:rFonts w:cs="Times New Roman"/>
        </w:rPr>
        <w:t>Working Paper 22381.</w:t>
      </w:r>
    </w:p>
    <w:p w14:paraId="139FE435" w14:textId="78026F49" w:rsidR="00AC176C" w:rsidRDefault="00AC176C" w:rsidP="00C61A4C">
      <w:pPr>
        <w:spacing w:line="240" w:lineRule="auto"/>
        <w:rPr>
          <w:rFonts w:cs="Times New Roman"/>
        </w:rPr>
      </w:pPr>
    </w:p>
    <w:p w14:paraId="10743FE7" w14:textId="2FC21047" w:rsidR="00AC176C" w:rsidRPr="00AC176C" w:rsidRDefault="00AC176C" w:rsidP="00C61A4C">
      <w:pPr>
        <w:spacing w:line="240" w:lineRule="auto"/>
        <w:rPr>
          <w:rFonts w:cs="Times New Roman"/>
        </w:rPr>
      </w:pPr>
      <w:r>
        <w:rPr>
          <w:rFonts w:cs="Times New Roman"/>
        </w:rPr>
        <w:t xml:space="preserve">Abramitzky, Ran, Roy Mill, and Santiago Pérez (2018). “Linking Individuals Across Historical Sources: A Fully Automated Approach.” </w:t>
      </w:r>
      <w:r>
        <w:rPr>
          <w:rFonts w:cs="Times New Roman"/>
          <w:i/>
          <w:iCs/>
        </w:rPr>
        <w:t>Historical Methods</w:t>
      </w:r>
      <w:r>
        <w:rPr>
          <w:rFonts w:cs="Times New Roman"/>
        </w:rPr>
        <w:t xml:space="preserve"> Forthcoming.</w:t>
      </w:r>
    </w:p>
    <w:p w14:paraId="5C76427C" w14:textId="77777777" w:rsidR="0015388E" w:rsidRDefault="0015388E" w:rsidP="00C61A4C">
      <w:pPr>
        <w:spacing w:line="240" w:lineRule="auto"/>
        <w:rPr>
          <w:rFonts w:cs="Times New Roman"/>
        </w:rPr>
      </w:pPr>
    </w:p>
    <w:p w14:paraId="1F312EB0" w14:textId="347ACDD0" w:rsidR="00F417DB" w:rsidRDefault="00F417DB" w:rsidP="00C61A4C">
      <w:pPr>
        <w:spacing w:line="240" w:lineRule="auto"/>
        <w:rPr>
          <w:rFonts w:cs="Times New Roman"/>
        </w:rPr>
      </w:pPr>
      <w:r>
        <w:rPr>
          <w:rFonts w:cs="Times New Roman"/>
        </w:rPr>
        <w:t xml:space="preserve">Alexander, Rohan and Zachary Ward (2018). “Age at Arrival and Assimilation during the Age of Mass Migration.” </w:t>
      </w:r>
      <w:r>
        <w:rPr>
          <w:rFonts w:cs="Times New Roman"/>
          <w:i/>
        </w:rPr>
        <w:t>Journal of Economic History</w:t>
      </w:r>
      <w:r>
        <w:rPr>
          <w:rFonts w:cs="Times New Roman"/>
        </w:rPr>
        <w:t xml:space="preserve"> </w:t>
      </w:r>
      <w:r w:rsidR="00CA6A60">
        <w:rPr>
          <w:rFonts w:cs="Times New Roman"/>
        </w:rPr>
        <w:t>78</w:t>
      </w:r>
      <w:r w:rsidR="00981D0F">
        <w:rPr>
          <w:rFonts w:cs="Times New Roman"/>
        </w:rPr>
        <w:t>:</w:t>
      </w:r>
      <w:r w:rsidR="00CA6A60">
        <w:rPr>
          <w:rFonts w:cs="Times New Roman"/>
        </w:rPr>
        <w:t>3</w:t>
      </w:r>
      <w:r w:rsidR="00981D0F">
        <w:rPr>
          <w:rFonts w:cs="Times New Roman"/>
        </w:rPr>
        <w:t>, pp.</w:t>
      </w:r>
      <w:r w:rsidR="00CA6A60">
        <w:rPr>
          <w:rFonts w:cs="Times New Roman"/>
        </w:rPr>
        <w:t xml:space="preserve"> 904-937</w:t>
      </w:r>
      <w:r>
        <w:rPr>
          <w:rFonts w:cs="Times New Roman"/>
        </w:rPr>
        <w:t>.</w:t>
      </w:r>
    </w:p>
    <w:p w14:paraId="66367602" w14:textId="525A2113" w:rsidR="005F58D1" w:rsidRDefault="005F58D1" w:rsidP="00C61A4C">
      <w:pPr>
        <w:spacing w:line="240" w:lineRule="auto"/>
        <w:rPr>
          <w:rFonts w:cs="Times New Roman"/>
        </w:rPr>
      </w:pPr>
    </w:p>
    <w:p w14:paraId="66B3BF1A" w14:textId="0C5D4B77" w:rsidR="005F58D1" w:rsidRDefault="005F58D1" w:rsidP="00C61A4C">
      <w:pPr>
        <w:spacing w:line="240" w:lineRule="auto"/>
        <w:rPr>
          <w:rFonts w:cs="Times New Roman"/>
        </w:rPr>
      </w:pPr>
      <w:r>
        <w:rPr>
          <w:rFonts w:cs="Times New Roman"/>
        </w:rPr>
        <w:t>Alsan, Marcella, Katherine Eriksson, and Gregory Niemesh</w:t>
      </w:r>
      <w:r w:rsidR="009E107D">
        <w:rPr>
          <w:rFonts w:cs="Times New Roman"/>
        </w:rPr>
        <w:t xml:space="preserve"> (</w:t>
      </w:r>
      <w:r>
        <w:rPr>
          <w:rFonts w:cs="Times New Roman"/>
        </w:rPr>
        <w:t>2019</w:t>
      </w:r>
      <w:r w:rsidR="009E107D">
        <w:rPr>
          <w:rFonts w:cs="Times New Roman"/>
        </w:rPr>
        <w:t>)</w:t>
      </w:r>
      <w:r>
        <w:rPr>
          <w:rFonts w:cs="Times New Roman"/>
        </w:rPr>
        <w:t xml:space="preserve">. “The Rise and Fall of the Know-Nothing Party.” </w:t>
      </w:r>
      <w:r w:rsidR="00486D74">
        <w:rPr>
          <w:rFonts w:cs="Times New Roman"/>
        </w:rPr>
        <w:t>Mimeo., Miami University</w:t>
      </w:r>
      <w:r>
        <w:rPr>
          <w:rFonts w:cs="Times New Roman"/>
        </w:rPr>
        <w:t>.</w:t>
      </w:r>
    </w:p>
    <w:p w14:paraId="27666295" w14:textId="77777777" w:rsidR="00610093" w:rsidRDefault="00610093" w:rsidP="00C61A4C">
      <w:pPr>
        <w:spacing w:line="240" w:lineRule="auto"/>
        <w:rPr>
          <w:rFonts w:cs="Times New Roman"/>
        </w:rPr>
      </w:pPr>
    </w:p>
    <w:p w14:paraId="1DE0B697" w14:textId="4042D772" w:rsidR="00610093" w:rsidRPr="00610093" w:rsidRDefault="00610093" w:rsidP="00C61A4C">
      <w:pPr>
        <w:spacing w:line="240" w:lineRule="auto"/>
        <w:rPr>
          <w:rFonts w:cs="Times New Roman"/>
        </w:rPr>
      </w:pPr>
      <w:r>
        <w:rPr>
          <w:rFonts w:cs="Times New Roman"/>
        </w:rPr>
        <w:t xml:space="preserve">Anbinder, Tyler (1992). </w:t>
      </w:r>
      <w:r>
        <w:rPr>
          <w:rFonts w:cs="Times New Roman"/>
          <w:i/>
        </w:rPr>
        <w:t xml:space="preserve">Nativism and Slavery: The Northern Know Nothings and the Politics of the 1850s. </w:t>
      </w:r>
      <w:r>
        <w:rPr>
          <w:rFonts w:cs="Times New Roman"/>
        </w:rPr>
        <w:t>New York: Oxford University Press.</w:t>
      </w:r>
    </w:p>
    <w:p w14:paraId="55C85E2F" w14:textId="77777777" w:rsidR="00F230C0" w:rsidRPr="00F03CA2" w:rsidRDefault="00F230C0" w:rsidP="00C61A4C">
      <w:pPr>
        <w:spacing w:line="240" w:lineRule="auto"/>
        <w:rPr>
          <w:rFonts w:cs="Times New Roman"/>
        </w:rPr>
      </w:pPr>
    </w:p>
    <w:p w14:paraId="12F81163" w14:textId="15F5B372" w:rsidR="00F230C0" w:rsidRDefault="00F230C0" w:rsidP="00C61A4C">
      <w:pPr>
        <w:spacing w:line="240" w:lineRule="auto"/>
        <w:rPr>
          <w:rFonts w:cs="Times New Roman"/>
        </w:rPr>
      </w:pPr>
      <w:r w:rsidRPr="00F03CA2">
        <w:rPr>
          <w:rFonts w:cs="Times New Roman"/>
        </w:rPr>
        <w:t>Anbinder, Tyler and Hope McCaffrey (2015). “Which Irish Men and</w:t>
      </w:r>
      <w:r w:rsidR="007E4EF9" w:rsidRPr="00F03CA2">
        <w:rPr>
          <w:rFonts w:cs="Times New Roman"/>
        </w:rPr>
        <w:t xml:space="preserve"> </w:t>
      </w:r>
      <w:r w:rsidRPr="00F03CA2">
        <w:rPr>
          <w:rFonts w:cs="Times New Roman"/>
        </w:rPr>
        <w:t>Women Immigrated to the United States during the Great Famine</w:t>
      </w:r>
      <w:r w:rsidR="007E4EF9" w:rsidRPr="00F03CA2">
        <w:rPr>
          <w:rFonts w:cs="Times New Roman"/>
        </w:rPr>
        <w:t xml:space="preserve"> </w:t>
      </w:r>
      <w:r w:rsidR="009250C2" w:rsidRPr="00F03CA2">
        <w:rPr>
          <w:rFonts w:cs="Times New Roman"/>
        </w:rPr>
        <w:t>Migration of 1846–54?</w:t>
      </w:r>
      <w:r w:rsidRPr="00F03CA2">
        <w:rPr>
          <w:rFonts w:cs="Times New Roman"/>
        </w:rPr>
        <w:t xml:space="preserve">” </w:t>
      </w:r>
      <w:r w:rsidRPr="00F03CA2">
        <w:rPr>
          <w:rFonts w:cs="Times New Roman"/>
          <w:i/>
          <w:iCs/>
        </w:rPr>
        <w:t xml:space="preserve">Irish Historical Studies </w:t>
      </w:r>
      <w:r w:rsidRPr="00F03CA2">
        <w:rPr>
          <w:rFonts w:cs="Times New Roman"/>
        </w:rPr>
        <w:t>39:156, pp. 620–642.</w:t>
      </w:r>
    </w:p>
    <w:p w14:paraId="356C14B2" w14:textId="77777777" w:rsidR="00D0104E" w:rsidRDefault="00D0104E" w:rsidP="00C61A4C">
      <w:pPr>
        <w:spacing w:line="240" w:lineRule="auto"/>
        <w:rPr>
          <w:rFonts w:cs="Times New Roman"/>
        </w:rPr>
      </w:pPr>
    </w:p>
    <w:p w14:paraId="0E62C82F" w14:textId="5A8136C5" w:rsidR="00D0104E" w:rsidRPr="00F03CA2" w:rsidRDefault="00D0104E" w:rsidP="00C61A4C">
      <w:pPr>
        <w:spacing w:line="240" w:lineRule="auto"/>
        <w:rPr>
          <w:rFonts w:cs="Times New Roman"/>
        </w:rPr>
      </w:pPr>
      <w:r>
        <w:rPr>
          <w:rFonts w:cs="Times New Roman"/>
        </w:rPr>
        <w:t>Anbinder, Tyler, Cormac Ó Gráda and Simone A. Wegge (2017). “Networks of Opportunity: How Emigrants from the Great Irish Famine Survived, and Eventually Thrived, in New York and Beyond.” Mimeo., University College, Dublin.</w:t>
      </w:r>
    </w:p>
    <w:p w14:paraId="518A41EE" w14:textId="77777777" w:rsidR="007D6819" w:rsidRDefault="007D6819" w:rsidP="00C61A4C">
      <w:pPr>
        <w:spacing w:line="240" w:lineRule="auto"/>
        <w:rPr>
          <w:rFonts w:cs="Times New Roman"/>
        </w:rPr>
      </w:pPr>
    </w:p>
    <w:p w14:paraId="40101D41" w14:textId="01FF3731" w:rsidR="007D6819" w:rsidRDefault="007D6819" w:rsidP="00C61A4C">
      <w:pPr>
        <w:spacing w:line="240" w:lineRule="auto"/>
        <w:rPr>
          <w:rFonts w:cs="Times New Roman"/>
        </w:rPr>
      </w:pPr>
      <w:r>
        <w:rPr>
          <w:rFonts w:cs="Times New Roman"/>
        </w:rPr>
        <w:t>Bailey, Martha, Connor Cole, Morgan Henderson, and Catherine Massey (2017). “How Well Do Automated Methods Perform in Historical Samples? Evidence from New Ground Truth.” NBER Working Paper 24019.</w:t>
      </w:r>
    </w:p>
    <w:p w14:paraId="5C3FB84C" w14:textId="77777777" w:rsidR="006C55A1" w:rsidRDefault="006C55A1" w:rsidP="00C61A4C">
      <w:pPr>
        <w:spacing w:line="240" w:lineRule="auto"/>
        <w:rPr>
          <w:rFonts w:cs="Times New Roman"/>
        </w:rPr>
      </w:pPr>
    </w:p>
    <w:p w14:paraId="1926C49A" w14:textId="78C4B494" w:rsidR="004D67E9" w:rsidRDefault="006C55A1" w:rsidP="00C61A4C">
      <w:pPr>
        <w:spacing w:line="240" w:lineRule="auto"/>
        <w:rPr>
          <w:rFonts w:cs="Times New Roman"/>
        </w:rPr>
      </w:pPr>
      <w:r>
        <w:rPr>
          <w:rFonts w:cs="Times New Roman"/>
        </w:rPr>
        <w:t xml:space="preserve">Barde, Robert, Susan B. Carter, and Richard Sutch (2006). </w:t>
      </w:r>
      <w:r w:rsidR="004D67E9">
        <w:rPr>
          <w:rFonts w:cs="Times New Roman"/>
        </w:rPr>
        <w:t xml:space="preserve">“Table Ad106-120: Immigrants, by country of last residence—Europe, 1820-1997.” </w:t>
      </w:r>
      <w:r w:rsidR="004D67E9" w:rsidRPr="00F03CA2">
        <w:rPr>
          <w:rFonts w:cs="Times New Roman"/>
        </w:rPr>
        <w:t xml:space="preserve">In </w:t>
      </w:r>
      <w:r w:rsidR="004D67E9">
        <w:rPr>
          <w:rFonts w:cs="Times New Roman"/>
          <w:i/>
        </w:rPr>
        <w:t>Historical Statistics of the United States</w:t>
      </w:r>
      <w:r w:rsidR="004D67E9" w:rsidRPr="00F03CA2">
        <w:rPr>
          <w:rFonts w:cs="Times New Roman"/>
        </w:rPr>
        <w:t xml:space="preserve">. </w:t>
      </w:r>
      <w:r w:rsidR="004D67E9">
        <w:rPr>
          <w:rFonts w:cs="Times New Roman"/>
        </w:rPr>
        <w:t xml:space="preserve">Susan B. Carter, Scott Sigmund Gardner, Michael R. Haines, Alan L. Olmstead, Richard Sutch, and Gavin Wright </w:t>
      </w:r>
      <w:r w:rsidR="004D67E9" w:rsidRPr="00F03CA2">
        <w:rPr>
          <w:rFonts w:cs="Times New Roman"/>
        </w:rPr>
        <w:t xml:space="preserve"> (ed.). </w:t>
      </w:r>
      <w:r w:rsidR="004D67E9">
        <w:rPr>
          <w:rFonts w:cs="Times New Roman"/>
        </w:rPr>
        <w:t>Cambridge: Cambridge University Press</w:t>
      </w:r>
      <w:r w:rsidR="004D67E9" w:rsidRPr="00F03CA2">
        <w:rPr>
          <w:rFonts w:cs="Times New Roman"/>
        </w:rPr>
        <w:t xml:space="preserve">, pp. </w:t>
      </w:r>
      <w:r w:rsidR="004D67E9">
        <w:rPr>
          <w:rFonts w:cs="Times New Roman"/>
        </w:rPr>
        <w:t>1.560-1.563</w:t>
      </w:r>
      <w:r w:rsidR="004D67E9" w:rsidRPr="00F03CA2">
        <w:rPr>
          <w:rFonts w:cs="Times New Roman"/>
        </w:rPr>
        <w:t xml:space="preserve">. </w:t>
      </w:r>
    </w:p>
    <w:p w14:paraId="3BDAFF10" w14:textId="77777777" w:rsidR="00005CD9" w:rsidRDefault="00005CD9" w:rsidP="00C61A4C">
      <w:pPr>
        <w:spacing w:line="240" w:lineRule="auto"/>
        <w:rPr>
          <w:rFonts w:cs="Times New Roman"/>
        </w:rPr>
      </w:pPr>
    </w:p>
    <w:p w14:paraId="5B77E666" w14:textId="492328A4" w:rsidR="00005CD9" w:rsidRDefault="00005CD9" w:rsidP="00C61A4C">
      <w:pPr>
        <w:spacing w:line="240" w:lineRule="auto"/>
        <w:rPr>
          <w:rFonts w:cs="Times New Roman"/>
        </w:rPr>
      </w:pPr>
      <w:r>
        <w:rPr>
          <w:rFonts w:cs="Times New Roman"/>
        </w:rPr>
        <w:t>Battisti, Michele, Giovanni Peri, and Agnese Romiti (2018). “Dynamic Effects of Co-Ethnic Networks on Immigrants’ Economic Success.” NBER Working Paper 22389.</w:t>
      </w:r>
    </w:p>
    <w:p w14:paraId="6B39B7FD" w14:textId="77777777" w:rsidR="00D519D3" w:rsidRDefault="00D519D3" w:rsidP="00C61A4C">
      <w:pPr>
        <w:spacing w:line="240" w:lineRule="auto"/>
        <w:rPr>
          <w:rFonts w:cs="Times New Roman"/>
        </w:rPr>
      </w:pPr>
    </w:p>
    <w:p w14:paraId="20546171" w14:textId="656D8C92" w:rsidR="00D519D3" w:rsidRPr="00D519D3" w:rsidRDefault="00D519D3" w:rsidP="00C61A4C">
      <w:pPr>
        <w:spacing w:line="240" w:lineRule="auto"/>
        <w:rPr>
          <w:rFonts w:cs="Times New Roman"/>
        </w:rPr>
      </w:pPr>
      <w:r>
        <w:rPr>
          <w:rFonts w:cs="Times New Roman"/>
        </w:rPr>
        <w:t xml:space="preserve">Beach, Brian, Joseph P. Ferrie, Martin Saavedra, and Werner Troesken (2016). “Typhoid Fever, Water Quality, and Human Capital Formation.” </w:t>
      </w:r>
      <w:r>
        <w:rPr>
          <w:rFonts w:cs="Times New Roman"/>
          <w:i/>
        </w:rPr>
        <w:t>Journal of Economic History</w:t>
      </w:r>
      <w:r>
        <w:rPr>
          <w:rFonts w:cs="Times New Roman"/>
        </w:rPr>
        <w:t xml:space="preserve"> 76:1, pp. 41-75.</w:t>
      </w:r>
    </w:p>
    <w:p w14:paraId="226F9621" w14:textId="77777777" w:rsidR="00F230C0" w:rsidRPr="00F03CA2" w:rsidRDefault="00F230C0" w:rsidP="00C61A4C">
      <w:pPr>
        <w:spacing w:line="240" w:lineRule="auto"/>
        <w:rPr>
          <w:rFonts w:cs="Times New Roman"/>
        </w:rPr>
      </w:pPr>
    </w:p>
    <w:p w14:paraId="6457F052" w14:textId="7B145C61" w:rsidR="00F230C0" w:rsidRDefault="00F230C0" w:rsidP="00C61A4C">
      <w:pPr>
        <w:spacing w:line="240" w:lineRule="auto"/>
        <w:rPr>
          <w:rFonts w:cs="Times New Roman"/>
        </w:rPr>
      </w:pPr>
      <w:r w:rsidRPr="00F03CA2">
        <w:rPr>
          <w:rFonts w:cs="Times New Roman"/>
        </w:rPr>
        <w:t xml:space="preserve">Beaman, Lori A. (2012). “Social </w:t>
      </w:r>
      <w:r w:rsidRPr="00F03CA2">
        <w:rPr>
          <w:rFonts w:cs="Times New Roman"/>
          <w:spacing w:val="-3"/>
        </w:rPr>
        <w:t xml:space="preserve">Networks </w:t>
      </w:r>
      <w:r w:rsidRPr="00F03CA2">
        <w:rPr>
          <w:rFonts w:cs="Times New Roman"/>
        </w:rPr>
        <w:t xml:space="preserve">and the Dynamics of </w:t>
      </w:r>
      <w:r w:rsidR="007E4EF9" w:rsidRPr="00F03CA2">
        <w:rPr>
          <w:rFonts w:cs="Times New Roman"/>
        </w:rPr>
        <w:t>L</w:t>
      </w:r>
      <w:r w:rsidRPr="00F03CA2">
        <w:rPr>
          <w:rFonts w:cs="Times New Roman"/>
        </w:rPr>
        <w:t>abour</w:t>
      </w:r>
      <w:r w:rsidR="007E4EF9" w:rsidRPr="00F03CA2">
        <w:rPr>
          <w:rFonts w:cs="Times New Roman"/>
        </w:rPr>
        <w:t xml:space="preserve"> </w:t>
      </w:r>
      <w:r w:rsidRPr="00F03CA2">
        <w:rPr>
          <w:rFonts w:cs="Times New Roman"/>
        </w:rPr>
        <w:t>Market Outcomes: Evidence from Refugees Resettled in the US.”</w:t>
      </w:r>
      <w:r w:rsidR="007E4EF9" w:rsidRPr="00F03CA2">
        <w:rPr>
          <w:rFonts w:cs="Times New Roman"/>
        </w:rPr>
        <w:t xml:space="preserve"> </w:t>
      </w:r>
      <w:r w:rsidRPr="00F03CA2">
        <w:rPr>
          <w:rFonts w:cs="Times New Roman"/>
          <w:i/>
          <w:iCs/>
        </w:rPr>
        <w:t xml:space="preserve">Review of Economic Studies </w:t>
      </w:r>
      <w:r w:rsidRPr="00F03CA2">
        <w:rPr>
          <w:rFonts w:cs="Times New Roman"/>
        </w:rPr>
        <w:t>79:1, pp. 128–161.</w:t>
      </w:r>
    </w:p>
    <w:p w14:paraId="494426DC" w14:textId="77777777" w:rsidR="00E7634A" w:rsidRDefault="00E7634A" w:rsidP="00C61A4C">
      <w:pPr>
        <w:spacing w:line="240" w:lineRule="auto"/>
        <w:rPr>
          <w:rFonts w:cs="Times New Roman"/>
        </w:rPr>
      </w:pPr>
    </w:p>
    <w:p w14:paraId="416D85AA" w14:textId="2751C0A9" w:rsidR="00F230C0" w:rsidRPr="00F03CA2" w:rsidRDefault="00F230C0" w:rsidP="00C61A4C">
      <w:pPr>
        <w:spacing w:line="240" w:lineRule="auto"/>
        <w:rPr>
          <w:rFonts w:cs="Times New Roman"/>
        </w:rPr>
      </w:pPr>
      <w:r w:rsidRPr="00F03CA2">
        <w:rPr>
          <w:rFonts w:cs="Times New Roman"/>
        </w:rPr>
        <w:t xml:space="preserve">Blum, Matthias and Claudia Rei </w:t>
      </w:r>
      <w:r w:rsidR="00EC173A" w:rsidRPr="00F03CA2">
        <w:rPr>
          <w:rFonts w:cs="Times New Roman"/>
        </w:rPr>
        <w:t>(2018</w:t>
      </w:r>
      <w:r w:rsidRPr="00F03CA2">
        <w:rPr>
          <w:rFonts w:cs="Times New Roman"/>
        </w:rPr>
        <w:t>). “Escaping Europe: Health and</w:t>
      </w:r>
      <w:r w:rsidR="004D67E9">
        <w:rPr>
          <w:rFonts w:cs="Times New Roman"/>
        </w:rPr>
        <w:t xml:space="preserve"> </w:t>
      </w:r>
      <w:r w:rsidRPr="00F03CA2">
        <w:rPr>
          <w:rFonts w:cs="Times New Roman"/>
        </w:rPr>
        <w:t xml:space="preserve">Human Capital of Holocaust Refugees.” </w:t>
      </w:r>
      <w:r w:rsidRPr="00F03CA2">
        <w:rPr>
          <w:rFonts w:cs="Times New Roman"/>
          <w:i/>
          <w:iCs/>
        </w:rPr>
        <w:t>European Review of</w:t>
      </w:r>
      <w:r w:rsidR="007E4EF9" w:rsidRPr="00F03CA2">
        <w:rPr>
          <w:rFonts w:cs="Times New Roman"/>
          <w:i/>
          <w:iCs/>
        </w:rPr>
        <w:t xml:space="preserve"> </w:t>
      </w:r>
      <w:r w:rsidRPr="00F03CA2">
        <w:rPr>
          <w:rFonts w:cs="Times New Roman"/>
          <w:i/>
          <w:iCs/>
        </w:rPr>
        <w:t xml:space="preserve">Economic History </w:t>
      </w:r>
      <w:r w:rsidR="00C86E0E" w:rsidRPr="00F03CA2">
        <w:rPr>
          <w:rFonts w:cs="Times New Roman"/>
        </w:rPr>
        <w:t>22:1, pp. 1-27</w:t>
      </w:r>
      <w:r w:rsidRPr="00F03CA2">
        <w:rPr>
          <w:rFonts w:cs="Times New Roman"/>
        </w:rPr>
        <w:t>.</w:t>
      </w:r>
    </w:p>
    <w:p w14:paraId="68D86A6E" w14:textId="77777777" w:rsidR="00F230C0" w:rsidRPr="00F03CA2" w:rsidRDefault="00F230C0" w:rsidP="00C61A4C">
      <w:pPr>
        <w:spacing w:line="240" w:lineRule="auto"/>
        <w:rPr>
          <w:rFonts w:cs="Times New Roman"/>
        </w:rPr>
      </w:pPr>
    </w:p>
    <w:p w14:paraId="1D714FD9" w14:textId="7DC1B584" w:rsidR="00F230C0" w:rsidRDefault="00F230C0" w:rsidP="00C61A4C">
      <w:pPr>
        <w:spacing w:line="240" w:lineRule="auto"/>
        <w:rPr>
          <w:rFonts w:cs="Times New Roman"/>
        </w:rPr>
      </w:pPr>
      <w:r w:rsidRPr="00F03CA2">
        <w:rPr>
          <w:rFonts w:cs="Times New Roman"/>
        </w:rPr>
        <w:t>Borjas, George J. (1987). “Self-Selection and the Earnings of</w:t>
      </w:r>
      <w:r w:rsidR="007E4EF9" w:rsidRPr="00F03CA2">
        <w:rPr>
          <w:rFonts w:cs="Times New Roman"/>
        </w:rPr>
        <w:t xml:space="preserve"> </w:t>
      </w:r>
      <w:r w:rsidRPr="00F03CA2">
        <w:rPr>
          <w:rFonts w:cs="Times New Roman"/>
        </w:rPr>
        <w:t xml:space="preserve">Immigrants.” </w:t>
      </w:r>
      <w:r w:rsidRPr="00F03CA2">
        <w:rPr>
          <w:rFonts w:cs="Times New Roman"/>
          <w:i/>
          <w:iCs/>
        </w:rPr>
        <w:t xml:space="preserve">American Economic Review </w:t>
      </w:r>
      <w:r w:rsidRPr="00F03CA2">
        <w:rPr>
          <w:rFonts w:cs="Times New Roman"/>
        </w:rPr>
        <w:t>77:4, pp. 531–553.</w:t>
      </w:r>
    </w:p>
    <w:p w14:paraId="06E4C810" w14:textId="77777777" w:rsidR="0069369B" w:rsidRDefault="0069369B" w:rsidP="00C61A4C">
      <w:pPr>
        <w:spacing w:line="240" w:lineRule="auto"/>
        <w:rPr>
          <w:rFonts w:cs="Times New Roman"/>
        </w:rPr>
      </w:pPr>
    </w:p>
    <w:p w14:paraId="11DBBC59" w14:textId="6232EE6E" w:rsidR="0069369B" w:rsidRPr="0069369B" w:rsidRDefault="0069369B" w:rsidP="00C61A4C">
      <w:pPr>
        <w:spacing w:line="240" w:lineRule="auto"/>
        <w:rPr>
          <w:rFonts w:cs="Times New Roman"/>
        </w:rPr>
      </w:pPr>
      <w:r>
        <w:rPr>
          <w:rFonts w:cs="Times New Roman"/>
        </w:rPr>
        <w:t xml:space="preserve">Borjas, George J. (1992). “Ethnic Capital and Intergenerational Mobility.” </w:t>
      </w:r>
      <w:r>
        <w:rPr>
          <w:rFonts w:cs="Times New Roman"/>
          <w:i/>
        </w:rPr>
        <w:t xml:space="preserve">Quarterly Journal of Economics </w:t>
      </w:r>
      <w:r>
        <w:rPr>
          <w:rFonts w:cs="Times New Roman"/>
        </w:rPr>
        <w:t>107:1, pp. 123-150.</w:t>
      </w:r>
    </w:p>
    <w:p w14:paraId="654E3944" w14:textId="77777777" w:rsidR="007C4F54" w:rsidRPr="00F03CA2" w:rsidRDefault="007C4F54" w:rsidP="00C61A4C">
      <w:pPr>
        <w:spacing w:line="240" w:lineRule="auto"/>
        <w:rPr>
          <w:rFonts w:cs="Times New Roman"/>
        </w:rPr>
      </w:pPr>
    </w:p>
    <w:p w14:paraId="04F7D4D3" w14:textId="242FEED5" w:rsidR="007C4F54" w:rsidRDefault="007C4F54" w:rsidP="00C61A4C">
      <w:pPr>
        <w:spacing w:line="240" w:lineRule="auto"/>
        <w:rPr>
          <w:rFonts w:cs="Times New Roman"/>
        </w:rPr>
      </w:pPr>
      <w:r w:rsidRPr="00F03CA2">
        <w:rPr>
          <w:rFonts w:cs="Times New Roman"/>
        </w:rPr>
        <w:t>Borjas, George J. (</w:t>
      </w:r>
      <w:r w:rsidR="00EB6E65">
        <w:rPr>
          <w:rFonts w:cs="Times New Roman"/>
        </w:rPr>
        <w:t>1993</w:t>
      </w:r>
      <w:r w:rsidRPr="00F03CA2">
        <w:rPr>
          <w:rFonts w:cs="Times New Roman"/>
        </w:rPr>
        <w:t>). “</w:t>
      </w:r>
      <w:r w:rsidR="00EB6E65">
        <w:rPr>
          <w:rFonts w:cs="Times New Roman"/>
        </w:rPr>
        <w:t>The Intergenerational Mobility of Immigrants</w:t>
      </w:r>
      <w:r w:rsidRPr="00F03CA2">
        <w:rPr>
          <w:rFonts w:cs="Times New Roman"/>
        </w:rPr>
        <w:t xml:space="preserve">.” </w:t>
      </w:r>
      <w:r w:rsidR="00EB6E65">
        <w:rPr>
          <w:rFonts w:cs="Times New Roman"/>
          <w:i/>
        </w:rPr>
        <w:t xml:space="preserve">Journal of Labor Economics </w:t>
      </w:r>
      <w:r w:rsidR="00EB6E65">
        <w:rPr>
          <w:rFonts w:cs="Times New Roman"/>
        </w:rPr>
        <w:t>11:1</w:t>
      </w:r>
      <w:r w:rsidRPr="00F03CA2">
        <w:rPr>
          <w:rFonts w:cs="Times New Roman"/>
        </w:rPr>
        <w:t xml:space="preserve">, pp. </w:t>
      </w:r>
      <w:r w:rsidR="00EB6E65">
        <w:rPr>
          <w:rFonts w:cs="Times New Roman"/>
        </w:rPr>
        <w:t>113-135</w:t>
      </w:r>
      <w:r w:rsidRPr="00F03CA2">
        <w:rPr>
          <w:rFonts w:cs="Times New Roman"/>
        </w:rPr>
        <w:t>.</w:t>
      </w:r>
    </w:p>
    <w:p w14:paraId="16277322" w14:textId="77777777" w:rsidR="008B71E4" w:rsidRDefault="008B71E4" w:rsidP="00C61A4C">
      <w:pPr>
        <w:spacing w:line="240" w:lineRule="auto"/>
        <w:rPr>
          <w:rFonts w:cs="Times New Roman"/>
        </w:rPr>
      </w:pPr>
    </w:p>
    <w:p w14:paraId="3F34D9E9" w14:textId="0EF46F65" w:rsidR="00F230C0" w:rsidRDefault="00F230C0" w:rsidP="00C61A4C">
      <w:pPr>
        <w:spacing w:line="240" w:lineRule="auto"/>
        <w:rPr>
          <w:rFonts w:cs="Times New Roman"/>
        </w:rPr>
      </w:pPr>
      <w:r w:rsidRPr="00F03CA2">
        <w:rPr>
          <w:rFonts w:cs="Times New Roman"/>
        </w:rPr>
        <w:t>Boustan, Leah Platt, Matthew E. Kahn, and Paul W. Rhode</w:t>
      </w:r>
      <w:r w:rsidRPr="00F03CA2">
        <w:rPr>
          <w:rFonts w:cs="Times New Roman"/>
          <w:spacing w:val="50"/>
        </w:rPr>
        <w:t xml:space="preserve"> </w:t>
      </w:r>
      <w:r w:rsidRPr="00F03CA2">
        <w:rPr>
          <w:rFonts w:cs="Times New Roman"/>
        </w:rPr>
        <w:t>(2012).</w:t>
      </w:r>
      <w:r w:rsidR="007E4EF9" w:rsidRPr="00F03CA2">
        <w:rPr>
          <w:rFonts w:cs="Times New Roman"/>
        </w:rPr>
        <w:t xml:space="preserve"> </w:t>
      </w:r>
      <w:r w:rsidRPr="00F03CA2">
        <w:rPr>
          <w:rFonts w:cs="Times New Roman"/>
        </w:rPr>
        <w:t xml:space="preserve">“Moving to Higher Ground: Migration Response to Natural Disasters in the Early Twentieth Century.” </w:t>
      </w:r>
      <w:r w:rsidRPr="00F03CA2">
        <w:rPr>
          <w:rFonts w:cs="Times New Roman"/>
          <w:i/>
          <w:iCs/>
        </w:rPr>
        <w:t>American Economic Review, Papers</w:t>
      </w:r>
      <w:r w:rsidR="007E4EF9" w:rsidRPr="00F03CA2">
        <w:rPr>
          <w:rFonts w:cs="Times New Roman"/>
          <w:i/>
          <w:iCs/>
        </w:rPr>
        <w:t xml:space="preserve"> </w:t>
      </w:r>
      <w:r w:rsidRPr="00F03CA2">
        <w:rPr>
          <w:rFonts w:cs="Times New Roman"/>
          <w:i/>
          <w:iCs/>
        </w:rPr>
        <w:t xml:space="preserve">and Proceedings </w:t>
      </w:r>
      <w:r w:rsidRPr="00F03CA2">
        <w:rPr>
          <w:rFonts w:cs="Times New Roman"/>
        </w:rPr>
        <w:t>102:3, pp. 238–244.</w:t>
      </w:r>
    </w:p>
    <w:p w14:paraId="28844EB6" w14:textId="77777777" w:rsidR="00433336" w:rsidRDefault="00433336" w:rsidP="00C61A4C">
      <w:pPr>
        <w:spacing w:line="240" w:lineRule="auto"/>
        <w:rPr>
          <w:rFonts w:cs="Times New Roman"/>
        </w:rPr>
      </w:pPr>
    </w:p>
    <w:p w14:paraId="76CC6EFC" w14:textId="44FAD381" w:rsidR="00433336" w:rsidRPr="00433336" w:rsidRDefault="00433336" w:rsidP="00C61A4C">
      <w:pPr>
        <w:spacing w:line="240" w:lineRule="auto"/>
        <w:rPr>
          <w:rFonts w:cs="Times New Roman"/>
        </w:rPr>
      </w:pPr>
      <w:r>
        <w:rPr>
          <w:rFonts w:cs="Times New Roman"/>
        </w:rPr>
        <w:t xml:space="preserve">Caponi, Vincenzo (2011). “Intergenerational Transmission of Abilities and Self-Selection of Mexican Immigrants.” </w:t>
      </w:r>
      <w:r>
        <w:rPr>
          <w:rFonts w:cs="Times New Roman"/>
          <w:i/>
        </w:rPr>
        <w:t>International Economic Review</w:t>
      </w:r>
      <w:r>
        <w:rPr>
          <w:rFonts w:cs="Times New Roman"/>
        </w:rPr>
        <w:t xml:space="preserve"> 52:2</w:t>
      </w:r>
      <w:r w:rsidR="0032167C">
        <w:rPr>
          <w:rFonts w:cs="Times New Roman"/>
        </w:rPr>
        <w:t>, pp. 523-547.</w:t>
      </w:r>
    </w:p>
    <w:p w14:paraId="5FD21A9B" w14:textId="77777777" w:rsidR="00433336" w:rsidRDefault="00433336" w:rsidP="00C61A4C">
      <w:pPr>
        <w:spacing w:line="240" w:lineRule="auto"/>
        <w:rPr>
          <w:rFonts w:cs="Times New Roman"/>
        </w:rPr>
      </w:pPr>
    </w:p>
    <w:p w14:paraId="7569F172" w14:textId="74809821" w:rsidR="00047225" w:rsidRDefault="00220C59" w:rsidP="00C61A4C">
      <w:pPr>
        <w:spacing w:line="240" w:lineRule="auto"/>
        <w:rPr>
          <w:rFonts w:cs="Times New Roman"/>
        </w:rPr>
      </w:pPr>
      <w:r>
        <w:rPr>
          <w:rFonts w:cs="Times New Roman"/>
        </w:rPr>
        <w:t xml:space="preserve">Card, David (1990). “The Impact of the Mariel Boatlift on the Miami Labor Market.” </w:t>
      </w:r>
      <w:r>
        <w:rPr>
          <w:rFonts w:cs="Times New Roman"/>
          <w:i/>
        </w:rPr>
        <w:t>Industrial and Labor Relations Review</w:t>
      </w:r>
      <w:r>
        <w:rPr>
          <w:rFonts w:cs="Times New Roman"/>
        </w:rPr>
        <w:t xml:space="preserve"> 43:2, pp. 245-257.</w:t>
      </w:r>
    </w:p>
    <w:p w14:paraId="2EF3D45C" w14:textId="77777777" w:rsidR="007F4B9B" w:rsidRDefault="007F4B9B" w:rsidP="00C61A4C">
      <w:pPr>
        <w:spacing w:line="240" w:lineRule="auto"/>
        <w:rPr>
          <w:rFonts w:cs="Times New Roman"/>
        </w:rPr>
      </w:pPr>
    </w:p>
    <w:p w14:paraId="5B2694C1" w14:textId="13793321" w:rsidR="007F4B9B" w:rsidRDefault="007F4B9B" w:rsidP="00C61A4C">
      <w:pPr>
        <w:spacing w:line="240" w:lineRule="auto"/>
        <w:rPr>
          <w:rFonts w:cs="Times New Roman"/>
        </w:rPr>
      </w:pPr>
      <w:r>
        <w:rPr>
          <w:rFonts w:cs="Times New Roman"/>
        </w:rPr>
        <w:t xml:space="preserve">Card, David (2005). “Is the New Immigration Really So Bad?” </w:t>
      </w:r>
      <w:r>
        <w:rPr>
          <w:rFonts w:cs="Times New Roman"/>
          <w:i/>
        </w:rPr>
        <w:t>Economic Journal</w:t>
      </w:r>
      <w:r>
        <w:rPr>
          <w:rFonts w:cs="Times New Roman"/>
        </w:rPr>
        <w:t xml:space="preserve"> 115, pp. F300-F323.</w:t>
      </w:r>
    </w:p>
    <w:p w14:paraId="3919B471" w14:textId="77777777" w:rsidR="002A1A47" w:rsidRDefault="002A1A47" w:rsidP="00C61A4C">
      <w:pPr>
        <w:spacing w:line="240" w:lineRule="auto"/>
        <w:rPr>
          <w:rFonts w:cs="Times New Roman"/>
        </w:rPr>
      </w:pPr>
    </w:p>
    <w:p w14:paraId="2A2C1E48" w14:textId="6F4FFD3D" w:rsidR="002A1A47" w:rsidRDefault="002A1A47" w:rsidP="00C61A4C">
      <w:pPr>
        <w:spacing w:line="240" w:lineRule="auto"/>
        <w:rPr>
          <w:rFonts w:cs="Times New Roman"/>
        </w:rPr>
      </w:pPr>
      <w:r>
        <w:rPr>
          <w:rFonts w:cs="Times New Roman"/>
        </w:rPr>
        <w:t xml:space="preserve">Card, David, John DiNardo, and Eugena Estes (2000). “The More Things Change: Immigrants and the Children of Immigrants in the 1940s, the 1970s, and the 1990s.” In </w:t>
      </w:r>
      <w:r>
        <w:rPr>
          <w:rFonts w:cs="Times New Roman"/>
          <w:i/>
        </w:rPr>
        <w:t xml:space="preserve">Issues in the Economics of Immigration. </w:t>
      </w:r>
      <w:r>
        <w:rPr>
          <w:rFonts w:cs="Times New Roman"/>
        </w:rPr>
        <w:t>George J. Borjas (ed.). Chicago: University of Chicago Press, pp. 227-270.</w:t>
      </w:r>
    </w:p>
    <w:p w14:paraId="2D0FFB28" w14:textId="77777777" w:rsidR="00110D20" w:rsidRDefault="00110D20" w:rsidP="00C61A4C">
      <w:pPr>
        <w:spacing w:line="240" w:lineRule="auto"/>
        <w:rPr>
          <w:rFonts w:cs="Times New Roman"/>
        </w:rPr>
      </w:pPr>
    </w:p>
    <w:p w14:paraId="5922E8E0" w14:textId="67DEE054" w:rsidR="00110D20" w:rsidRDefault="00110D20" w:rsidP="00C61A4C">
      <w:pPr>
        <w:spacing w:line="240" w:lineRule="auto"/>
        <w:rPr>
          <w:rFonts w:cs="Times New Roman"/>
        </w:rPr>
      </w:pPr>
      <w:r>
        <w:rPr>
          <w:rFonts w:cs="Times New Roman"/>
        </w:rPr>
        <w:t xml:space="preserve">Chiquiar, Daniel and Gordon H. Hanson (2005). “International Migration, Self-Selection, and the Distribution of Wages: Evidence from Mexico and the United States.” </w:t>
      </w:r>
      <w:r>
        <w:rPr>
          <w:rFonts w:cs="Times New Roman"/>
          <w:i/>
        </w:rPr>
        <w:t>Journal of Political Economy</w:t>
      </w:r>
      <w:r>
        <w:rPr>
          <w:rFonts w:cs="Times New Roman"/>
        </w:rPr>
        <w:t xml:space="preserve"> 113:2, pp. 239-281.</w:t>
      </w:r>
    </w:p>
    <w:p w14:paraId="13BCA3EC" w14:textId="77777777" w:rsidR="000E1548" w:rsidRDefault="000E1548" w:rsidP="00C61A4C">
      <w:pPr>
        <w:spacing w:line="240" w:lineRule="auto"/>
        <w:rPr>
          <w:rFonts w:cs="Times New Roman"/>
        </w:rPr>
      </w:pPr>
    </w:p>
    <w:p w14:paraId="46E962CF" w14:textId="60C0AFB2" w:rsidR="000E1548" w:rsidRDefault="000E1548" w:rsidP="00C61A4C">
      <w:pPr>
        <w:spacing w:line="240" w:lineRule="auto"/>
        <w:rPr>
          <w:rFonts w:cs="Times New Roman"/>
        </w:rPr>
      </w:pPr>
      <w:r>
        <w:rPr>
          <w:rFonts w:cs="Times New Roman"/>
        </w:rPr>
        <w:t>Chiswick, Barry R</w:t>
      </w:r>
      <w:r w:rsidR="00DA2D6F">
        <w:rPr>
          <w:rFonts w:cs="Times New Roman"/>
        </w:rPr>
        <w:t>.</w:t>
      </w:r>
      <w:r>
        <w:rPr>
          <w:rFonts w:cs="Times New Roman"/>
        </w:rPr>
        <w:t xml:space="preserve"> (1978). “The Effect of Americanization on the Earnings of Foreign-Born Men.” </w:t>
      </w:r>
      <w:r>
        <w:rPr>
          <w:rFonts w:cs="Times New Roman"/>
          <w:i/>
        </w:rPr>
        <w:t xml:space="preserve">Journal of Political Economy </w:t>
      </w:r>
      <w:r>
        <w:rPr>
          <w:rFonts w:cs="Times New Roman"/>
        </w:rPr>
        <w:t>86:5, pp. 897-921.</w:t>
      </w:r>
    </w:p>
    <w:p w14:paraId="3ECF8E7D" w14:textId="77777777" w:rsidR="00AD7235" w:rsidRPr="00DA2D6F" w:rsidRDefault="00AD7235" w:rsidP="00C61A4C">
      <w:pPr>
        <w:spacing w:line="240" w:lineRule="auto"/>
        <w:rPr>
          <w:rFonts w:cs="Times New Roman"/>
        </w:rPr>
      </w:pPr>
    </w:p>
    <w:p w14:paraId="23BDD7E9" w14:textId="6C6166C0" w:rsidR="00BA320D" w:rsidRPr="00DA2D6F" w:rsidRDefault="00BA320D" w:rsidP="00C61A4C">
      <w:pPr>
        <w:spacing w:line="240" w:lineRule="auto"/>
        <w:rPr>
          <w:rFonts w:cs="Times New Roman"/>
        </w:rPr>
      </w:pPr>
      <w:r w:rsidRPr="00DA2D6F">
        <w:rPr>
          <w:rFonts w:cs="Times New Roman"/>
        </w:rPr>
        <w:t>Cohn, Raymond L. (</w:t>
      </w:r>
      <w:r w:rsidR="00DA2D6F" w:rsidRPr="00DA2D6F">
        <w:rPr>
          <w:rFonts w:cs="Times New Roman"/>
        </w:rPr>
        <w:t>1995</w:t>
      </w:r>
      <w:r w:rsidRPr="00DA2D6F">
        <w:rPr>
          <w:rFonts w:cs="Times New Roman"/>
        </w:rPr>
        <w:t>).</w:t>
      </w:r>
      <w:r w:rsidR="00DA2D6F" w:rsidRPr="00DA2D6F">
        <w:rPr>
          <w:rFonts w:cs="Times New Roman"/>
        </w:rPr>
        <w:t xml:space="preserve"> “Occupational Evidence on the Causes of Immigration to the United States, 1836-1853.” </w:t>
      </w:r>
      <w:r w:rsidR="00DA2D6F" w:rsidRPr="00DA2D6F">
        <w:rPr>
          <w:rFonts w:cs="Times New Roman"/>
          <w:i/>
        </w:rPr>
        <w:t>Explorations in Economic History</w:t>
      </w:r>
      <w:r w:rsidR="00DA2D6F" w:rsidRPr="00DA2D6F">
        <w:rPr>
          <w:rFonts w:cs="Times New Roman"/>
        </w:rPr>
        <w:t xml:space="preserve"> 32, pp. 383-408.</w:t>
      </w:r>
    </w:p>
    <w:p w14:paraId="4510C209" w14:textId="77777777" w:rsidR="00BA320D" w:rsidRDefault="00BA320D" w:rsidP="00C61A4C">
      <w:pPr>
        <w:spacing w:line="240" w:lineRule="auto"/>
        <w:rPr>
          <w:rFonts w:cs="Times New Roman"/>
        </w:rPr>
      </w:pPr>
    </w:p>
    <w:p w14:paraId="3B9A3417" w14:textId="527E8672" w:rsidR="00AD7235" w:rsidRDefault="00AD7235" w:rsidP="00C61A4C">
      <w:pPr>
        <w:spacing w:line="240" w:lineRule="auto"/>
        <w:rPr>
          <w:rFonts w:cs="Times New Roman"/>
        </w:rPr>
      </w:pPr>
      <w:r>
        <w:rPr>
          <w:rFonts w:cs="Times New Roman"/>
        </w:rPr>
        <w:t xml:space="preserve">Cohn, Raymond L. (2009). </w:t>
      </w:r>
      <w:r>
        <w:rPr>
          <w:rFonts w:cs="Times New Roman"/>
          <w:i/>
        </w:rPr>
        <w:t>Mass Migration Under Sail: European Immigration to the Antebellum United States</w:t>
      </w:r>
      <w:r>
        <w:rPr>
          <w:rFonts w:cs="Times New Roman"/>
        </w:rPr>
        <w:t>. Cambridge: Cambridge University Press.</w:t>
      </w:r>
    </w:p>
    <w:p w14:paraId="793D0BA3" w14:textId="77777777" w:rsidR="001A0286" w:rsidRDefault="001A0286" w:rsidP="00C61A4C">
      <w:pPr>
        <w:spacing w:line="240" w:lineRule="auto"/>
        <w:rPr>
          <w:rFonts w:cs="Times New Roman"/>
        </w:rPr>
      </w:pPr>
    </w:p>
    <w:p w14:paraId="35F45545" w14:textId="233789AB" w:rsidR="001A0286" w:rsidRDefault="00E22F21" w:rsidP="00C61A4C">
      <w:pPr>
        <w:spacing w:line="240" w:lineRule="auto"/>
        <w:rPr>
          <w:rFonts w:cs="Times New Roman"/>
        </w:rPr>
      </w:pPr>
      <w:r>
        <w:rPr>
          <w:rFonts w:cs="Times New Roman"/>
        </w:rPr>
        <w:t>Collins, William J. and Ma</w:t>
      </w:r>
      <w:r w:rsidR="001A0286">
        <w:rPr>
          <w:rFonts w:cs="Times New Roman"/>
        </w:rPr>
        <w:t>ria</w:t>
      </w:r>
      <w:r>
        <w:rPr>
          <w:rFonts w:cs="Times New Roman"/>
        </w:rPr>
        <w:t>n</w:t>
      </w:r>
      <w:r w:rsidR="001A0286">
        <w:rPr>
          <w:rFonts w:cs="Times New Roman"/>
        </w:rPr>
        <w:t>ne H. Wanamaker (2017). “Up from Slavery? African American Intergenerational Mobility since 1880.” NBER Working Paper 23395</w:t>
      </w:r>
      <w:r w:rsidR="00BA2280">
        <w:rPr>
          <w:rFonts w:cs="Times New Roman"/>
        </w:rPr>
        <w:t>.</w:t>
      </w:r>
    </w:p>
    <w:p w14:paraId="77681439" w14:textId="77777777" w:rsidR="00D07B49" w:rsidRDefault="00D07B49" w:rsidP="00C61A4C">
      <w:pPr>
        <w:spacing w:line="240" w:lineRule="auto"/>
        <w:rPr>
          <w:rFonts w:cs="Times New Roman"/>
        </w:rPr>
      </w:pPr>
    </w:p>
    <w:p w14:paraId="6EDCB355" w14:textId="1BD53FAD" w:rsidR="00D07B49" w:rsidRPr="00210237" w:rsidRDefault="00D07B49" w:rsidP="00C61A4C">
      <w:pPr>
        <w:spacing w:line="240" w:lineRule="auto"/>
        <w:rPr>
          <w:rFonts w:cs="Times New Roman"/>
        </w:rPr>
      </w:pPr>
      <w:r>
        <w:rPr>
          <w:rFonts w:cs="Times New Roman"/>
        </w:rPr>
        <w:t xml:space="preserve">Commissioners </w:t>
      </w:r>
      <w:r w:rsidR="00210237">
        <w:rPr>
          <w:rFonts w:cs="Times New Roman"/>
        </w:rPr>
        <w:t xml:space="preserve">Appointed to Take the Census of Ireland </w:t>
      </w:r>
      <w:r>
        <w:rPr>
          <w:rFonts w:cs="Times New Roman"/>
        </w:rPr>
        <w:t>(1843</w:t>
      </w:r>
      <w:r w:rsidR="00210237">
        <w:rPr>
          <w:rFonts w:cs="Times New Roman"/>
        </w:rPr>
        <w:t xml:space="preserve">). </w:t>
      </w:r>
      <w:r w:rsidR="00210237">
        <w:rPr>
          <w:rFonts w:cs="Times New Roman"/>
          <w:i/>
        </w:rPr>
        <w:t xml:space="preserve">Report of the Commissioners Appointed to Take the Census of Ireland for the Year 1841. </w:t>
      </w:r>
      <w:r w:rsidR="00257325">
        <w:rPr>
          <w:rFonts w:cs="Times New Roman"/>
        </w:rPr>
        <w:t>Dublin: Alexander Thom.</w:t>
      </w:r>
    </w:p>
    <w:p w14:paraId="00C00E8B" w14:textId="77777777" w:rsidR="00C62ABB" w:rsidRDefault="00C62ABB" w:rsidP="00C61A4C">
      <w:pPr>
        <w:spacing w:line="240" w:lineRule="auto"/>
        <w:rPr>
          <w:rFonts w:cs="Times New Roman"/>
        </w:rPr>
      </w:pPr>
    </w:p>
    <w:p w14:paraId="62FAAE3B" w14:textId="69ACE6BA" w:rsidR="00C62ABB" w:rsidRPr="00C62ABB" w:rsidRDefault="00C62ABB" w:rsidP="00C61A4C">
      <w:pPr>
        <w:spacing w:line="240" w:lineRule="auto"/>
        <w:rPr>
          <w:rFonts w:cs="Times New Roman"/>
        </w:rPr>
      </w:pPr>
      <w:r>
        <w:rPr>
          <w:rFonts w:cs="Times New Roman"/>
        </w:rPr>
        <w:t>Connor, Dylan S. (201</w:t>
      </w:r>
      <w:r w:rsidR="00284CB3">
        <w:rPr>
          <w:rFonts w:cs="Times New Roman"/>
        </w:rPr>
        <w:t>9</w:t>
      </w:r>
      <w:r>
        <w:rPr>
          <w:rFonts w:cs="Times New Roman"/>
        </w:rPr>
        <w:t xml:space="preserve">). “The Cream of the Crop? Geography, Networks, and Irish Migrant Selection in the Age of Mass Migration.” </w:t>
      </w:r>
      <w:r>
        <w:rPr>
          <w:rFonts w:cs="Times New Roman"/>
          <w:i/>
        </w:rPr>
        <w:t>Journal of Economic History</w:t>
      </w:r>
      <w:r>
        <w:rPr>
          <w:rFonts w:cs="Times New Roman"/>
        </w:rPr>
        <w:t xml:space="preserve"> Forthcoming.</w:t>
      </w:r>
    </w:p>
    <w:p w14:paraId="6AB9ABD9" w14:textId="77777777" w:rsidR="00220C59" w:rsidRPr="00F03CA2" w:rsidRDefault="00220C59" w:rsidP="00C61A4C">
      <w:pPr>
        <w:spacing w:line="240" w:lineRule="auto"/>
        <w:rPr>
          <w:rFonts w:cs="Times New Roman"/>
        </w:rPr>
      </w:pPr>
    </w:p>
    <w:p w14:paraId="7C60AA7B" w14:textId="73298511" w:rsidR="00047225" w:rsidRDefault="00047225" w:rsidP="00C61A4C">
      <w:pPr>
        <w:spacing w:line="240" w:lineRule="auto"/>
        <w:rPr>
          <w:rFonts w:cs="Times New Roman"/>
        </w:rPr>
      </w:pPr>
      <w:r w:rsidRPr="00F03CA2">
        <w:rPr>
          <w:rFonts w:cs="Times New Roman"/>
        </w:rPr>
        <w:t xml:space="preserve">Cortes, Kalena E. (2004). “Are Refugees Different from Economic Immigrants? Some Empirical Evidence on the Heterogeneity of Immigrant Groups in the United States.” </w:t>
      </w:r>
      <w:r w:rsidRPr="00F03CA2">
        <w:rPr>
          <w:rFonts w:cs="Times New Roman"/>
          <w:i/>
        </w:rPr>
        <w:t>Review of Economics and Statistics</w:t>
      </w:r>
      <w:r w:rsidRPr="00F03CA2">
        <w:rPr>
          <w:rFonts w:cs="Times New Roman"/>
        </w:rPr>
        <w:t xml:space="preserve"> 86:2, pp. 465-480.</w:t>
      </w:r>
    </w:p>
    <w:p w14:paraId="21926F66" w14:textId="77777777" w:rsidR="00850457" w:rsidRDefault="00850457" w:rsidP="00C61A4C">
      <w:pPr>
        <w:spacing w:line="240" w:lineRule="auto"/>
        <w:rPr>
          <w:rFonts w:cs="Times New Roman"/>
        </w:rPr>
      </w:pPr>
    </w:p>
    <w:p w14:paraId="09C863FD" w14:textId="496A1225" w:rsidR="00850457" w:rsidRDefault="00850457" w:rsidP="00C61A4C">
      <w:pPr>
        <w:spacing w:line="240" w:lineRule="auto"/>
        <w:rPr>
          <w:rFonts w:cs="Times New Roman"/>
        </w:rPr>
      </w:pPr>
      <w:r>
        <w:rPr>
          <w:rFonts w:cs="Times New Roman"/>
        </w:rPr>
        <w:t xml:space="preserve">Cutler, David M., Edward L. Glaeser, and Jacob L. Vigdor (2008). “When Are Ghettos Bad? Lessons from Immigrant Segregation in the United States.” </w:t>
      </w:r>
      <w:r>
        <w:rPr>
          <w:rFonts w:cs="Times New Roman"/>
          <w:i/>
        </w:rPr>
        <w:t xml:space="preserve">Journal of Urban Economics </w:t>
      </w:r>
      <w:r>
        <w:rPr>
          <w:rFonts w:cs="Times New Roman"/>
        </w:rPr>
        <w:t>63, pp. 759-774.</w:t>
      </w:r>
    </w:p>
    <w:p w14:paraId="06174941" w14:textId="77777777" w:rsidR="00AB3972" w:rsidRDefault="00AB3972" w:rsidP="00C61A4C">
      <w:pPr>
        <w:spacing w:line="240" w:lineRule="auto"/>
        <w:rPr>
          <w:rFonts w:cs="Times New Roman"/>
        </w:rPr>
      </w:pPr>
    </w:p>
    <w:p w14:paraId="4661FB2F" w14:textId="44951414" w:rsidR="00AB3972" w:rsidRPr="00AB3972" w:rsidRDefault="00AB3972" w:rsidP="00C61A4C">
      <w:pPr>
        <w:spacing w:line="240" w:lineRule="auto"/>
        <w:rPr>
          <w:rFonts w:cs="Times New Roman"/>
        </w:rPr>
      </w:pPr>
      <w:r>
        <w:rPr>
          <w:rFonts w:cs="Times New Roman"/>
        </w:rPr>
        <w:t xml:space="preserve">Damm, Anna Piil (2009). “Ethnic Enclaves and Immigrant Labor Market Outcomes: Quasi-Experimental Evidence.” </w:t>
      </w:r>
      <w:r>
        <w:rPr>
          <w:rFonts w:cs="Times New Roman"/>
          <w:i/>
        </w:rPr>
        <w:t>Journal of Labor Economics</w:t>
      </w:r>
      <w:r>
        <w:rPr>
          <w:rFonts w:cs="Times New Roman"/>
        </w:rPr>
        <w:t xml:space="preserve"> 27:2, </w:t>
      </w:r>
      <w:r w:rsidR="00C00E2F">
        <w:rPr>
          <w:rFonts w:cs="Times New Roman"/>
        </w:rPr>
        <w:t xml:space="preserve">pp. </w:t>
      </w:r>
      <w:r>
        <w:rPr>
          <w:rFonts w:cs="Times New Roman"/>
        </w:rPr>
        <w:t>281-314.</w:t>
      </w:r>
    </w:p>
    <w:p w14:paraId="354C1779" w14:textId="77777777" w:rsidR="00095496" w:rsidRDefault="00095496" w:rsidP="00C61A4C">
      <w:pPr>
        <w:spacing w:line="240" w:lineRule="auto"/>
        <w:rPr>
          <w:rFonts w:cs="Times New Roman"/>
        </w:rPr>
      </w:pPr>
    </w:p>
    <w:p w14:paraId="432D420B" w14:textId="437A9E15" w:rsidR="00095496" w:rsidRDefault="00095496" w:rsidP="00C61A4C">
      <w:pPr>
        <w:spacing w:line="240" w:lineRule="auto"/>
        <w:rPr>
          <w:rFonts w:cs="Times New Roman"/>
          <w:i/>
        </w:rPr>
      </w:pPr>
      <w:r>
        <w:rPr>
          <w:rFonts w:cs="Times New Roman"/>
        </w:rPr>
        <w:t xml:space="preserve">Delaney, Enda (2015). “Refugee Crisis Has Chilling Parallels with the Famine Years.” </w:t>
      </w:r>
      <w:r>
        <w:rPr>
          <w:rFonts w:cs="Times New Roman"/>
          <w:i/>
        </w:rPr>
        <w:t>Irish Times.</w:t>
      </w:r>
    </w:p>
    <w:p w14:paraId="3DD034F4" w14:textId="77777777" w:rsidR="00885C40" w:rsidRDefault="00885C40" w:rsidP="00C61A4C">
      <w:pPr>
        <w:spacing w:line="240" w:lineRule="auto"/>
        <w:rPr>
          <w:rFonts w:cs="Times New Roman"/>
        </w:rPr>
      </w:pPr>
    </w:p>
    <w:p w14:paraId="056D8E4B" w14:textId="69D88DD8" w:rsidR="00510F44" w:rsidRDefault="00510F44" w:rsidP="00C61A4C">
      <w:pPr>
        <w:spacing w:line="240" w:lineRule="auto"/>
        <w:rPr>
          <w:rFonts w:cs="Times New Roman"/>
        </w:rPr>
      </w:pPr>
      <w:r>
        <w:rPr>
          <w:rFonts w:cs="Times New Roman"/>
        </w:rPr>
        <w:t>Edin,</w:t>
      </w:r>
      <w:r w:rsidR="00B63B63">
        <w:rPr>
          <w:rFonts w:cs="Times New Roman"/>
        </w:rPr>
        <w:t xml:space="preserve"> Per-Anders, Peter</w:t>
      </w:r>
      <w:r>
        <w:rPr>
          <w:rFonts w:cs="Times New Roman"/>
        </w:rPr>
        <w:t xml:space="preserve"> Fredriksson, and </w:t>
      </w:r>
      <w:r w:rsidR="00B63B63">
        <w:rPr>
          <w:rFonts w:cs="Times New Roman"/>
        </w:rPr>
        <w:t xml:space="preserve">Olof </w:t>
      </w:r>
      <w:r>
        <w:rPr>
          <w:rFonts w:cs="Times New Roman"/>
        </w:rPr>
        <w:t xml:space="preserve">Åslund </w:t>
      </w:r>
      <w:r w:rsidR="00B63B63">
        <w:rPr>
          <w:rFonts w:cs="Times New Roman"/>
        </w:rPr>
        <w:t>(</w:t>
      </w:r>
      <w:r>
        <w:rPr>
          <w:rFonts w:cs="Times New Roman"/>
        </w:rPr>
        <w:t>2003</w:t>
      </w:r>
      <w:r w:rsidR="00B63B63">
        <w:rPr>
          <w:rFonts w:cs="Times New Roman"/>
        </w:rPr>
        <w:t xml:space="preserve">).  “Ethnic Enclaves and the Economic Success of Immigrants—Evidence from a Natural Experiment.” </w:t>
      </w:r>
      <w:r w:rsidR="00B63B63" w:rsidRPr="00B63B63">
        <w:rPr>
          <w:rFonts w:cs="Times New Roman"/>
          <w:i/>
        </w:rPr>
        <w:t>Quarterly Journal of Economics</w:t>
      </w:r>
      <w:r w:rsidR="00DB04E9">
        <w:rPr>
          <w:rFonts w:cs="Times New Roman"/>
        </w:rPr>
        <w:t xml:space="preserve"> 118:</w:t>
      </w:r>
      <w:r w:rsidR="00B63B63">
        <w:rPr>
          <w:rFonts w:cs="Times New Roman"/>
        </w:rPr>
        <w:t>1, pp. 329-357.</w:t>
      </w:r>
    </w:p>
    <w:p w14:paraId="489B35D8" w14:textId="77777777" w:rsidR="00510F44" w:rsidRDefault="00510F44" w:rsidP="00C61A4C">
      <w:pPr>
        <w:spacing w:line="240" w:lineRule="auto"/>
        <w:rPr>
          <w:rFonts w:cs="Times New Roman"/>
        </w:rPr>
      </w:pPr>
    </w:p>
    <w:p w14:paraId="5487AA98" w14:textId="649178FA" w:rsidR="00005CD9" w:rsidRDefault="00005CD9" w:rsidP="00C61A4C">
      <w:pPr>
        <w:spacing w:line="240" w:lineRule="auto"/>
        <w:rPr>
          <w:rFonts w:cs="Times New Roman"/>
        </w:rPr>
      </w:pPr>
      <w:r>
        <w:rPr>
          <w:rFonts w:cs="Times New Roman"/>
        </w:rPr>
        <w:t>Eriksson, Katherine (2018). “Ethnic Enclaves and Immigrant Outcomes: Norwegian Immigrants during the Age of Mass Migration.” NBER Working Paper 24763.</w:t>
      </w:r>
    </w:p>
    <w:p w14:paraId="73A85A10" w14:textId="77777777" w:rsidR="00005CD9" w:rsidRDefault="00005CD9" w:rsidP="00C61A4C">
      <w:pPr>
        <w:spacing w:line="240" w:lineRule="auto"/>
        <w:rPr>
          <w:rFonts w:cs="Times New Roman"/>
        </w:rPr>
      </w:pPr>
    </w:p>
    <w:p w14:paraId="778C46D5" w14:textId="2EAAD887" w:rsidR="00885C40" w:rsidRPr="001D03B1" w:rsidRDefault="00885C40" w:rsidP="00C61A4C">
      <w:pPr>
        <w:spacing w:line="240" w:lineRule="auto"/>
        <w:rPr>
          <w:rFonts w:cs="Times New Roman"/>
        </w:rPr>
      </w:pPr>
      <w:r>
        <w:rPr>
          <w:rFonts w:cs="Times New Roman"/>
        </w:rPr>
        <w:t>Ernst</w:t>
      </w:r>
      <w:r w:rsidR="006E44B1">
        <w:rPr>
          <w:rFonts w:cs="Times New Roman"/>
        </w:rPr>
        <w:t>, Robert</w:t>
      </w:r>
      <w:r>
        <w:rPr>
          <w:rFonts w:cs="Times New Roman"/>
        </w:rPr>
        <w:t xml:space="preserve"> (1949)</w:t>
      </w:r>
      <w:r w:rsidR="006E44B1">
        <w:rPr>
          <w:rFonts w:cs="Times New Roman"/>
        </w:rPr>
        <w:t xml:space="preserve">. </w:t>
      </w:r>
      <w:r w:rsidR="006E44B1" w:rsidRPr="006E44B1">
        <w:rPr>
          <w:rFonts w:cs="Times New Roman"/>
          <w:i/>
        </w:rPr>
        <w:t>Immigrant Life in New York City, 1825-1863</w:t>
      </w:r>
      <w:r w:rsidR="006E44B1">
        <w:rPr>
          <w:rFonts w:cs="Times New Roman"/>
        </w:rPr>
        <w:t>. Syracuse, NY: Syracuse University Press.</w:t>
      </w:r>
    </w:p>
    <w:p w14:paraId="253D5303" w14:textId="77777777" w:rsidR="00111BF1" w:rsidRPr="00F03CA2" w:rsidRDefault="00111BF1" w:rsidP="00C61A4C">
      <w:pPr>
        <w:spacing w:line="240" w:lineRule="auto"/>
        <w:rPr>
          <w:rFonts w:cs="Times New Roman"/>
        </w:rPr>
      </w:pPr>
    </w:p>
    <w:p w14:paraId="2E179EA4" w14:textId="2B7E6DB8" w:rsidR="000F644B" w:rsidRDefault="00111BF1" w:rsidP="00C61A4C">
      <w:pPr>
        <w:spacing w:line="240" w:lineRule="auto"/>
        <w:rPr>
          <w:rFonts w:cs="Times New Roman"/>
        </w:rPr>
      </w:pPr>
      <w:r w:rsidRPr="00F03CA2">
        <w:rPr>
          <w:rFonts w:cs="Times New Roman"/>
        </w:rPr>
        <w:t>Evans, William N. and Daniel Fitzgerald (2017). “The Economic and Social Outcomes of Refugees: Evidence from the ACS.” NBER Working Paper 23498.</w:t>
      </w:r>
    </w:p>
    <w:p w14:paraId="489F4E7B" w14:textId="5F2484E2" w:rsidR="001C64AB" w:rsidRPr="00BA320D" w:rsidRDefault="001C64AB" w:rsidP="00C61A4C">
      <w:pPr>
        <w:spacing w:line="240" w:lineRule="auto"/>
        <w:rPr>
          <w:rFonts w:cs="Times New Roman"/>
          <w:color w:val="0000FF"/>
        </w:rPr>
      </w:pPr>
    </w:p>
    <w:p w14:paraId="22929EE6" w14:textId="23B976EF" w:rsidR="001C64AB" w:rsidRPr="00C5672A" w:rsidRDefault="001C64AB" w:rsidP="00C61A4C">
      <w:pPr>
        <w:spacing w:line="240" w:lineRule="auto"/>
        <w:rPr>
          <w:rFonts w:cs="Times New Roman"/>
        </w:rPr>
      </w:pPr>
      <w:r w:rsidRPr="00C5672A">
        <w:rPr>
          <w:rFonts w:cs="Times New Roman"/>
        </w:rPr>
        <w:t xml:space="preserve">Feigenbaum, James J. (2018). “Multiple Measures of Historical Intergenerational Mobility: Iowa 1915 to 1940.” </w:t>
      </w:r>
      <w:r w:rsidRPr="00C5672A">
        <w:rPr>
          <w:rFonts w:cs="Times New Roman"/>
          <w:i/>
        </w:rPr>
        <w:t xml:space="preserve">Economic Journal </w:t>
      </w:r>
      <w:r w:rsidRPr="00C5672A">
        <w:rPr>
          <w:rFonts w:cs="Times New Roman"/>
        </w:rPr>
        <w:t>128, pp. F446-F481.</w:t>
      </w:r>
    </w:p>
    <w:p w14:paraId="47144951" w14:textId="77777777" w:rsidR="008B2E70" w:rsidRDefault="008B2E70" w:rsidP="00C61A4C">
      <w:pPr>
        <w:spacing w:line="240" w:lineRule="auto"/>
        <w:rPr>
          <w:rFonts w:cs="Times New Roman"/>
        </w:rPr>
      </w:pPr>
    </w:p>
    <w:p w14:paraId="704D7DB1" w14:textId="7A0BFF48" w:rsidR="008B2E70" w:rsidRPr="008B2E70" w:rsidRDefault="008B2E70" w:rsidP="00C61A4C">
      <w:pPr>
        <w:spacing w:line="240" w:lineRule="auto"/>
        <w:rPr>
          <w:rFonts w:cs="Times New Roman"/>
        </w:rPr>
      </w:pPr>
      <w:r>
        <w:rPr>
          <w:rFonts w:cs="Times New Roman"/>
        </w:rPr>
        <w:t xml:space="preserve">Ferenczi, Imre and Walter F. Wilcox (1929). </w:t>
      </w:r>
      <w:r>
        <w:rPr>
          <w:rFonts w:cs="Times New Roman"/>
          <w:i/>
        </w:rPr>
        <w:t>International Migrations</w:t>
      </w:r>
      <w:r>
        <w:rPr>
          <w:rFonts w:cs="Times New Roman"/>
        </w:rPr>
        <w:t>. New York: National Bureau of Economic Research.</w:t>
      </w:r>
    </w:p>
    <w:p w14:paraId="6998A6F8" w14:textId="77777777" w:rsidR="00F230C0" w:rsidRPr="00F03CA2" w:rsidRDefault="00F230C0" w:rsidP="00C61A4C">
      <w:pPr>
        <w:spacing w:line="240" w:lineRule="auto"/>
        <w:rPr>
          <w:rFonts w:cs="Times New Roman"/>
        </w:rPr>
      </w:pPr>
    </w:p>
    <w:p w14:paraId="7BDD5E79" w14:textId="51C5B426" w:rsidR="00F230C0" w:rsidRPr="00F03CA2" w:rsidRDefault="00F230C0" w:rsidP="00C61A4C">
      <w:pPr>
        <w:spacing w:line="240" w:lineRule="auto"/>
        <w:rPr>
          <w:rFonts w:cs="Times New Roman"/>
        </w:rPr>
      </w:pPr>
      <w:r w:rsidRPr="00F03CA2">
        <w:rPr>
          <w:rFonts w:cs="Times New Roman"/>
        </w:rPr>
        <w:t>Ferrie, Joseph P. (1994). “The Wealth Accumulation of Antebellum</w:t>
      </w:r>
      <w:r w:rsidR="007E4EF9" w:rsidRPr="00F03CA2">
        <w:rPr>
          <w:rFonts w:cs="Times New Roman"/>
        </w:rPr>
        <w:t xml:space="preserve"> </w:t>
      </w:r>
      <w:r w:rsidRPr="00F03CA2">
        <w:rPr>
          <w:rFonts w:cs="Times New Roman"/>
        </w:rPr>
        <w:t xml:space="preserve">European Immigrants to the US, 1840–60.” </w:t>
      </w:r>
      <w:r w:rsidRPr="00F03CA2">
        <w:rPr>
          <w:rFonts w:cs="Times New Roman"/>
          <w:i/>
          <w:iCs/>
        </w:rPr>
        <w:t>Journal of Economic</w:t>
      </w:r>
      <w:r w:rsidR="007E4EF9" w:rsidRPr="00F03CA2">
        <w:rPr>
          <w:rFonts w:cs="Times New Roman"/>
          <w:i/>
          <w:iCs/>
        </w:rPr>
        <w:t xml:space="preserve"> </w:t>
      </w:r>
      <w:r w:rsidRPr="00F03CA2">
        <w:rPr>
          <w:rFonts w:cs="Times New Roman"/>
          <w:i/>
          <w:iCs/>
        </w:rPr>
        <w:t xml:space="preserve">History </w:t>
      </w:r>
      <w:r w:rsidRPr="00F03CA2">
        <w:rPr>
          <w:rFonts w:cs="Times New Roman"/>
        </w:rPr>
        <w:t>54:1, pp. 1–33.</w:t>
      </w:r>
    </w:p>
    <w:p w14:paraId="204A6471" w14:textId="77777777" w:rsidR="00F230C0" w:rsidRPr="00F03CA2" w:rsidRDefault="00F230C0" w:rsidP="00C61A4C">
      <w:pPr>
        <w:spacing w:line="240" w:lineRule="auto"/>
        <w:rPr>
          <w:rFonts w:cs="Times New Roman"/>
        </w:rPr>
      </w:pPr>
    </w:p>
    <w:p w14:paraId="048417F5" w14:textId="56570EA2" w:rsidR="00F230C0" w:rsidRDefault="00F230C0" w:rsidP="00C61A4C">
      <w:pPr>
        <w:spacing w:line="240" w:lineRule="auto"/>
        <w:rPr>
          <w:rFonts w:cs="Times New Roman"/>
        </w:rPr>
      </w:pPr>
      <w:r w:rsidRPr="00F03CA2">
        <w:rPr>
          <w:rFonts w:cs="Times New Roman"/>
        </w:rPr>
        <w:t>Ferrie, Joseph P. (1995). “Up and Out or Down and Out? Immigrant</w:t>
      </w:r>
      <w:r w:rsidR="007E4EF9" w:rsidRPr="00F03CA2">
        <w:rPr>
          <w:rFonts w:cs="Times New Roman"/>
        </w:rPr>
        <w:t xml:space="preserve"> </w:t>
      </w:r>
      <w:r w:rsidRPr="00F03CA2">
        <w:rPr>
          <w:rFonts w:cs="Times New Roman"/>
        </w:rPr>
        <w:t xml:space="preserve">Mobility in the Antebellum United States.” </w:t>
      </w:r>
      <w:r w:rsidRPr="00F03CA2">
        <w:rPr>
          <w:rFonts w:cs="Times New Roman"/>
          <w:i/>
          <w:iCs/>
        </w:rPr>
        <w:t>Journal of Interdisciplinary</w:t>
      </w:r>
      <w:r w:rsidR="007E4EF9" w:rsidRPr="00F03CA2">
        <w:rPr>
          <w:rFonts w:cs="Times New Roman"/>
          <w:i/>
          <w:iCs/>
        </w:rPr>
        <w:t xml:space="preserve"> </w:t>
      </w:r>
      <w:r w:rsidRPr="00F03CA2">
        <w:rPr>
          <w:rFonts w:cs="Times New Roman"/>
          <w:i/>
          <w:iCs/>
        </w:rPr>
        <w:t xml:space="preserve">History </w:t>
      </w:r>
      <w:r w:rsidRPr="00F03CA2">
        <w:rPr>
          <w:rFonts w:cs="Times New Roman"/>
        </w:rPr>
        <w:t>26:1, pp. 33–55.</w:t>
      </w:r>
    </w:p>
    <w:p w14:paraId="0ACF261A" w14:textId="77777777" w:rsidR="00977ACB" w:rsidRDefault="00977ACB" w:rsidP="00C61A4C">
      <w:pPr>
        <w:spacing w:line="240" w:lineRule="auto"/>
        <w:rPr>
          <w:rFonts w:cs="Times New Roman"/>
        </w:rPr>
      </w:pPr>
    </w:p>
    <w:p w14:paraId="47F57036" w14:textId="1161B9CA" w:rsidR="00977ACB" w:rsidRPr="00977ACB" w:rsidRDefault="00977ACB" w:rsidP="00C61A4C">
      <w:pPr>
        <w:spacing w:line="240" w:lineRule="auto"/>
        <w:rPr>
          <w:rFonts w:cs="Times New Roman"/>
        </w:rPr>
      </w:pPr>
      <w:r>
        <w:rPr>
          <w:rFonts w:cs="Times New Roman"/>
        </w:rPr>
        <w:t xml:space="preserve">Ferrie, Joseph P. (1996). “A New Sample of Males Linked from the Public Use Microdata Sample of the 1850 US Federal Census of Population to the 1860 US Federal Census Manuscript Schedules.” </w:t>
      </w:r>
      <w:r>
        <w:rPr>
          <w:rFonts w:cs="Times New Roman"/>
          <w:i/>
        </w:rPr>
        <w:t>Historical Methods</w:t>
      </w:r>
      <w:r>
        <w:rPr>
          <w:rFonts w:cs="Times New Roman"/>
        </w:rPr>
        <w:t xml:space="preserve"> 29:4, pp. 141-156.</w:t>
      </w:r>
    </w:p>
    <w:p w14:paraId="767E52CC" w14:textId="77777777" w:rsidR="00F230C0" w:rsidRPr="00F03CA2" w:rsidRDefault="00F230C0" w:rsidP="00C61A4C">
      <w:pPr>
        <w:spacing w:line="240" w:lineRule="auto"/>
        <w:rPr>
          <w:rFonts w:cs="Times New Roman"/>
        </w:rPr>
      </w:pPr>
    </w:p>
    <w:p w14:paraId="186DFCB3" w14:textId="25089D80" w:rsidR="00F230C0" w:rsidRDefault="00F230C0" w:rsidP="00C61A4C">
      <w:pPr>
        <w:spacing w:line="240" w:lineRule="auto"/>
        <w:rPr>
          <w:rFonts w:cs="Times New Roman"/>
        </w:rPr>
      </w:pPr>
      <w:r w:rsidRPr="00F03CA2">
        <w:rPr>
          <w:rFonts w:cs="Times New Roman"/>
        </w:rPr>
        <w:t>Ferrie, Joseph P. (1997</w:t>
      </w:r>
      <w:r w:rsidR="005D7A6F">
        <w:rPr>
          <w:rFonts w:cs="Times New Roman"/>
        </w:rPr>
        <w:t>a</w:t>
      </w:r>
      <w:r w:rsidRPr="00F03CA2">
        <w:rPr>
          <w:rFonts w:cs="Times New Roman"/>
        </w:rPr>
        <w:t>). “The Entry into the US Labor Market of</w:t>
      </w:r>
      <w:r w:rsidR="007E4EF9" w:rsidRPr="00F03CA2">
        <w:rPr>
          <w:rFonts w:cs="Times New Roman"/>
        </w:rPr>
        <w:t xml:space="preserve"> </w:t>
      </w:r>
      <w:r w:rsidRPr="00F03CA2">
        <w:rPr>
          <w:rFonts w:cs="Times New Roman"/>
        </w:rPr>
        <w:t xml:space="preserve">Antebellum European Immigrants, 1840–1860.” </w:t>
      </w:r>
      <w:r w:rsidRPr="00F03CA2">
        <w:rPr>
          <w:rFonts w:cs="Times New Roman"/>
          <w:i/>
          <w:iCs/>
        </w:rPr>
        <w:t>Explorations in</w:t>
      </w:r>
      <w:r w:rsidR="007E4EF9" w:rsidRPr="00F03CA2">
        <w:rPr>
          <w:rFonts w:cs="Times New Roman"/>
          <w:i/>
          <w:iCs/>
        </w:rPr>
        <w:t xml:space="preserve"> </w:t>
      </w:r>
      <w:r w:rsidRPr="00F03CA2">
        <w:rPr>
          <w:rFonts w:cs="Times New Roman"/>
          <w:i/>
          <w:iCs/>
        </w:rPr>
        <w:t xml:space="preserve">Economic History </w:t>
      </w:r>
      <w:r w:rsidRPr="00F03CA2">
        <w:rPr>
          <w:rFonts w:cs="Times New Roman"/>
        </w:rPr>
        <w:t>34, pp. 295–330.</w:t>
      </w:r>
    </w:p>
    <w:p w14:paraId="568EF9F6" w14:textId="77777777" w:rsidR="005D7A6F" w:rsidRDefault="005D7A6F" w:rsidP="00C61A4C">
      <w:pPr>
        <w:spacing w:line="240" w:lineRule="auto"/>
        <w:rPr>
          <w:rFonts w:cs="Times New Roman"/>
        </w:rPr>
      </w:pPr>
    </w:p>
    <w:p w14:paraId="461830A0" w14:textId="1BFFE483" w:rsidR="005D7A6F" w:rsidRDefault="005D7A6F" w:rsidP="00C61A4C">
      <w:pPr>
        <w:spacing w:line="240" w:lineRule="auto"/>
        <w:rPr>
          <w:rFonts w:cs="Times New Roman"/>
        </w:rPr>
      </w:pPr>
      <w:r>
        <w:rPr>
          <w:rFonts w:cs="Times New Roman"/>
        </w:rPr>
        <w:t>Ferrie, Joseph P. (1997b). “Migration to the Frontier in Mid-Nineteenth Century America: A Re-Examination of Turner’s ‘Safety Valve.’” Mimeo., Northwestern University.</w:t>
      </w:r>
    </w:p>
    <w:p w14:paraId="42EE2AB7" w14:textId="45E98001" w:rsidR="00EC508D" w:rsidRDefault="00EC508D" w:rsidP="00C61A4C">
      <w:pPr>
        <w:spacing w:line="240" w:lineRule="auto"/>
        <w:rPr>
          <w:rFonts w:cs="Times New Roman"/>
        </w:rPr>
      </w:pPr>
    </w:p>
    <w:p w14:paraId="29E071D1" w14:textId="3A2651C9" w:rsidR="00EC508D" w:rsidRPr="00F03CA2" w:rsidRDefault="00EC508D" w:rsidP="00C61A4C">
      <w:pPr>
        <w:spacing w:line="240" w:lineRule="auto"/>
        <w:rPr>
          <w:rFonts w:cs="Times New Roman"/>
        </w:rPr>
      </w:pPr>
      <w:r>
        <w:rPr>
          <w:rFonts w:cs="Times New Roman"/>
        </w:rPr>
        <w:t>Ferrie, Joseph P. (1997c). “A New View of the Irish in America: Economic Performance and the Impact of Place of Origin, 1850-1920.” Mimeo., Northwestern University.</w:t>
      </w:r>
    </w:p>
    <w:p w14:paraId="3F1DF4E8" w14:textId="77777777" w:rsidR="00F230C0" w:rsidRPr="00F03CA2" w:rsidRDefault="00F230C0" w:rsidP="00C61A4C">
      <w:pPr>
        <w:spacing w:line="240" w:lineRule="auto"/>
        <w:rPr>
          <w:rFonts w:cs="Times New Roman"/>
        </w:rPr>
      </w:pPr>
    </w:p>
    <w:p w14:paraId="2D6B2BB1" w14:textId="6D24018E" w:rsidR="00F230C0" w:rsidRDefault="00F230C0" w:rsidP="00C61A4C">
      <w:pPr>
        <w:spacing w:line="240" w:lineRule="auto"/>
        <w:rPr>
          <w:rFonts w:cs="Times New Roman"/>
        </w:rPr>
      </w:pPr>
      <w:r w:rsidRPr="00F03CA2">
        <w:rPr>
          <w:rFonts w:cs="Times New Roman"/>
        </w:rPr>
        <w:t xml:space="preserve">Ferrie, Joseph </w:t>
      </w:r>
      <w:r w:rsidRPr="00F03CA2">
        <w:rPr>
          <w:rFonts w:cs="Times New Roman"/>
          <w:spacing w:val="-9"/>
        </w:rPr>
        <w:t xml:space="preserve">P. </w:t>
      </w:r>
      <w:r w:rsidRPr="00F03CA2">
        <w:rPr>
          <w:rFonts w:cs="Times New Roman"/>
        </w:rPr>
        <w:t xml:space="preserve">(1999). </w:t>
      </w:r>
      <w:r w:rsidRPr="00F03CA2">
        <w:rPr>
          <w:rFonts w:cs="Times New Roman"/>
          <w:i/>
          <w:iCs/>
          <w:spacing w:val="-4"/>
        </w:rPr>
        <w:t xml:space="preserve">Yankeys </w:t>
      </w:r>
      <w:r w:rsidRPr="00F03CA2">
        <w:rPr>
          <w:rFonts w:cs="Times New Roman"/>
          <w:i/>
          <w:iCs/>
        </w:rPr>
        <w:t>Now: Immigrants in the</w:t>
      </w:r>
      <w:r w:rsidR="007E4EF9" w:rsidRPr="00F03CA2">
        <w:rPr>
          <w:rFonts w:cs="Times New Roman"/>
          <w:i/>
          <w:iCs/>
        </w:rPr>
        <w:t xml:space="preserve"> </w:t>
      </w:r>
      <w:r w:rsidRPr="00F03CA2">
        <w:rPr>
          <w:rFonts w:cs="Times New Roman"/>
          <w:i/>
          <w:iCs/>
        </w:rPr>
        <w:t>Antebellum</w:t>
      </w:r>
      <w:r w:rsidR="007E4EF9" w:rsidRPr="00F03CA2">
        <w:rPr>
          <w:rFonts w:cs="Times New Roman"/>
          <w:i/>
          <w:iCs/>
        </w:rPr>
        <w:t xml:space="preserve"> </w:t>
      </w:r>
      <w:r w:rsidRPr="00F03CA2">
        <w:rPr>
          <w:rFonts w:cs="Times New Roman"/>
          <w:i/>
          <w:iCs/>
        </w:rPr>
        <w:t>United States, 1840–1860</w:t>
      </w:r>
      <w:r w:rsidRPr="00F03CA2">
        <w:rPr>
          <w:rFonts w:cs="Times New Roman"/>
        </w:rPr>
        <w:t>. New York: Oxford University</w:t>
      </w:r>
      <w:r w:rsidR="007E4EF9" w:rsidRPr="00F03CA2">
        <w:rPr>
          <w:rFonts w:cs="Times New Roman"/>
        </w:rPr>
        <w:t xml:space="preserve"> </w:t>
      </w:r>
      <w:r w:rsidRPr="00F03CA2">
        <w:rPr>
          <w:rFonts w:cs="Times New Roman"/>
        </w:rPr>
        <w:t>Press.</w:t>
      </w:r>
    </w:p>
    <w:p w14:paraId="30908367" w14:textId="77777777" w:rsidR="00EA49A6" w:rsidRDefault="00EA49A6" w:rsidP="00C61A4C">
      <w:pPr>
        <w:spacing w:line="240" w:lineRule="auto"/>
        <w:rPr>
          <w:rFonts w:cs="Times New Roman"/>
        </w:rPr>
      </w:pPr>
    </w:p>
    <w:p w14:paraId="330DD71E" w14:textId="1F290355" w:rsidR="00EA49A6" w:rsidRPr="00EA49A6" w:rsidRDefault="00F74EE9" w:rsidP="00C61A4C">
      <w:pPr>
        <w:spacing w:line="240" w:lineRule="auto"/>
        <w:rPr>
          <w:rFonts w:cs="Times New Roman"/>
        </w:rPr>
      </w:pPr>
      <w:r>
        <w:rPr>
          <w:rFonts w:cs="Times New Roman"/>
        </w:rPr>
        <w:t>Geary, Frank (1996</w:t>
      </w:r>
      <w:r w:rsidR="00EA49A6">
        <w:rPr>
          <w:rFonts w:cs="Times New Roman"/>
        </w:rPr>
        <w:t xml:space="preserve">). “Regional Industrial Structure and Labour Force Decline in Ireland between 1841 and 1851.” </w:t>
      </w:r>
      <w:r w:rsidR="00EA49A6">
        <w:rPr>
          <w:rFonts w:cs="Times New Roman"/>
          <w:i/>
        </w:rPr>
        <w:t>Irish Historical Studies</w:t>
      </w:r>
      <w:r w:rsidR="00EA49A6">
        <w:rPr>
          <w:rFonts w:cs="Times New Roman"/>
        </w:rPr>
        <w:t xml:space="preserve"> 30:118</w:t>
      </w:r>
      <w:r w:rsidR="00BA3AD1">
        <w:rPr>
          <w:rFonts w:cs="Times New Roman"/>
        </w:rPr>
        <w:t>,</w:t>
      </w:r>
      <w:r w:rsidR="00EA49A6">
        <w:rPr>
          <w:rFonts w:cs="Times New Roman"/>
        </w:rPr>
        <w:t xml:space="preserve"> pp. 167-194.</w:t>
      </w:r>
    </w:p>
    <w:p w14:paraId="0CDE610B" w14:textId="77777777" w:rsidR="00B63BFF" w:rsidRPr="00F03CA2" w:rsidRDefault="00B63BFF" w:rsidP="00C61A4C">
      <w:pPr>
        <w:spacing w:line="240" w:lineRule="auto"/>
        <w:rPr>
          <w:rFonts w:cs="Times New Roman"/>
        </w:rPr>
      </w:pPr>
    </w:p>
    <w:p w14:paraId="665DB71E" w14:textId="0346792D" w:rsidR="00155D9D" w:rsidRPr="00155D9D" w:rsidRDefault="00155D9D" w:rsidP="00C61A4C">
      <w:pPr>
        <w:spacing w:line="240" w:lineRule="auto"/>
        <w:rPr>
          <w:rFonts w:cs="Times New Roman"/>
        </w:rPr>
      </w:pPr>
      <w:r>
        <w:rPr>
          <w:rFonts w:cs="Times New Roman"/>
        </w:rPr>
        <w:t xml:space="preserve">Gelbach, Jonah B. (2016). “When Do Covariates Matter? And Which Ones, and How Much?” </w:t>
      </w:r>
      <w:r>
        <w:rPr>
          <w:rFonts w:cs="Times New Roman"/>
          <w:i/>
        </w:rPr>
        <w:t xml:space="preserve">Journal of Labor Economics </w:t>
      </w:r>
      <w:r>
        <w:rPr>
          <w:rFonts w:cs="Times New Roman"/>
        </w:rPr>
        <w:t>34:2, pp. 509-543.</w:t>
      </w:r>
    </w:p>
    <w:p w14:paraId="7B494BA2" w14:textId="77777777" w:rsidR="00F230C0" w:rsidRPr="00F03CA2" w:rsidRDefault="00F230C0" w:rsidP="00C61A4C">
      <w:pPr>
        <w:spacing w:line="240" w:lineRule="auto"/>
        <w:rPr>
          <w:rFonts w:cs="Times New Roman"/>
        </w:rPr>
      </w:pPr>
    </w:p>
    <w:p w14:paraId="0ECDF245" w14:textId="43A38571" w:rsidR="00F81004" w:rsidRDefault="00C562C2" w:rsidP="00C61A4C">
      <w:pPr>
        <w:spacing w:line="240" w:lineRule="auto"/>
        <w:rPr>
          <w:rFonts w:cs="Times New Roman"/>
        </w:rPr>
      </w:pPr>
      <w:r>
        <w:rPr>
          <w:rFonts w:cs="Times New Roman"/>
        </w:rPr>
        <w:t xml:space="preserve">Guinnane, Timothy W. (1997). </w:t>
      </w:r>
      <w:r>
        <w:rPr>
          <w:rFonts w:cs="Times New Roman"/>
          <w:i/>
        </w:rPr>
        <w:t>The Vanishing Irish: Households, Migration, and the Rural Economy in Ireland, 1850-1914</w:t>
      </w:r>
      <w:r>
        <w:rPr>
          <w:rFonts w:cs="Times New Roman"/>
        </w:rPr>
        <w:t>. Princeton: Princeton University Press.</w:t>
      </w:r>
    </w:p>
    <w:p w14:paraId="4F696CD5" w14:textId="77777777" w:rsidR="00F768C7" w:rsidRDefault="00F768C7" w:rsidP="00C61A4C">
      <w:pPr>
        <w:spacing w:line="240" w:lineRule="auto"/>
        <w:rPr>
          <w:rFonts w:cs="Times New Roman"/>
        </w:rPr>
      </w:pPr>
    </w:p>
    <w:p w14:paraId="1A810AA0" w14:textId="12E5526B" w:rsidR="00F768C7" w:rsidRDefault="00F768C7" w:rsidP="00C61A4C">
      <w:pPr>
        <w:spacing w:line="240" w:lineRule="auto"/>
        <w:rPr>
          <w:rFonts w:cs="Times New Roman"/>
        </w:rPr>
      </w:pPr>
      <w:r>
        <w:t>Haider, Steven and Gary Solon</w:t>
      </w:r>
      <w:r w:rsidR="007F4DDB">
        <w:t xml:space="preserve"> (</w:t>
      </w:r>
      <w:r>
        <w:t>2006</w:t>
      </w:r>
      <w:r w:rsidR="007F4DDB">
        <w:t>)</w:t>
      </w:r>
      <w:r>
        <w:t xml:space="preserve">. “Life-Cycle Variation in the Association between Current and Lifetime Earnings.” </w:t>
      </w:r>
      <w:r>
        <w:rPr>
          <w:i/>
          <w:iCs/>
        </w:rPr>
        <w:t xml:space="preserve">American Economic Review </w:t>
      </w:r>
      <w:r w:rsidR="000B319B">
        <w:t>96:4, pp.</w:t>
      </w:r>
      <w:r>
        <w:t xml:space="preserve"> 1308-1320.</w:t>
      </w:r>
    </w:p>
    <w:p w14:paraId="25DD4ABD" w14:textId="77777777" w:rsidR="00F0672E" w:rsidRDefault="00F0672E" w:rsidP="00C61A4C">
      <w:pPr>
        <w:spacing w:line="240" w:lineRule="auto"/>
        <w:rPr>
          <w:rFonts w:cs="Times New Roman"/>
        </w:rPr>
      </w:pPr>
    </w:p>
    <w:p w14:paraId="35890CC7" w14:textId="28892C1B" w:rsidR="00F0672E" w:rsidRDefault="00F0672E" w:rsidP="00C61A4C">
      <w:pPr>
        <w:spacing w:line="240" w:lineRule="auto"/>
        <w:rPr>
          <w:rFonts w:cs="Times New Roman"/>
        </w:rPr>
      </w:pPr>
      <w:r>
        <w:rPr>
          <w:rFonts w:cs="Times New Roman"/>
        </w:rPr>
        <w:t>Handlin</w:t>
      </w:r>
      <w:r w:rsidR="00AE7DC5">
        <w:rPr>
          <w:rFonts w:cs="Times New Roman"/>
        </w:rPr>
        <w:t>, Oscar</w:t>
      </w:r>
      <w:r>
        <w:rPr>
          <w:rFonts w:cs="Times New Roman"/>
        </w:rPr>
        <w:t xml:space="preserve"> (1991 [1941])</w:t>
      </w:r>
      <w:r w:rsidR="00AE7DC5">
        <w:rPr>
          <w:rFonts w:cs="Times New Roman"/>
        </w:rPr>
        <w:t xml:space="preserve">. </w:t>
      </w:r>
      <w:r w:rsidR="00AE7DC5" w:rsidRPr="00AE7DC5">
        <w:rPr>
          <w:rFonts w:cs="Times New Roman"/>
          <w:i/>
        </w:rPr>
        <w:t>Boston’s Immigrants, 1790-1880</w:t>
      </w:r>
      <w:r w:rsidR="00AE7DC5">
        <w:rPr>
          <w:rFonts w:cs="Times New Roman"/>
          <w:i/>
        </w:rPr>
        <w:t>: A Study of Acculturation, Revised and Enlarged Edition</w:t>
      </w:r>
      <w:r w:rsidR="00AE7DC5">
        <w:rPr>
          <w:rFonts w:cs="Times New Roman"/>
        </w:rPr>
        <w:t>. Cambridge, MA: Belknap Press.</w:t>
      </w:r>
    </w:p>
    <w:p w14:paraId="2B3C05EF" w14:textId="77777777" w:rsidR="006B2615" w:rsidRDefault="006B2615" w:rsidP="00C61A4C">
      <w:pPr>
        <w:spacing w:line="240" w:lineRule="auto"/>
        <w:rPr>
          <w:rFonts w:cs="Times New Roman"/>
        </w:rPr>
      </w:pPr>
    </w:p>
    <w:p w14:paraId="38BC6C14" w14:textId="16804695" w:rsidR="006B2615" w:rsidRDefault="006B2615" w:rsidP="00C61A4C">
      <w:pPr>
        <w:spacing w:line="240" w:lineRule="auto"/>
        <w:rPr>
          <w:rFonts w:cs="Times New Roman"/>
        </w:rPr>
      </w:pPr>
      <w:r>
        <w:rPr>
          <w:rFonts w:cs="Times New Roman"/>
        </w:rPr>
        <w:t xml:space="preserve">Hatton, Timothy J. (1997). “The Immigrant Assimilation Puzzle in Late Nineteenth-Century America.” </w:t>
      </w:r>
      <w:r>
        <w:rPr>
          <w:rFonts w:cs="Times New Roman"/>
          <w:i/>
        </w:rPr>
        <w:t xml:space="preserve">Journal of Economic History </w:t>
      </w:r>
      <w:r>
        <w:rPr>
          <w:rFonts w:cs="Times New Roman"/>
        </w:rPr>
        <w:t>57:1, pp. 34-62.</w:t>
      </w:r>
    </w:p>
    <w:p w14:paraId="7FCC7F51" w14:textId="77777777" w:rsidR="00DD6CD8" w:rsidRDefault="00DD6CD8" w:rsidP="00C61A4C">
      <w:pPr>
        <w:spacing w:line="240" w:lineRule="auto"/>
        <w:rPr>
          <w:rFonts w:cs="Times New Roman"/>
        </w:rPr>
      </w:pPr>
    </w:p>
    <w:p w14:paraId="633D3C83" w14:textId="2B02195F" w:rsidR="00DD6CD8" w:rsidRDefault="00DD6CD8" w:rsidP="00C61A4C">
      <w:pPr>
        <w:spacing w:line="240" w:lineRule="auto"/>
        <w:rPr>
          <w:rFonts w:cs="Times New Roman"/>
        </w:rPr>
      </w:pPr>
      <w:r>
        <w:rPr>
          <w:rFonts w:cs="Times New Roman"/>
        </w:rPr>
        <w:t>Hatton, Timothy J. (2012). “Refugee and Asylum Migration to the OECD: A Short Overview.” IZA Discussion Paper 7004.</w:t>
      </w:r>
    </w:p>
    <w:p w14:paraId="4EBC89BD" w14:textId="77777777" w:rsidR="00D05EE2" w:rsidRDefault="00D05EE2" w:rsidP="00C61A4C">
      <w:pPr>
        <w:spacing w:line="240" w:lineRule="auto"/>
        <w:rPr>
          <w:rFonts w:cs="Times New Roman"/>
        </w:rPr>
      </w:pPr>
    </w:p>
    <w:p w14:paraId="31FCE61C" w14:textId="7C02D7E9" w:rsidR="00D05EE2" w:rsidRPr="006B2615" w:rsidRDefault="00D05EE2" w:rsidP="00C61A4C">
      <w:pPr>
        <w:spacing w:line="240" w:lineRule="auto"/>
        <w:rPr>
          <w:rFonts w:cs="Times New Roman"/>
        </w:rPr>
      </w:pPr>
      <w:r>
        <w:rPr>
          <w:rFonts w:cs="Times New Roman"/>
        </w:rPr>
        <w:t xml:space="preserve">Hatton, Timothy J. and Jeffrey G. Williamson (1994). “What Drove the Mass Migrations from Europe in the Late Nineteenth Century?” </w:t>
      </w:r>
      <w:r w:rsidRPr="00D05EE2">
        <w:rPr>
          <w:rFonts w:cs="Times New Roman"/>
          <w:i/>
        </w:rPr>
        <w:t>Population and Development Review</w:t>
      </w:r>
      <w:r>
        <w:rPr>
          <w:rFonts w:cs="Times New Roman"/>
        </w:rPr>
        <w:t xml:space="preserve"> 20, 3, pp. 533-559.</w:t>
      </w:r>
    </w:p>
    <w:p w14:paraId="0DD3EB2E" w14:textId="77777777" w:rsidR="00F81004" w:rsidRPr="00F03CA2" w:rsidRDefault="00F81004" w:rsidP="00C61A4C">
      <w:pPr>
        <w:spacing w:line="240" w:lineRule="auto"/>
        <w:rPr>
          <w:rFonts w:cs="Times New Roman"/>
        </w:rPr>
      </w:pPr>
    </w:p>
    <w:p w14:paraId="0057B095" w14:textId="2F3481AD" w:rsidR="00F230C0" w:rsidRDefault="00F230C0" w:rsidP="00C61A4C">
      <w:pPr>
        <w:spacing w:line="240" w:lineRule="auto"/>
        <w:rPr>
          <w:rFonts w:cs="Times New Roman"/>
        </w:rPr>
      </w:pPr>
      <w:r w:rsidRPr="00F03CA2">
        <w:rPr>
          <w:rFonts w:cs="Times New Roman"/>
        </w:rPr>
        <w:t xml:space="preserve">Hatton, Timothy J. and Jeffrey G. Williamson (1998). </w:t>
      </w:r>
      <w:r w:rsidRPr="00F03CA2">
        <w:rPr>
          <w:rFonts w:cs="Times New Roman"/>
          <w:i/>
          <w:iCs/>
        </w:rPr>
        <w:t>The Age of Mass</w:t>
      </w:r>
      <w:r w:rsidR="007E4EF9" w:rsidRPr="00F03CA2">
        <w:rPr>
          <w:rFonts w:cs="Times New Roman"/>
          <w:i/>
          <w:iCs/>
        </w:rPr>
        <w:t xml:space="preserve"> </w:t>
      </w:r>
      <w:r w:rsidRPr="00F03CA2">
        <w:rPr>
          <w:rFonts w:cs="Times New Roman"/>
          <w:i/>
          <w:iCs/>
        </w:rPr>
        <w:t>Migration: Causes and Economic Impact</w:t>
      </w:r>
      <w:r w:rsidRPr="00F03CA2">
        <w:rPr>
          <w:rFonts w:cs="Times New Roman"/>
        </w:rPr>
        <w:t>. New York: Oxford</w:t>
      </w:r>
      <w:r w:rsidR="007E4EF9" w:rsidRPr="00F03CA2">
        <w:rPr>
          <w:rFonts w:cs="Times New Roman"/>
        </w:rPr>
        <w:t xml:space="preserve"> </w:t>
      </w:r>
      <w:r w:rsidRPr="00F03CA2">
        <w:rPr>
          <w:rFonts w:cs="Times New Roman"/>
        </w:rPr>
        <w:t>University Press.</w:t>
      </w:r>
    </w:p>
    <w:p w14:paraId="0C375E46" w14:textId="77777777" w:rsidR="009B37EC" w:rsidRDefault="009B37EC" w:rsidP="00C61A4C">
      <w:pPr>
        <w:spacing w:line="240" w:lineRule="auto"/>
        <w:rPr>
          <w:rFonts w:cs="Times New Roman"/>
        </w:rPr>
      </w:pPr>
    </w:p>
    <w:p w14:paraId="43285A47" w14:textId="54C0BA7C" w:rsidR="009B37EC" w:rsidRPr="00F03CA2" w:rsidRDefault="009B37EC" w:rsidP="00C61A4C">
      <w:pPr>
        <w:spacing w:line="240" w:lineRule="auto"/>
        <w:rPr>
          <w:rFonts w:cs="Times New Roman"/>
        </w:rPr>
      </w:pPr>
      <w:r>
        <w:rPr>
          <w:rFonts w:cs="Times New Roman"/>
        </w:rPr>
        <w:t>Hirota</w:t>
      </w:r>
      <w:r w:rsidR="00786946">
        <w:rPr>
          <w:rFonts w:cs="Times New Roman"/>
        </w:rPr>
        <w:t>, Hidetaka</w:t>
      </w:r>
      <w:r>
        <w:rPr>
          <w:rFonts w:cs="Times New Roman"/>
        </w:rPr>
        <w:t xml:space="preserve"> (2017)</w:t>
      </w:r>
      <w:r w:rsidR="00786946">
        <w:rPr>
          <w:rFonts w:cs="Times New Roman"/>
        </w:rPr>
        <w:t xml:space="preserve">. </w:t>
      </w:r>
      <w:r w:rsidR="00786946" w:rsidRPr="00786946">
        <w:rPr>
          <w:rFonts w:cs="Times New Roman"/>
          <w:i/>
        </w:rPr>
        <w:t>Expelling the Poor: Atlantic Seaboard States and the Nineteenth-Century Origins of American Immigration Policy</w:t>
      </w:r>
      <w:r w:rsidR="00786946">
        <w:rPr>
          <w:rFonts w:cs="Times New Roman"/>
        </w:rPr>
        <w:t>. New York: Oxford University Press.</w:t>
      </w:r>
    </w:p>
    <w:p w14:paraId="4E8419EC" w14:textId="77777777" w:rsidR="00F230C0" w:rsidRPr="00F03CA2" w:rsidRDefault="00F230C0" w:rsidP="00C61A4C">
      <w:pPr>
        <w:spacing w:line="240" w:lineRule="auto"/>
        <w:rPr>
          <w:rFonts w:cs="Times New Roman"/>
        </w:rPr>
      </w:pPr>
    </w:p>
    <w:p w14:paraId="528D1F47" w14:textId="3DEB9A97" w:rsidR="00F230C0" w:rsidRDefault="00F230C0" w:rsidP="00C61A4C">
      <w:pPr>
        <w:spacing w:line="240" w:lineRule="auto"/>
        <w:rPr>
          <w:rFonts w:cs="Times New Roman"/>
        </w:rPr>
      </w:pPr>
      <w:r w:rsidRPr="00F03CA2">
        <w:rPr>
          <w:rFonts w:cs="Times New Roman"/>
        </w:rPr>
        <w:t>Hornbeck, Richard (2012). “The Enduring Impact of the American Dust</w:t>
      </w:r>
      <w:r w:rsidR="007E4EF9" w:rsidRPr="00F03CA2">
        <w:rPr>
          <w:rFonts w:cs="Times New Roman"/>
        </w:rPr>
        <w:t xml:space="preserve"> </w:t>
      </w:r>
      <w:r w:rsidRPr="00F03CA2">
        <w:rPr>
          <w:rFonts w:cs="Times New Roman"/>
        </w:rPr>
        <w:t>Bowl: Short- and Long-Run Adjustments to Environmental</w:t>
      </w:r>
      <w:r w:rsidR="007E4EF9" w:rsidRPr="00F03CA2">
        <w:rPr>
          <w:rFonts w:cs="Times New Roman"/>
        </w:rPr>
        <w:t xml:space="preserve"> </w:t>
      </w:r>
      <w:r w:rsidRPr="00F03CA2">
        <w:rPr>
          <w:rFonts w:cs="Times New Roman"/>
        </w:rPr>
        <w:t xml:space="preserve">Catastrophe.” </w:t>
      </w:r>
      <w:r w:rsidRPr="00F03CA2">
        <w:rPr>
          <w:rFonts w:cs="Times New Roman"/>
          <w:i/>
          <w:iCs/>
        </w:rPr>
        <w:t xml:space="preserve">American Economic Review </w:t>
      </w:r>
      <w:r w:rsidRPr="00F03CA2">
        <w:rPr>
          <w:rFonts w:cs="Times New Roman"/>
        </w:rPr>
        <w:t>102:4, pp. 1477–1507.</w:t>
      </w:r>
    </w:p>
    <w:p w14:paraId="60360F5F" w14:textId="77777777" w:rsidR="002C36D2" w:rsidRDefault="002C36D2" w:rsidP="00C61A4C">
      <w:pPr>
        <w:spacing w:line="240" w:lineRule="auto"/>
        <w:rPr>
          <w:rFonts w:cs="Times New Roman"/>
        </w:rPr>
      </w:pPr>
    </w:p>
    <w:p w14:paraId="2AE5BBAA" w14:textId="3AA97A4C" w:rsidR="00373854" w:rsidRDefault="002C36D2" w:rsidP="00C61A4C">
      <w:pPr>
        <w:spacing w:line="240" w:lineRule="auto"/>
        <w:rPr>
          <w:rFonts w:cs="Times New Roman"/>
          <w:i/>
        </w:rPr>
      </w:pPr>
      <w:r>
        <w:rPr>
          <w:rFonts w:cs="Times New Roman"/>
        </w:rPr>
        <w:t xml:space="preserve">Kelly, John (2018). “Transcript: White House Chief of Staff John Kelly’s Interview with NPR.” </w:t>
      </w:r>
      <w:r>
        <w:rPr>
          <w:rFonts w:cs="Times New Roman"/>
          <w:i/>
        </w:rPr>
        <w:t>NPR.org.</w:t>
      </w:r>
    </w:p>
    <w:p w14:paraId="4A2CFB17" w14:textId="77777777" w:rsidR="000750DB" w:rsidRDefault="000750DB" w:rsidP="00C61A4C">
      <w:pPr>
        <w:spacing w:line="240" w:lineRule="auto"/>
        <w:rPr>
          <w:rFonts w:cs="Times New Roman"/>
          <w:i/>
        </w:rPr>
      </w:pPr>
    </w:p>
    <w:p w14:paraId="3DDB3A72" w14:textId="71B4DDEB" w:rsidR="000750DB" w:rsidRDefault="000750DB" w:rsidP="00C61A4C">
      <w:pPr>
        <w:spacing w:line="240" w:lineRule="auto"/>
        <w:rPr>
          <w:rFonts w:cs="Times New Roman"/>
        </w:rPr>
      </w:pPr>
      <w:r>
        <w:rPr>
          <w:rFonts w:cs="Times New Roman"/>
        </w:rPr>
        <w:t xml:space="preserve">Logan, Trevon D. and John M. Parman (2017). “The National Rise in </w:t>
      </w:r>
      <w:r w:rsidR="00FF5DA6">
        <w:rPr>
          <w:rFonts w:cs="Times New Roman"/>
        </w:rPr>
        <w:t xml:space="preserve">Residential </w:t>
      </w:r>
      <w:r>
        <w:rPr>
          <w:rFonts w:cs="Times New Roman"/>
        </w:rPr>
        <w:t xml:space="preserve">Segregation.” </w:t>
      </w:r>
      <w:r w:rsidRPr="000750DB">
        <w:rPr>
          <w:rFonts w:cs="Times New Roman"/>
          <w:i/>
        </w:rPr>
        <w:t>Journal of Economic History</w:t>
      </w:r>
      <w:r w:rsidR="00FF5DA6">
        <w:rPr>
          <w:rFonts w:cs="Times New Roman"/>
        </w:rPr>
        <w:t xml:space="preserve"> 77:</w:t>
      </w:r>
      <w:r>
        <w:rPr>
          <w:rFonts w:cs="Times New Roman"/>
        </w:rPr>
        <w:t>1, pp. 127-170.</w:t>
      </w:r>
    </w:p>
    <w:p w14:paraId="14F8E818" w14:textId="77777777" w:rsidR="000750DB" w:rsidRDefault="000750DB" w:rsidP="00C61A4C">
      <w:pPr>
        <w:spacing w:line="240" w:lineRule="auto"/>
        <w:rPr>
          <w:rFonts w:cs="Times New Roman"/>
        </w:rPr>
      </w:pPr>
    </w:p>
    <w:p w14:paraId="4A5D27D9" w14:textId="5832BAAB" w:rsidR="00373854" w:rsidRDefault="00373854" w:rsidP="00C61A4C">
      <w:pPr>
        <w:spacing w:line="240" w:lineRule="auto"/>
        <w:rPr>
          <w:rFonts w:cs="Times New Roman"/>
        </w:rPr>
      </w:pPr>
      <w:r>
        <w:rPr>
          <w:rFonts w:cs="Times New Roman"/>
        </w:rPr>
        <w:t xml:space="preserve">Long, Jason and Joseph P. Ferrie (2013). “Intergenerational Occupational Mobility in Great Britain and the United States since 1850.” </w:t>
      </w:r>
      <w:r>
        <w:rPr>
          <w:rFonts w:cs="Times New Roman"/>
          <w:i/>
        </w:rPr>
        <w:t>American Economic Review</w:t>
      </w:r>
      <w:r>
        <w:rPr>
          <w:rFonts w:cs="Times New Roman"/>
        </w:rPr>
        <w:t xml:space="preserve"> 103:4, pp. 1109-1137.</w:t>
      </w:r>
    </w:p>
    <w:p w14:paraId="7877C276" w14:textId="77777777" w:rsidR="009C65B2" w:rsidRDefault="009C65B2" w:rsidP="00C61A4C">
      <w:pPr>
        <w:spacing w:line="240" w:lineRule="auto"/>
        <w:rPr>
          <w:rFonts w:cs="Times New Roman"/>
        </w:rPr>
      </w:pPr>
    </w:p>
    <w:p w14:paraId="256C2DB8" w14:textId="291C60A9" w:rsidR="009C65B2" w:rsidRDefault="009C65B2" w:rsidP="00C61A4C">
      <w:pPr>
        <w:spacing w:line="240" w:lineRule="auto"/>
        <w:rPr>
          <w:rFonts w:cs="Times New Roman"/>
        </w:rPr>
      </w:pPr>
      <w:r>
        <w:rPr>
          <w:rFonts w:cs="Times New Roman"/>
        </w:rPr>
        <w:t>Long, Jason and Henry E. Siu (</w:t>
      </w:r>
      <w:r w:rsidR="000626E9">
        <w:rPr>
          <w:rFonts w:cs="Times New Roman"/>
        </w:rPr>
        <w:t>2018</w:t>
      </w:r>
      <w:r>
        <w:rPr>
          <w:rFonts w:cs="Times New Roman"/>
        </w:rPr>
        <w:t xml:space="preserve">). “Refugees from Dust and Shrinking Land: Tracking the Dust Bowl Migrants.” </w:t>
      </w:r>
      <w:r w:rsidR="000626E9" w:rsidRPr="000626E9">
        <w:rPr>
          <w:rFonts w:cs="Times New Roman"/>
          <w:i/>
        </w:rPr>
        <w:t>Journal of Economic History</w:t>
      </w:r>
      <w:r w:rsidR="000D5E44">
        <w:rPr>
          <w:rFonts w:cs="Times New Roman"/>
          <w:i/>
        </w:rPr>
        <w:t xml:space="preserve"> </w:t>
      </w:r>
      <w:r w:rsidR="008E6A9A">
        <w:rPr>
          <w:rFonts w:cs="Times New Roman"/>
        </w:rPr>
        <w:t>78:4, pp. 1001-1033</w:t>
      </w:r>
      <w:r>
        <w:rPr>
          <w:rFonts w:cs="Times New Roman"/>
        </w:rPr>
        <w:t>.</w:t>
      </w:r>
    </w:p>
    <w:p w14:paraId="4AB431B4" w14:textId="77777777" w:rsidR="002F28D6" w:rsidRDefault="002F28D6" w:rsidP="00C61A4C">
      <w:pPr>
        <w:spacing w:line="240" w:lineRule="auto"/>
        <w:rPr>
          <w:rFonts w:cs="Times New Roman"/>
        </w:rPr>
      </w:pPr>
    </w:p>
    <w:p w14:paraId="7DE3AB8A" w14:textId="2285814E" w:rsidR="002F28D6" w:rsidRPr="002F28D6" w:rsidRDefault="002F28D6" w:rsidP="00C61A4C">
      <w:pPr>
        <w:spacing w:line="240" w:lineRule="auto"/>
        <w:rPr>
          <w:rFonts w:cs="Times New Roman"/>
        </w:rPr>
      </w:pPr>
      <w:r>
        <w:rPr>
          <w:rFonts w:cs="Times New Roman"/>
        </w:rPr>
        <w:t xml:space="preserve">Lubotsky, Darren (2007). “Chutes or Ladders? A Longitudinal Analysis of Immigrant Earnings.” </w:t>
      </w:r>
      <w:r>
        <w:rPr>
          <w:rFonts w:cs="Times New Roman"/>
          <w:i/>
        </w:rPr>
        <w:t>Journal of Political Economy</w:t>
      </w:r>
      <w:r>
        <w:rPr>
          <w:rFonts w:cs="Times New Roman"/>
        </w:rPr>
        <w:t xml:space="preserve"> 115: 5, pp. 820-867.</w:t>
      </w:r>
    </w:p>
    <w:p w14:paraId="3CE343BB" w14:textId="77777777" w:rsidR="00F230C0" w:rsidRPr="00F03CA2" w:rsidRDefault="00F230C0" w:rsidP="00C61A4C">
      <w:pPr>
        <w:spacing w:line="240" w:lineRule="auto"/>
        <w:rPr>
          <w:rFonts w:cs="Times New Roman"/>
        </w:rPr>
      </w:pPr>
    </w:p>
    <w:p w14:paraId="55C7EA99" w14:textId="6B62D121" w:rsidR="00F230C0" w:rsidRDefault="00F230C0" w:rsidP="00C61A4C">
      <w:pPr>
        <w:spacing w:line="240" w:lineRule="auto"/>
        <w:rPr>
          <w:rFonts w:cs="Times New Roman"/>
        </w:rPr>
      </w:pPr>
      <w:r w:rsidRPr="00F03CA2">
        <w:rPr>
          <w:rFonts w:cs="Times New Roman"/>
        </w:rPr>
        <w:t xml:space="preserve">Mahajan, </w:t>
      </w:r>
      <w:r w:rsidRPr="00F03CA2">
        <w:rPr>
          <w:rFonts w:cs="Times New Roman"/>
          <w:spacing w:val="-3"/>
        </w:rPr>
        <w:t xml:space="preserve">Parag </w:t>
      </w:r>
      <w:r w:rsidRPr="00F03CA2">
        <w:rPr>
          <w:rFonts w:cs="Times New Roman"/>
        </w:rPr>
        <w:t xml:space="preserve">and Dean </w:t>
      </w:r>
      <w:r w:rsidRPr="00F03CA2">
        <w:rPr>
          <w:rFonts w:cs="Times New Roman"/>
          <w:spacing w:val="-5"/>
        </w:rPr>
        <w:t xml:space="preserve">Yang </w:t>
      </w:r>
      <w:r w:rsidRPr="00F03CA2">
        <w:rPr>
          <w:rFonts w:cs="Times New Roman"/>
        </w:rPr>
        <w:t xml:space="preserve">(2017). </w:t>
      </w:r>
      <w:r w:rsidRPr="00F03CA2">
        <w:rPr>
          <w:rFonts w:cs="Times New Roman"/>
          <w:spacing w:val="-4"/>
        </w:rPr>
        <w:t xml:space="preserve">“Taken </w:t>
      </w:r>
      <w:r w:rsidRPr="00F03CA2">
        <w:rPr>
          <w:rFonts w:cs="Times New Roman"/>
        </w:rPr>
        <w:t>By Storm:</w:t>
      </w:r>
      <w:r w:rsidR="007E4EF9" w:rsidRPr="00F03CA2">
        <w:rPr>
          <w:rFonts w:cs="Times New Roman"/>
        </w:rPr>
        <w:t xml:space="preserve"> </w:t>
      </w:r>
      <w:r w:rsidRPr="00F03CA2">
        <w:rPr>
          <w:rFonts w:cs="Times New Roman"/>
        </w:rPr>
        <w:t>Hurricanes,</w:t>
      </w:r>
      <w:r w:rsidR="007E4EF9" w:rsidRPr="00F03CA2">
        <w:rPr>
          <w:rFonts w:cs="Times New Roman"/>
        </w:rPr>
        <w:t xml:space="preserve"> </w:t>
      </w:r>
      <w:r w:rsidRPr="00F03CA2">
        <w:rPr>
          <w:rFonts w:cs="Times New Roman"/>
        </w:rPr>
        <w:t xml:space="preserve">Migrant Networks, and </w:t>
      </w:r>
      <w:r w:rsidR="00790ED0" w:rsidRPr="00F03CA2">
        <w:rPr>
          <w:rFonts w:cs="Times New Roman"/>
        </w:rPr>
        <w:t xml:space="preserve">US Immigration.”  NBER Working </w:t>
      </w:r>
      <w:r w:rsidRPr="00F03CA2">
        <w:rPr>
          <w:rFonts w:cs="Times New Roman"/>
        </w:rPr>
        <w:t>Paper</w:t>
      </w:r>
      <w:r w:rsidR="007E4EF9" w:rsidRPr="00F03CA2">
        <w:rPr>
          <w:rFonts w:cs="Times New Roman"/>
        </w:rPr>
        <w:t xml:space="preserve"> </w:t>
      </w:r>
      <w:r w:rsidRPr="00F03CA2">
        <w:rPr>
          <w:rFonts w:cs="Times New Roman"/>
        </w:rPr>
        <w:t>23756.</w:t>
      </w:r>
    </w:p>
    <w:p w14:paraId="2CDCD200" w14:textId="77777777" w:rsidR="0036302F" w:rsidRDefault="0036302F" w:rsidP="00C61A4C">
      <w:pPr>
        <w:spacing w:line="240" w:lineRule="auto"/>
        <w:rPr>
          <w:rFonts w:cs="Times New Roman"/>
        </w:rPr>
      </w:pPr>
    </w:p>
    <w:p w14:paraId="2E712783" w14:textId="43A1AE59" w:rsidR="0036302F" w:rsidRDefault="0036302F" w:rsidP="00C61A4C">
      <w:pPr>
        <w:spacing w:line="240" w:lineRule="auto"/>
        <w:rPr>
          <w:rFonts w:cs="Times New Roman"/>
        </w:rPr>
      </w:pPr>
      <w:r>
        <w:rPr>
          <w:rFonts w:cs="Times New Roman"/>
        </w:rPr>
        <w:t>McInnis</w:t>
      </w:r>
      <w:r w:rsidR="00D05EE2">
        <w:rPr>
          <w:rFonts w:cs="Times New Roman"/>
        </w:rPr>
        <w:t>, Marvin</w:t>
      </w:r>
      <w:r>
        <w:rPr>
          <w:rFonts w:cs="Times New Roman"/>
        </w:rPr>
        <w:t xml:space="preserve"> (2000)</w:t>
      </w:r>
      <w:r w:rsidR="00D05EE2">
        <w:rPr>
          <w:rFonts w:cs="Times New Roman"/>
        </w:rPr>
        <w:t xml:space="preserve">. “The Population of Canada in the Nineteenth Century.” In </w:t>
      </w:r>
      <w:r w:rsidR="00D05EE2" w:rsidRPr="00D05EE2">
        <w:rPr>
          <w:rFonts w:cs="Times New Roman"/>
          <w:i/>
        </w:rPr>
        <w:t>A Population History of North America</w:t>
      </w:r>
      <w:r w:rsidR="00D05EE2">
        <w:rPr>
          <w:rFonts w:cs="Times New Roman"/>
        </w:rPr>
        <w:t>. Michael R. Haines and Richard H. Steckel (eds.) Cambridge University Press. Chapter 12, pp. 529-599.</w:t>
      </w:r>
    </w:p>
    <w:p w14:paraId="67607178" w14:textId="77777777" w:rsidR="009F6856" w:rsidRDefault="009F6856" w:rsidP="00C61A4C">
      <w:pPr>
        <w:spacing w:line="240" w:lineRule="auto"/>
        <w:rPr>
          <w:rFonts w:cs="Times New Roman"/>
        </w:rPr>
      </w:pPr>
    </w:p>
    <w:p w14:paraId="79EDE4C1" w14:textId="433F911D" w:rsidR="009F6856" w:rsidRDefault="009F6856" w:rsidP="00C61A4C">
      <w:pPr>
        <w:spacing w:line="240" w:lineRule="auto"/>
        <w:rPr>
          <w:rFonts w:cs="Times New Roman"/>
        </w:rPr>
      </w:pPr>
      <w:r>
        <w:rPr>
          <w:rFonts w:cs="Times New Roman"/>
        </w:rPr>
        <w:t xml:space="preserve">McKenzie, David and Hillel Rapoport (2010). “Self-Selection Patterns in Mexico-US Migration: The Role of Migration Networks.” </w:t>
      </w:r>
      <w:r>
        <w:rPr>
          <w:rFonts w:cs="Times New Roman"/>
          <w:i/>
        </w:rPr>
        <w:t>Review of Economics and Statistics</w:t>
      </w:r>
      <w:r>
        <w:rPr>
          <w:rFonts w:cs="Times New Roman"/>
        </w:rPr>
        <w:t xml:space="preserve"> 92:4, pp. 811-821.</w:t>
      </w:r>
    </w:p>
    <w:p w14:paraId="747856A2" w14:textId="77777777" w:rsidR="001A3E94" w:rsidRDefault="001A3E94" w:rsidP="00C61A4C">
      <w:pPr>
        <w:spacing w:line="240" w:lineRule="auto"/>
        <w:rPr>
          <w:rFonts w:cs="Times New Roman"/>
        </w:rPr>
      </w:pPr>
    </w:p>
    <w:p w14:paraId="75F8D895" w14:textId="68289673" w:rsidR="0032089A" w:rsidRPr="009F6856" w:rsidRDefault="0032089A" w:rsidP="00C61A4C">
      <w:pPr>
        <w:spacing w:line="240" w:lineRule="auto"/>
        <w:rPr>
          <w:rFonts w:cs="Times New Roman"/>
        </w:rPr>
      </w:pPr>
      <w:r>
        <w:rPr>
          <w:rFonts w:cs="Times New Roman"/>
        </w:rPr>
        <w:t>Miller</w:t>
      </w:r>
      <w:r w:rsidR="00DE07F8">
        <w:rPr>
          <w:rFonts w:cs="Times New Roman"/>
        </w:rPr>
        <w:t>, Kirby A.</w:t>
      </w:r>
      <w:r>
        <w:rPr>
          <w:rFonts w:cs="Times New Roman"/>
        </w:rPr>
        <w:t xml:space="preserve"> (1985)</w:t>
      </w:r>
      <w:r w:rsidR="00DE07F8">
        <w:rPr>
          <w:rFonts w:cs="Times New Roman"/>
        </w:rPr>
        <w:t xml:space="preserve">. </w:t>
      </w:r>
      <w:r w:rsidR="00DE07F8" w:rsidRPr="002344CC">
        <w:rPr>
          <w:rFonts w:cs="Times New Roman"/>
          <w:i/>
        </w:rPr>
        <w:t>Emigrants and Exiles: Ireland and the Irish Exodus to North America</w:t>
      </w:r>
      <w:r w:rsidR="00DE07F8">
        <w:rPr>
          <w:rFonts w:cs="Times New Roman"/>
        </w:rPr>
        <w:t>. New York: Oxford University Press.</w:t>
      </w:r>
    </w:p>
    <w:p w14:paraId="3E9B12F1" w14:textId="77777777" w:rsidR="00F230C0" w:rsidRPr="00F03CA2" w:rsidRDefault="00F230C0" w:rsidP="00C61A4C">
      <w:pPr>
        <w:spacing w:line="240" w:lineRule="auto"/>
        <w:rPr>
          <w:rFonts w:cs="Times New Roman"/>
        </w:rPr>
      </w:pPr>
    </w:p>
    <w:p w14:paraId="4C6E8280" w14:textId="74884991" w:rsidR="00A13502" w:rsidRDefault="00A13502" w:rsidP="00C61A4C">
      <w:pPr>
        <w:spacing w:line="240" w:lineRule="auto"/>
        <w:rPr>
          <w:rFonts w:cs="Times New Roman"/>
          <w:bCs/>
        </w:rPr>
      </w:pPr>
      <w:r w:rsidRPr="00F03CA2">
        <w:rPr>
          <w:rFonts w:cs="Times New Roman"/>
          <w:bCs/>
        </w:rPr>
        <w:t>Minnesota Population Center</w:t>
      </w:r>
      <w:r w:rsidR="00292455">
        <w:rPr>
          <w:rFonts w:cs="Times New Roman"/>
          <w:bCs/>
        </w:rPr>
        <w:t xml:space="preserve"> (2017)</w:t>
      </w:r>
      <w:r w:rsidRPr="00F03CA2">
        <w:rPr>
          <w:rFonts w:cs="Times New Roman"/>
          <w:bCs/>
        </w:rPr>
        <w:t xml:space="preserve">. </w:t>
      </w:r>
      <w:r w:rsidRPr="00F03CA2">
        <w:rPr>
          <w:rFonts w:cs="Times New Roman"/>
          <w:bCs/>
          <w:i/>
          <w:iCs/>
        </w:rPr>
        <w:t>North Atlantic Population Project: Complete Count Microdata: Version 2.3</w:t>
      </w:r>
      <w:r w:rsidRPr="00F03CA2">
        <w:rPr>
          <w:rFonts w:cs="Times New Roman"/>
          <w:bCs/>
        </w:rPr>
        <w:t xml:space="preserve"> [</w:t>
      </w:r>
      <w:r w:rsidR="00292455">
        <w:rPr>
          <w:rFonts w:cs="Times New Roman"/>
          <w:bCs/>
        </w:rPr>
        <w:t xml:space="preserve">Machine-readable </w:t>
      </w:r>
      <w:r w:rsidRPr="00F03CA2">
        <w:rPr>
          <w:rFonts w:cs="Times New Roman"/>
          <w:bCs/>
        </w:rPr>
        <w:t>dataset]. Minneapolis, M</w:t>
      </w:r>
      <w:r w:rsidR="00292455">
        <w:rPr>
          <w:rFonts w:cs="Times New Roman"/>
          <w:bCs/>
        </w:rPr>
        <w:t>N: University of Minnesota</w:t>
      </w:r>
      <w:r w:rsidRPr="00F03CA2">
        <w:rPr>
          <w:rFonts w:cs="Times New Roman"/>
          <w:bCs/>
        </w:rPr>
        <w:t>.</w:t>
      </w:r>
    </w:p>
    <w:p w14:paraId="09F33D03" w14:textId="77777777" w:rsidR="00622595" w:rsidRDefault="00622595" w:rsidP="00C61A4C">
      <w:pPr>
        <w:spacing w:line="240" w:lineRule="auto"/>
        <w:rPr>
          <w:rFonts w:cs="Times New Roman"/>
          <w:bCs/>
        </w:rPr>
      </w:pPr>
    </w:p>
    <w:p w14:paraId="5378423A" w14:textId="3696DA50" w:rsidR="00622595" w:rsidRPr="00F03CA2" w:rsidRDefault="00622595" w:rsidP="00C61A4C">
      <w:pPr>
        <w:spacing w:line="240" w:lineRule="auto"/>
        <w:rPr>
          <w:rFonts w:cs="Times New Roman"/>
        </w:rPr>
      </w:pPr>
      <w:r>
        <w:rPr>
          <w:rFonts w:cs="Times New Roman"/>
          <w:bCs/>
        </w:rPr>
        <w:t xml:space="preserve">Minns, Chris (2000). “Income, Cohort Effects, and Occupational Mobility: A New Look at Immigration to the United States at the Turn of the Twentieth Century.” </w:t>
      </w:r>
      <w:r w:rsidRPr="00622595">
        <w:rPr>
          <w:rFonts w:cs="Times New Roman"/>
          <w:bCs/>
          <w:i/>
        </w:rPr>
        <w:t>Explorations in Economic History</w:t>
      </w:r>
      <w:r w:rsidR="009A6635">
        <w:rPr>
          <w:rFonts w:cs="Times New Roman"/>
          <w:bCs/>
        </w:rPr>
        <w:t xml:space="preserve"> 37:</w:t>
      </w:r>
      <w:r>
        <w:rPr>
          <w:rFonts w:cs="Times New Roman"/>
          <w:bCs/>
        </w:rPr>
        <w:t>4, pp. 326-50.</w:t>
      </w:r>
    </w:p>
    <w:p w14:paraId="3FEB998D" w14:textId="77777777" w:rsidR="00A13502" w:rsidRPr="00F03CA2" w:rsidRDefault="00A13502" w:rsidP="00C61A4C">
      <w:pPr>
        <w:spacing w:line="240" w:lineRule="auto"/>
        <w:rPr>
          <w:rFonts w:cs="Times New Roman"/>
        </w:rPr>
      </w:pPr>
    </w:p>
    <w:p w14:paraId="61949AAD" w14:textId="4FC009E9" w:rsidR="007E4EF9" w:rsidRPr="00F03CA2" w:rsidRDefault="007E4EF9" w:rsidP="00C61A4C">
      <w:pPr>
        <w:spacing w:line="240" w:lineRule="auto"/>
        <w:rPr>
          <w:rFonts w:cs="Times New Roman"/>
        </w:rPr>
      </w:pPr>
      <w:r w:rsidRPr="00F03CA2">
        <w:rPr>
          <w:rFonts w:cs="Times New Roman"/>
        </w:rPr>
        <w:t xml:space="preserve">Mokyr, Joel (1983). </w:t>
      </w:r>
      <w:r w:rsidRPr="00F03CA2">
        <w:rPr>
          <w:rFonts w:cs="Times New Roman"/>
          <w:i/>
          <w:iCs/>
        </w:rPr>
        <w:t xml:space="preserve">Why Ireland Starved: An Analytical and Quantitative Study of Irish </w:t>
      </w:r>
      <w:r w:rsidRPr="00F03CA2">
        <w:rPr>
          <w:rFonts w:cs="Times New Roman"/>
          <w:i/>
          <w:iCs/>
          <w:spacing w:val="-4"/>
        </w:rPr>
        <w:t xml:space="preserve">Poverty, </w:t>
      </w:r>
      <w:r w:rsidRPr="00F03CA2">
        <w:rPr>
          <w:rFonts w:cs="Times New Roman"/>
          <w:i/>
          <w:iCs/>
        </w:rPr>
        <w:t>1800–1851</w:t>
      </w:r>
      <w:r w:rsidRPr="00F03CA2">
        <w:rPr>
          <w:rFonts w:cs="Times New Roman"/>
        </w:rPr>
        <w:t>. Boston: George Allen and</w:t>
      </w:r>
      <w:r w:rsidRPr="00F03CA2">
        <w:rPr>
          <w:rFonts w:cs="Times New Roman"/>
          <w:spacing w:val="51"/>
        </w:rPr>
        <w:t xml:space="preserve"> </w:t>
      </w:r>
      <w:r w:rsidRPr="00F03CA2">
        <w:rPr>
          <w:rFonts w:cs="Times New Roman"/>
        </w:rPr>
        <w:t>Unwin.</w:t>
      </w:r>
    </w:p>
    <w:p w14:paraId="5E8AE99D" w14:textId="77777777" w:rsidR="00B02F66" w:rsidRDefault="00B02F66" w:rsidP="00C61A4C">
      <w:pPr>
        <w:spacing w:line="240" w:lineRule="auto"/>
        <w:rPr>
          <w:rFonts w:cs="Times New Roman"/>
        </w:rPr>
      </w:pPr>
    </w:p>
    <w:p w14:paraId="12311696" w14:textId="4EA0950B" w:rsidR="00B02F66" w:rsidRPr="00B02F66" w:rsidRDefault="00B02F66" w:rsidP="00C61A4C">
      <w:pPr>
        <w:spacing w:line="240" w:lineRule="auto"/>
        <w:rPr>
          <w:rFonts w:cs="Times New Roman"/>
        </w:rPr>
      </w:pPr>
      <w:r>
        <w:rPr>
          <w:rFonts w:cs="Times New Roman"/>
        </w:rPr>
        <w:t xml:space="preserve">Mokyr, Joel and Cormac Ó Gráda (1982). “Emigration and Poverty in Prefamine Ireland.” </w:t>
      </w:r>
      <w:r>
        <w:rPr>
          <w:rFonts w:cs="Times New Roman"/>
          <w:i/>
        </w:rPr>
        <w:t>Explorations in Economic History</w:t>
      </w:r>
      <w:r>
        <w:rPr>
          <w:rFonts w:cs="Times New Roman"/>
        </w:rPr>
        <w:t xml:space="preserve"> 19, pp. 360-384.</w:t>
      </w:r>
    </w:p>
    <w:p w14:paraId="3515B677" w14:textId="77777777" w:rsidR="002340BA" w:rsidRDefault="002340BA" w:rsidP="00C61A4C">
      <w:pPr>
        <w:spacing w:line="240" w:lineRule="auto"/>
        <w:rPr>
          <w:rFonts w:cs="Times New Roman"/>
        </w:rPr>
      </w:pPr>
    </w:p>
    <w:p w14:paraId="79BA7CC9" w14:textId="2874F749" w:rsidR="00012781" w:rsidRPr="00012781" w:rsidRDefault="00012781" w:rsidP="00C61A4C">
      <w:pPr>
        <w:spacing w:line="240" w:lineRule="auto"/>
        <w:rPr>
          <w:rFonts w:cs="Times New Roman"/>
        </w:rPr>
      </w:pPr>
      <w:r>
        <w:rPr>
          <w:rFonts w:cs="Times New Roman"/>
        </w:rPr>
        <w:t xml:space="preserve">Moser, Petra, Alessandra Voena, and Fabian Waldinger (2014). “German Jewish Émigrés and US Invention.” </w:t>
      </w:r>
      <w:r>
        <w:rPr>
          <w:rFonts w:cs="Times New Roman"/>
          <w:i/>
        </w:rPr>
        <w:t>American Economic Review</w:t>
      </w:r>
      <w:r>
        <w:rPr>
          <w:rFonts w:cs="Times New Roman"/>
        </w:rPr>
        <w:t xml:space="preserve"> 104:10, pp. 3222-3255.</w:t>
      </w:r>
    </w:p>
    <w:p w14:paraId="4E29B729" w14:textId="77777777" w:rsidR="00337A83" w:rsidRDefault="00337A83" w:rsidP="00C61A4C">
      <w:pPr>
        <w:spacing w:line="240" w:lineRule="auto"/>
        <w:rPr>
          <w:rFonts w:cs="Times New Roman"/>
        </w:rPr>
      </w:pPr>
    </w:p>
    <w:p w14:paraId="316477F0" w14:textId="126D6A00" w:rsidR="00337A83" w:rsidRPr="00F03CA2" w:rsidRDefault="00337A83" w:rsidP="00C61A4C">
      <w:pPr>
        <w:spacing w:line="240" w:lineRule="auto"/>
        <w:rPr>
          <w:rFonts w:cs="Times New Roman"/>
        </w:rPr>
      </w:pPr>
      <w:r>
        <w:rPr>
          <w:rFonts w:cs="Times New Roman"/>
        </w:rPr>
        <w:t>Nakamura, Emi, Jósef Sigurdsson, and Jón Steinsson (2017). The Gift of Moving: Intergenerational Consequences of a Mobility Shock.” NBER Working Paper 22392.</w:t>
      </w:r>
    </w:p>
    <w:p w14:paraId="0C033AA9" w14:textId="77777777" w:rsidR="008F32E1" w:rsidRPr="00F03CA2" w:rsidRDefault="008F32E1" w:rsidP="00C61A4C">
      <w:pPr>
        <w:spacing w:line="240" w:lineRule="auto"/>
        <w:rPr>
          <w:rFonts w:cs="Times New Roman"/>
        </w:rPr>
      </w:pPr>
    </w:p>
    <w:p w14:paraId="66C029DB" w14:textId="67310E80" w:rsidR="00E02F8F" w:rsidRDefault="008F32E1" w:rsidP="00C61A4C">
      <w:pPr>
        <w:spacing w:line="240" w:lineRule="auto"/>
        <w:rPr>
          <w:rFonts w:cs="Times New Roman"/>
        </w:rPr>
      </w:pPr>
      <w:r w:rsidRPr="00F03CA2">
        <w:rPr>
          <w:rFonts w:cs="Times New Roman"/>
        </w:rPr>
        <w:t>National Archives of Ireland. n.d. History of Irish Census Records.</w:t>
      </w:r>
      <w:r w:rsidR="004E7B59">
        <w:rPr>
          <w:rFonts w:cs="Times New Roman"/>
        </w:rPr>
        <w:t xml:space="preserve"> </w:t>
      </w:r>
      <w:r w:rsidRPr="00F03CA2">
        <w:rPr>
          <w:rFonts w:cs="Times New Roman"/>
        </w:rPr>
        <w:t>http://www.census.nationalarchives.ie/help/history.html.  Accessed July 20, 2018.</w:t>
      </w:r>
    </w:p>
    <w:p w14:paraId="0658DD0E" w14:textId="70D4731B" w:rsidR="004D67E9" w:rsidRDefault="004D67E9" w:rsidP="00C61A4C">
      <w:pPr>
        <w:spacing w:line="240" w:lineRule="auto"/>
        <w:rPr>
          <w:rFonts w:cs="Times New Roman"/>
        </w:rPr>
      </w:pPr>
    </w:p>
    <w:p w14:paraId="1D9B065C" w14:textId="5F4FC3C6" w:rsidR="00005CD9" w:rsidRDefault="00005CD9" w:rsidP="00C61A4C">
      <w:pPr>
        <w:spacing w:line="240" w:lineRule="auto"/>
        <w:rPr>
          <w:rFonts w:cs="Times New Roman"/>
        </w:rPr>
      </w:pPr>
      <w:r w:rsidRPr="00F03CA2">
        <w:rPr>
          <w:rFonts w:cs="Times New Roman"/>
        </w:rPr>
        <w:t xml:space="preserve">Ó Gráda, Cormac (1983). “Across the Briny Ocean: Some Thoughts on Irish Emigration to America 1800–1850.” In </w:t>
      </w:r>
      <w:r w:rsidRPr="00F03CA2">
        <w:rPr>
          <w:rFonts w:cs="Times New Roman"/>
          <w:i/>
        </w:rPr>
        <w:t>Ireland and Scotland, 1600–1850: Parallels and Contrasts in Economic and Social Development</w:t>
      </w:r>
      <w:r w:rsidRPr="00F03CA2">
        <w:rPr>
          <w:rFonts w:cs="Times New Roman"/>
        </w:rPr>
        <w:t>. T. M. Devine and David Dickson (ed.). John Donald. Chap. 9, pp. 118–130.</w:t>
      </w:r>
    </w:p>
    <w:p w14:paraId="2DC29A02" w14:textId="77777777" w:rsidR="00005CD9" w:rsidRPr="00F03CA2" w:rsidRDefault="00005CD9" w:rsidP="00C61A4C">
      <w:pPr>
        <w:spacing w:line="240" w:lineRule="auto"/>
        <w:rPr>
          <w:rFonts w:cs="Times New Roman"/>
        </w:rPr>
      </w:pPr>
    </w:p>
    <w:p w14:paraId="20D23564" w14:textId="202D1A9D" w:rsidR="00036410" w:rsidRDefault="005F24E3" w:rsidP="00C61A4C">
      <w:pPr>
        <w:spacing w:line="240" w:lineRule="auto"/>
        <w:rPr>
          <w:rFonts w:cs="Times New Roman"/>
        </w:rPr>
      </w:pPr>
      <w:r w:rsidRPr="00F03CA2">
        <w:rPr>
          <w:rFonts w:cs="Times New Roman"/>
        </w:rPr>
        <w:t>Ó Gráda, Cormac</w:t>
      </w:r>
      <w:r w:rsidR="00036410" w:rsidRPr="00F03CA2">
        <w:rPr>
          <w:rFonts w:cs="Times New Roman"/>
        </w:rPr>
        <w:t xml:space="preserve"> (1999). </w:t>
      </w:r>
      <w:r w:rsidR="00036410" w:rsidRPr="00F03CA2">
        <w:rPr>
          <w:rFonts w:cs="Times New Roman"/>
          <w:i/>
        </w:rPr>
        <w:t>Black ’47 and Beyond: The Great Irish Famine in History, Economy, and Memory</w:t>
      </w:r>
      <w:r w:rsidRPr="00F03CA2">
        <w:rPr>
          <w:rFonts w:cs="Times New Roman"/>
        </w:rPr>
        <w:t>. Princeton: Prince</w:t>
      </w:r>
      <w:r w:rsidR="00036410" w:rsidRPr="00F03CA2">
        <w:rPr>
          <w:rFonts w:cs="Times New Roman"/>
        </w:rPr>
        <w:t xml:space="preserve">ton University Press. </w:t>
      </w:r>
    </w:p>
    <w:p w14:paraId="7D62BD2E" w14:textId="5000827C" w:rsidR="00763056" w:rsidRDefault="00763056" w:rsidP="00C61A4C">
      <w:pPr>
        <w:spacing w:line="240" w:lineRule="auto"/>
        <w:rPr>
          <w:rFonts w:cs="Times New Roman"/>
        </w:rPr>
      </w:pPr>
    </w:p>
    <w:p w14:paraId="3E9ABF84" w14:textId="15698166" w:rsidR="00763056" w:rsidRDefault="00763056" w:rsidP="00C61A4C">
      <w:pPr>
        <w:spacing w:line="240" w:lineRule="auto"/>
        <w:rPr>
          <w:rFonts w:cs="Times New Roman"/>
        </w:rPr>
      </w:pPr>
      <w:r>
        <w:rPr>
          <w:rFonts w:cs="Times New Roman"/>
        </w:rPr>
        <w:t>Ó Gráda, Cormac (2016). “What’s in an Irish Surname? Connollys and Others a Century Ago.” UCD Centre for Economic Research Working Paper WP 2016/05.</w:t>
      </w:r>
    </w:p>
    <w:p w14:paraId="0B95EDD7" w14:textId="11D20509" w:rsidR="00FD1761" w:rsidRDefault="00FD1761" w:rsidP="00C61A4C">
      <w:pPr>
        <w:spacing w:line="240" w:lineRule="auto"/>
        <w:rPr>
          <w:rFonts w:cs="Times New Roman"/>
        </w:rPr>
      </w:pPr>
    </w:p>
    <w:p w14:paraId="4117D906" w14:textId="2EF51409" w:rsidR="00FD1761" w:rsidRPr="00FD1761" w:rsidRDefault="00FD1761" w:rsidP="00C61A4C">
      <w:pPr>
        <w:spacing w:line="240" w:lineRule="auto"/>
        <w:rPr>
          <w:rFonts w:cs="Times New Roman"/>
        </w:rPr>
      </w:pPr>
      <w:r>
        <w:rPr>
          <w:rFonts w:cs="Times New Roman"/>
        </w:rPr>
        <w:t xml:space="preserve">Ó Gráda, Cormac (2019). “The Next World and the New World: Relief, Migration, and the Great Irish Famine.” </w:t>
      </w:r>
      <w:r>
        <w:rPr>
          <w:rFonts w:cs="Times New Roman"/>
          <w:i/>
          <w:iCs/>
        </w:rPr>
        <w:t>Journal of Economic History</w:t>
      </w:r>
      <w:r>
        <w:rPr>
          <w:rFonts w:cs="Times New Roman"/>
        </w:rPr>
        <w:t xml:space="preserve"> Forthcoming.</w:t>
      </w:r>
    </w:p>
    <w:p w14:paraId="2847F400" w14:textId="77777777" w:rsidR="00F03CA2" w:rsidRPr="00F03CA2" w:rsidRDefault="00F03CA2" w:rsidP="00C61A4C">
      <w:pPr>
        <w:spacing w:line="240" w:lineRule="auto"/>
        <w:rPr>
          <w:rFonts w:cs="Times New Roman"/>
        </w:rPr>
      </w:pPr>
    </w:p>
    <w:p w14:paraId="3B570CE7" w14:textId="30FEE688" w:rsidR="00036410" w:rsidRDefault="00036410" w:rsidP="00C61A4C">
      <w:pPr>
        <w:spacing w:line="240" w:lineRule="auto"/>
        <w:rPr>
          <w:rFonts w:cs="Times New Roman"/>
        </w:rPr>
      </w:pPr>
      <w:r w:rsidRPr="00F03CA2">
        <w:rPr>
          <w:rFonts w:cs="Times New Roman"/>
        </w:rPr>
        <w:t xml:space="preserve">Ó Gráda, Cormac and Kevin H. O’Rourke (1997). “Migration as Disaster Relief: Lessons from the Great Irish Famine.” </w:t>
      </w:r>
      <w:r w:rsidRPr="00F03CA2">
        <w:rPr>
          <w:rFonts w:cs="Times New Roman"/>
          <w:i/>
        </w:rPr>
        <w:t>European Review of Economic History</w:t>
      </w:r>
      <w:r w:rsidR="00AC1981">
        <w:rPr>
          <w:rFonts w:cs="Times New Roman"/>
        </w:rPr>
        <w:t xml:space="preserve"> 1, pp. </w:t>
      </w:r>
      <w:r w:rsidRPr="00F03CA2">
        <w:rPr>
          <w:rFonts w:cs="Times New Roman"/>
        </w:rPr>
        <w:t xml:space="preserve">3–25. </w:t>
      </w:r>
    </w:p>
    <w:p w14:paraId="6B6873DF" w14:textId="77777777" w:rsidR="00F03CA2" w:rsidRDefault="00F03CA2" w:rsidP="00C61A4C">
      <w:pPr>
        <w:spacing w:line="240" w:lineRule="auto"/>
        <w:rPr>
          <w:rFonts w:cs="Times New Roman"/>
        </w:rPr>
      </w:pPr>
    </w:p>
    <w:p w14:paraId="3870BAF1" w14:textId="77777777" w:rsidR="00CD34A0" w:rsidRDefault="00CD34A0" w:rsidP="00CD34A0">
      <w:pPr>
        <w:spacing w:line="240" w:lineRule="auto"/>
        <w:rPr>
          <w:rFonts w:cs="Times New Roman"/>
        </w:rPr>
      </w:pPr>
      <w:r>
        <w:rPr>
          <w:rFonts w:cs="Times New Roman"/>
        </w:rPr>
        <w:t>Pérez, Santiago (2018). “Railroads and the Rural to Urban Transition: Evidence from 19</w:t>
      </w:r>
      <w:r w:rsidRPr="00DD5966">
        <w:rPr>
          <w:rFonts w:cs="Times New Roman"/>
          <w:vertAlign w:val="superscript"/>
        </w:rPr>
        <w:t>th</w:t>
      </w:r>
      <w:r>
        <w:rPr>
          <w:rFonts w:cs="Times New Roman"/>
        </w:rPr>
        <w:t xml:space="preserve"> Century Argentina.” Mimeo., UC Davis. </w:t>
      </w:r>
    </w:p>
    <w:p w14:paraId="2FA2BFD5" w14:textId="77777777" w:rsidR="00CD34A0" w:rsidRPr="00F03CA2" w:rsidRDefault="00CD34A0" w:rsidP="00C61A4C">
      <w:pPr>
        <w:spacing w:line="240" w:lineRule="auto"/>
        <w:rPr>
          <w:rFonts w:cs="Times New Roman"/>
        </w:rPr>
      </w:pPr>
    </w:p>
    <w:p w14:paraId="3F89D1A5" w14:textId="40B50D3C" w:rsidR="00B372E4" w:rsidRPr="00B372E4" w:rsidRDefault="00B372E4" w:rsidP="00C61A4C">
      <w:pPr>
        <w:spacing w:line="240" w:lineRule="auto"/>
        <w:rPr>
          <w:rFonts w:cs="Times New Roman"/>
        </w:rPr>
      </w:pPr>
      <w:r>
        <w:rPr>
          <w:rFonts w:cs="Times New Roman"/>
        </w:rPr>
        <w:t>Pérez, Santiago (</w:t>
      </w:r>
      <w:r w:rsidR="0002357F">
        <w:rPr>
          <w:rFonts w:cs="Times New Roman"/>
        </w:rPr>
        <w:t>2019</w:t>
      </w:r>
      <w:r w:rsidR="00CD34A0">
        <w:rPr>
          <w:rFonts w:cs="Times New Roman"/>
        </w:rPr>
        <w:t>a</w:t>
      </w:r>
      <w:r>
        <w:rPr>
          <w:rFonts w:cs="Times New Roman"/>
        </w:rPr>
        <w:t xml:space="preserve">). “Intergenerational Occupational Mobility Across Three Continents.” </w:t>
      </w:r>
      <w:r>
        <w:rPr>
          <w:rFonts w:cs="Times New Roman"/>
          <w:i/>
          <w:iCs/>
        </w:rPr>
        <w:t>Journal of Economic History</w:t>
      </w:r>
      <w:r>
        <w:rPr>
          <w:rFonts w:cs="Times New Roman"/>
        </w:rPr>
        <w:t xml:space="preserve"> Forthcoming.</w:t>
      </w:r>
    </w:p>
    <w:p w14:paraId="1DFCE0A2" w14:textId="77777777" w:rsidR="00B372E4" w:rsidRDefault="00B372E4" w:rsidP="00C61A4C">
      <w:pPr>
        <w:spacing w:line="240" w:lineRule="auto"/>
        <w:rPr>
          <w:rFonts w:cs="Times New Roman"/>
        </w:rPr>
      </w:pPr>
    </w:p>
    <w:p w14:paraId="4C9046ED" w14:textId="28394FB9" w:rsidR="002D09E6" w:rsidRDefault="002D09E6" w:rsidP="00C61A4C">
      <w:pPr>
        <w:spacing w:line="240" w:lineRule="auto"/>
        <w:rPr>
          <w:rFonts w:cs="Times New Roman"/>
        </w:rPr>
      </w:pPr>
      <w:r w:rsidRPr="004267B8">
        <w:rPr>
          <w:rFonts w:cs="Times New Roman"/>
        </w:rPr>
        <w:t>Pérez, Santiago (2019</w:t>
      </w:r>
      <w:r w:rsidR="0002357F" w:rsidRPr="004267B8">
        <w:rPr>
          <w:rFonts w:cs="Times New Roman"/>
        </w:rPr>
        <w:t>b</w:t>
      </w:r>
      <w:r w:rsidRPr="004267B8">
        <w:rPr>
          <w:rFonts w:cs="Times New Roman"/>
        </w:rPr>
        <w:t>). “Southern (American) Hospitality: Italians in Argentina and the United States during the Age of Mass Migration.” Mimeo., UC Davis.</w:t>
      </w:r>
    </w:p>
    <w:p w14:paraId="213223FB" w14:textId="77777777" w:rsidR="00F03CA2" w:rsidRPr="00F03CA2" w:rsidRDefault="00F03CA2" w:rsidP="00C61A4C">
      <w:pPr>
        <w:spacing w:line="240" w:lineRule="auto"/>
        <w:rPr>
          <w:rFonts w:cs="Times New Roman"/>
        </w:rPr>
      </w:pPr>
    </w:p>
    <w:p w14:paraId="3313130F" w14:textId="6402A13D" w:rsidR="007E4EF9" w:rsidRPr="00F03CA2" w:rsidRDefault="007E4EF9" w:rsidP="00C61A4C">
      <w:pPr>
        <w:spacing w:line="240" w:lineRule="auto"/>
        <w:rPr>
          <w:rFonts w:cs="Times New Roman"/>
        </w:rPr>
      </w:pPr>
      <w:r w:rsidRPr="00F03CA2">
        <w:rPr>
          <w:rFonts w:cs="Times New Roman"/>
          <w:spacing w:val="-6"/>
        </w:rPr>
        <w:t xml:space="preserve">Roy, </w:t>
      </w:r>
      <w:r w:rsidRPr="00F03CA2">
        <w:rPr>
          <w:rFonts w:cs="Times New Roman"/>
        </w:rPr>
        <w:t>A. D. (1951). “Some Thoughts on the Distribution of</w:t>
      </w:r>
      <w:r w:rsidRPr="00F03CA2">
        <w:rPr>
          <w:rFonts w:cs="Times New Roman"/>
          <w:spacing w:val="54"/>
        </w:rPr>
        <w:t xml:space="preserve"> </w:t>
      </w:r>
      <w:r w:rsidRPr="00F03CA2">
        <w:rPr>
          <w:rFonts w:cs="Times New Roman"/>
        </w:rPr>
        <w:t xml:space="preserve">Earnings.” </w:t>
      </w:r>
      <w:r w:rsidRPr="00F03CA2">
        <w:rPr>
          <w:rFonts w:cs="Times New Roman"/>
          <w:i/>
          <w:iCs/>
        </w:rPr>
        <w:t xml:space="preserve">Oxford Economic Papers </w:t>
      </w:r>
      <w:r w:rsidRPr="00F03CA2">
        <w:rPr>
          <w:rFonts w:cs="Times New Roman"/>
        </w:rPr>
        <w:t>3:2, pp.</w:t>
      </w:r>
      <w:r w:rsidRPr="00F03CA2">
        <w:rPr>
          <w:rFonts w:cs="Times New Roman"/>
          <w:spacing w:val="51"/>
        </w:rPr>
        <w:t xml:space="preserve"> </w:t>
      </w:r>
      <w:r w:rsidRPr="00F03CA2">
        <w:rPr>
          <w:rFonts w:cs="Times New Roman"/>
        </w:rPr>
        <w:t>135–146.</w:t>
      </w:r>
    </w:p>
    <w:p w14:paraId="08AA648E" w14:textId="77777777" w:rsidR="007E4EF9" w:rsidRPr="00F03CA2" w:rsidRDefault="007E4EF9" w:rsidP="00C61A4C">
      <w:pPr>
        <w:spacing w:line="240" w:lineRule="auto"/>
        <w:rPr>
          <w:rFonts w:cs="Times New Roman"/>
        </w:rPr>
      </w:pPr>
    </w:p>
    <w:p w14:paraId="0D952DC8" w14:textId="0FE8A570" w:rsidR="00A13502" w:rsidRPr="00F03CA2" w:rsidRDefault="00A13502" w:rsidP="00C61A4C">
      <w:pPr>
        <w:spacing w:line="240" w:lineRule="auto"/>
        <w:rPr>
          <w:rFonts w:cs="Times New Roman"/>
          <w:bCs/>
        </w:rPr>
      </w:pPr>
      <w:r w:rsidRPr="00F03CA2">
        <w:rPr>
          <w:rFonts w:cs="Times New Roman"/>
          <w:bCs/>
        </w:rPr>
        <w:t xml:space="preserve">Ruggles, Steven, </w:t>
      </w:r>
      <w:r w:rsidRPr="00F03CA2">
        <w:rPr>
          <w:rFonts w:eastAsia="Times New Roman" w:cs="Times New Roman"/>
          <w:color w:val="00263A"/>
          <w:shd w:val="clear" w:color="auto" w:fill="FFFFFF"/>
        </w:rPr>
        <w:t>Katie Genadek, Ronald Goeken, Josiah Grover, and Matthew Sobek</w:t>
      </w:r>
      <w:r w:rsidR="008153D7">
        <w:rPr>
          <w:rFonts w:eastAsia="Times New Roman" w:cs="Times New Roman"/>
          <w:color w:val="00263A"/>
          <w:shd w:val="clear" w:color="auto" w:fill="FFFFFF"/>
        </w:rPr>
        <w:t xml:space="preserve"> (</w:t>
      </w:r>
      <w:r w:rsidRPr="00F03CA2">
        <w:rPr>
          <w:rFonts w:cs="Times New Roman"/>
          <w:bCs/>
        </w:rPr>
        <w:t>2015</w:t>
      </w:r>
      <w:r w:rsidR="008153D7">
        <w:rPr>
          <w:rFonts w:cs="Times New Roman"/>
          <w:bCs/>
        </w:rPr>
        <w:t>)</w:t>
      </w:r>
      <w:r w:rsidRPr="00F03CA2">
        <w:rPr>
          <w:rFonts w:cs="Times New Roman"/>
          <w:bCs/>
        </w:rPr>
        <w:t xml:space="preserve">. </w:t>
      </w:r>
      <w:r w:rsidRPr="00F03CA2">
        <w:rPr>
          <w:rFonts w:cs="Times New Roman"/>
          <w:bCs/>
          <w:i/>
        </w:rPr>
        <w:t xml:space="preserve">Integrated Public Use Microdata Series: Version 6.0 </w:t>
      </w:r>
      <w:r w:rsidRPr="00F03CA2">
        <w:rPr>
          <w:rFonts w:cs="Times New Roman"/>
          <w:bCs/>
        </w:rPr>
        <w:t>[Machine-readable database]. Minneapoli</w:t>
      </w:r>
      <w:r w:rsidR="008153D7">
        <w:rPr>
          <w:rFonts w:cs="Times New Roman"/>
          <w:bCs/>
        </w:rPr>
        <w:t>s: University of Minnesota</w:t>
      </w:r>
      <w:r w:rsidRPr="00F03CA2">
        <w:rPr>
          <w:rFonts w:cs="Times New Roman"/>
          <w:bCs/>
        </w:rPr>
        <w:t>.</w:t>
      </w:r>
    </w:p>
    <w:p w14:paraId="2F229EDB" w14:textId="77777777" w:rsidR="00864E86" w:rsidRPr="00F03CA2" w:rsidRDefault="00864E86" w:rsidP="00C61A4C">
      <w:pPr>
        <w:spacing w:line="240" w:lineRule="auto"/>
        <w:rPr>
          <w:rFonts w:cs="Times New Roman"/>
          <w:bCs/>
        </w:rPr>
      </w:pPr>
    </w:p>
    <w:p w14:paraId="101F91CA" w14:textId="0F33CF47" w:rsidR="006D0806" w:rsidRDefault="003B11E7" w:rsidP="00C61A4C">
      <w:pPr>
        <w:spacing w:line="240" w:lineRule="auto"/>
        <w:rPr>
          <w:rFonts w:cs="Times New Roman"/>
        </w:rPr>
      </w:pPr>
      <w:r w:rsidRPr="00F03CA2">
        <w:rPr>
          <w:rFonts w:cs="Times New Roman"/>
        </w:rPr>
        <w:t>Solar, Pe</w:t>
      </w:r>
      <w:r w:rsidR="000A770F">
        <w:rPr>
          <w:rFonts w:cs="Times New Roman"/>
        </w:rPr>
        <w:t>ter M. 1989. “The Great Famine Was No Ordinary Subsistence C</w:t>
      </w:r>
      <w:r w:rsidRPr="00F03CA2">
        <w:rPr>
          <w:rFonts w:cs="Times New Roman"/>
        </w:rPr>
        <w:t xml:space="preserve">risis.” In E.M. Crawford (ed.), </w:t>
      </w:r>
      <w:r w:rsidRPr="00F03CA2">
        <w:rPr>
          <w:rFonts w:cs="Times New Roman"/>
          <w:i/>
          <w:iCs/>
        </w:rPr>
        <w:t xml:space="preserve">Famine: </w:t>
      </w:r>
      <w:r w:rsidR="00B2335F" w:rsidRPr="00F03CA2">
        <w:rPr>
          <w:rFonts w:cs="Times New Roman"/>
          <w:i/>
          <w:iCs/>
        </w:rPr>
        <w:t>The</w:t>
      </w:r>
      <w:r w:rsidRPr="00F03CA2">
        <w:rPr>
          <w:rFonts w:cs="Times New Roman"/>
          <w:i/>
          <w:iCs/>
        </w:rPr>
        <w:t xml:space="preserve"> Irish Experience, 900-1900</w:t>
      </w:r>
      <w:r w:rsidRPr="00F03CA2">
        <w:rPr>
          <w:rFonts w:cs="Times New Roman"/>
        </w:rPr>
        <w:t xml:space="preserve">, Edinburgh: John Donald, pp. 112-131. </w:t>
      </w:r>
    </w:p>
    <w:p w14:paraId="2C3FD7D6" w14:textId="77777777" w:rsidR="00F03CA2" w:rsidRPr="00F03CA2" w:rsidRDefault="00F03CA2" w:rsidP="00C61A4C">
      <w:pPr>
        <w:spacing w:line="240" w:lineRule="auto"/>
        <w:rPr>
          <w:rFonts w:eastAsia="Times New Roman" w:cs="Times New Roman"/>
        </w:rPr>
      </w:pPr>
    </w:p>
    <w:p w14:paraId="05A79276" w14:textId="22AAB5B7" w:rsidR="007E4EF9" w:rsidRPr="00F03CA2" w:rsidRDefault="00243018" w:rsidP="00C61A4C">
      <w:pPr>
        <w:spacing w:line="240" w:lineRule="auto"/>
        <w:rPr>
          <w:rFonts w:cs="Times New Roman"/>
        </w:rPr>
      </w:pPr>
      <w:r>
        <w:rPr>
          <w:rFonts w:cs="Times New Roman"/>
        </w:rPr>
        <w:t>Spitzer, Yannay (2018</w:t>
      </w:r>
      <w:r w:rsidR="007E4EF9" w:rsidRPr="00F03CA2">
        <w:rPr>
          <w:rFonts w:cs="Times New Roman"/>
        </w:rPr>
        <w:t>). “Pogroms, Networks, and Migration: The Jewish Migration from the Russian Empire to the United States 1881–1914.” Mimeo. Hebrew University of Jerusalem.</w:t>
      </w:r>
    </w:p>
    <w:p w14:paraId="58D4E4F7" w14:textId="77777777" w:rsidR="007E4EF9" w:rsidRPr="00F03CA2" w:rsidRDefault="007E4EF9" w:rsidP="00C61A4C">
      <w:pPr>
        <w:spacing w:line="240" w:lineRule="auto"/>
        <w:rPr>
          <w:rFonts w:cs="Times New Roman"/>
        </w:rPr>
      </w:pPr>
    </w:p>
    <w:p w14:paraId="197DCCCC" w14:textId="523EBFD1" w:rsidR="007E4EF9" w:rsidRDefault="007E4EF9" w:rsidP="00C61A4C">
      <w:pPr>
        <w:spacing w:line="240" w:lineRule="auto"/>
        <w:rPr>
          <w:rFonts w:cs="Times New Roman"/>
        </w:rPr>
      </w:pPr>
      <w:r w:rsidRPr="00F03CA2">
        <w:rPr>
          <w:rFonts w:cs="Times New Roman"/>
        </w:rPr>
        <w:t>Spitzer, Yannay and Ariell Zimran</w:t>
      </w:r>
      <w:r w:rsidR="00BD49AD" w:rsidRPr="00F03CA2">
        <w:rPr>
          <w:rFonts w:cs="Times New Roman"/>
        </w:rPr>
        <w:t xml:space="preserve"> (2018</w:t>
      </w:r>
      <w:r w:rsidRPr="00F03CA2">
        <w:rPr>
          <w:rFonts w:cs="Times New Roman"/>
        </w:rPr>
        <w:t xml:space="preserve">). “Migrant Self-Selection: Anthropometric Evidence from the Mass Migration of Italians to the United States, 1907–1925.” </w:t>
      </w:r>
      <w:r w:rsidR="00BD49AD" w:rsidRPr="00F03CA2">
        <w:rPr>
          <w:rFonts w:cs="Times New Roman"/>
          <w:i/>
        </w:rPr>
        <w:t xml:space="preserve">Journal of Development Economics </w:t>
      </w:r>
      <w:r w:rsidR="00BD49AD" w:rsidRPr="00F03CA2">
        <w:rPr>
          <w:rFonts w:cs="Times New Roman"/>
        </w:rPr>
        <w:t>134, pp. 226-247</w:t>
      </w:r>
      <w:r w:rsidR="00DA5843" w:rsidRPr="00F03CA2">
        <w:rPr>
          <w:rFonts w:cs="Times New Roman"/>
        </w:rPr>
        <w:t>.</w:t>
      </w:r>
    </w:p>
    <w:p w14:paraId="346666F3" w14:textId="77777777" w:rsidR="00DD6DED" w:rsidRDefault="00DD6DED" w:rsidP="00C61A4C">
      <w:pPr>
        <w:spacing w:line="240" w:lineRule="auto"/>
        <w:rPr>
          <w:rFonts w:cs="Times New Roman"/>
        </w:rPr>
      </w:pPr>
    </w:p>
    <w:p w14:paraId="57884D2C" w14:textId="698F85F2" w:rsidR="00DD6DED" w:rsidRPr="00DD6DED" w:rsidRDefault="00DD6DED" w:rsidP="00C61A4C">
      <w:pPr>
        <w:spacing w:line="240" w:lineRule="auto"/>
        <w:rPr>
          <w:rFonts w:cs="Times New Roman"/>
        </w:rPr>
      </w:pPr>
      <w:r>
        <w:rPr>
          <w:rFonts w:cs="Times New Roman"/>
        </w:rPr>
        <w:t xml:space="preserve">Stewart, James I. (2006). “Migration to the Agricultural Frontier and Wealth Accumulation, 1860-1870.” </w:t>
      </w:r>
      <w:r>
        <w:rPr>
          <w:rFonts w:cs="Times New Roman"/>
          <w:i/>
        </w:rPr>
        <w:t>Explorations in Economic History</w:t>
      </w:r>
      <w:r>
        <w:rPr>
          <w:rFonts w:cs="Times New Roman"/>
        </w:rPr>
        <w:t xml:space="preserve"> 43, pp. 547-577.</w:t>
      </w:r>
    </w:p>
    <w:p w14:paraId="7336A64A" w14:textId="77777777" w:rsidR="00C733E7" w:rsidRDefault="00C733E7" w:rsidP="00C61A4C">
      <w:pPr>
        <w:spacing w:line="240" w:lineRule="auto"/>
        <w:rPr>
          <w:rFonts w:cs="Times New Roman"/>
        </w:rPr>
      </w:pPr>
    </w:p>
    <w:p w14:paraId="1296629E" w14:textId="3D83BC00" w:rsidR="00C733E7" w:rsidRPr="00C733E7" w:rsidRDefault="00C733E7" w:rsidP="00C61A4C">
      <w:pPr>
        <w:spacing w:line="240" w:lineRule="auto"/>
        <w:rPr>
          <w:rFonts w:cs="Times New Roman"/>
        </w:rPr>
      </w:pPr>
      <w:r>
        <w:rPr>
          <w:rFonts w:cs="Times New Roman"/>
        </w:rPr>
        <w:t>U</w:t>
      </w:r>
      <w:r w:rsidR="00AF6743">
        <w:rPr>
          <w:rFonts w:cs="Times New Roman"/>
        </w:rPr>
        <w:t xml:space="preserve">nited </w:t>
      </w:r>
      <w:r>
        <w:rPr>
          <w:rFonts w:cs="Times New Roman"/>
        </w:rPr>
        <w:t>N</w:t>
      </w:r>
      <w:r w:rsidR="00AF6743">
        <w:rPr>
          <w:rFonts w:cs="Times New Roman"/>
        </w:rPr>
        <w:t xml:space="preserve">ations </w:t>
      </w:r>
      <w:r>
        <w:rPr>
          <w:rFonts w:cs="Times New Roman"/>
        </w:rPr>
        <w:t>H</w:t>
      </w:r>
      <w:r w:rsidR="00AF6743">
        <w:rPr>
          <w:rFonts w:cs="Times New Roman"/>
        </w:rPr>
        <w:t xml:space="preserve">igh </w:t>
      </w:r>
      <w:r>
        <w:rPr>
          <w:rFonts w:cs="Times New Roman"/>
        </w:rPr>
        <w:t>C</w:t>
      </w:r>
      <w:r w:rsidR="00AF6743">
        <w:rPr>
          <w:rFonts w:cs="Times New Roman"/>
        </w:rPr>
        <w:t xml:space="preserve">ommissioner for </w:t>
      </w:r>
      <w:r>
        <w:rPr>
          <w:rFonts w:cs="Times New Roman"/>
        </w:rPr>
        <w:t>R</w:t>
      </w:r>
      <w:r w:rsidR="00AF6743">
        <w:rPr>
          <w:rFonts w:cs="Times New Roman"/>
        </w:rPr>
        <w:t>efugees</w:t>
      </w:r>
      <w:r>
        <w:rPr>
          <w:rFonts w:cs="Times New Roman"/>
        </w:rPr>
        <w:t xml:space="preserve"> (2017). </w:t>
      </w:r>
      <w:r>
        <w:rPr>
          <w:rFonts w:cs="Times New Roman"/>
          <w:i/>
        </w:rPr>
        <w:t>Global Trends: Forced Displacement in 2017</w:t>
      </w:r>
      <w:r>
        <w:rPr>
          <w:rFonts w:cs="Times New Roman"/>
        </w:rPr>
        <w:t>. United Nations High Commissioner for Refugees.</w:t>
      </w:r>
    </w:p>
    <w:p w14:paraId="30BBC1A6" w14:textId="77777777" w:rsidR="00504989" w:rsidRPr="00F03CA2" w:rsidRDefault="00504989" w:rsidP="00C61A4C">
      <w:pPr>
        <w:spacing w:line="240" w:lineRule="auto"/>
        <w:rPr>
          <w:rFonts w:cs="Times New Roman"/>
        </w:rPr>
      </w:pPr>
    </w:p>
    <w:p w14:paraId="3BEF1EA2" w14:textId="3DEC6F53" w:rsidR="00547244" w:rsidRDefault="00547244" w:rsidP="00C61A4C">
      <w:pPr>
        <w:spacing w:line="240" w:lineRule="auto"/>
        <w:rPr>
          <w:rFonts w:cs="Times New Roman"/>
        </w:rPr>
      </w:pPr>
      <w:r w:rsidRPr="00F03CA2">
        <w:rPr>
          <w:rFonts w:cs="Times New Roman"/>
        </w:rPr>
        <w:t xml:space="preserve">US Department of State, US Department of Homeland Security, and US Department of Health and Human Services (2017). </w:t>
      </w:r>
      <w:r w:rsidRPr="00F03CA2">
        <w:rPr>
          <w:rFonts w:cs="Times New Roman"/>
          <w:i/>
        </w:rPr>
        <w:t>Proposed Refugee Admissions for Fiscal Year 2018</w:t>
      </w:r>
      <w:r w:rsidRPr="00F03CA2">
        <w:rPr>
          <w:rFonts w:cs="Times New Roman"/>
        </w:rPr>
        <w:t xml:space="preserve">. </w:t>
      </w:r>
    </w:p>
    <w:p w14:paraId="1A0B640E" w14:textId="77777777" w:rsidR="006067F2" w:rsidRDefault="006067F2" w:rsidP="00C61A4C">
      <w:pPr>
        <w:spacing w:line="240" w:lineRule="auto"/>
        <w:rPr>
          <w:rFonts w:cs="Times New Roman"/>
        </w:rPr>
      </w:pPr>
    </w:p>
    <w:p w14:paraId="420A2AAD" w14:textId="5076028F" w:rsidR="006067F2" w:rsidRPr="00F03CA2" w:rsidRDefault="006067F2" w:rsidP="00C61A4C">
      <w:pPr>
        <w:spacing w:line="240" w:lineRule="auto"/>
        <w:rPr>
          <w:rFonts w:cs="Times New Roman"/>
        </w:rPr>
      </w:pPr>
      <w:r>
        <w:rPr>
          <w:rFonts w:cs="Times New Roman"/>
        </w:rPr>
        <w:t>US Immigration Commission (1911). Reports, 61</w:t>
      </w:r>
      <w:r w:rsidRPr="006067F2">
        <w:rPr>
          <w:rFonts w:cs="Times New Roman"/>
          <w:vertAlign w:val="superscript"/>
        </w:rPr>
        <w:t>st</w:t>
      </w:r>
      <w:r>
        <w:rPr>
          <w:rFonts w:cs="Times New Roman"/>
        </w:rPr>
        <w:t xml:space="preserve"> Congress, 1</w:t>
      </w:r>
      <w:r w:rsidRPr="006067F2">
        <w:rPr>
          <w:rFonts w:cs="Times New Roman"/>
          <w:vertAlign w:val="superscript"/>
        </w:rPr>
        <w:t>st</w:t>
      </w:r>
      <w:r>
        <w:rPr>
          <w:rFonts w:cs="Times New Roman"/>
        </w:rPr>
        <w:t xml:space="preserve"> Session. Washington, DC: GPO.</w:t>
      </w:r>
    </w:p>
    <w:p w14:paraId="61E9C582" w14:textId="77777777" w:rsidR="007E4EF9" w:rsidRPr="00F03CA2" w:rsidRDefault="007E4EF9" w:rsidP="00C61A4C">
      <w:pPr>
        <w:spacing w:line="240" w:lineRule="auto"/>
        <w:rPr>
          <w:rFonts w:cs="Times New Roman"/>
          <w:spacing w:val="-6"/>
          <w:w w:val="99"/>
        </w:rPr>
      </w:pPr>
    </w:p>
    <w:p w14:paraId="4FE4D935" w14:textId="4E863582" w:rsidR="004115C8" w:rsidRDefault="00F26F08" w:rsidP="00C61A4C">
      <w:pPr>
        <w:widowControl w:val="0"/>
        <w:tabs>
          <w:tab w:val="left" w:pos="6340"/>
        </w:tabs>
        <w:spacing w:line="240" w:lineRule="auto"/>
      </w:pPr>
      <w:r>
        <w:t xml:space="preserve">Wegge, Simone A. (1998). “Chain Migration and Information Networks: Evidence from Nineteenth-Century Hesse-Cassel.” </w:t>
      </w:r>
      <w:r>
        <w:rPr>
          <w:i/>
        </w:rPr>
        <w:t>Journal of Economic History</w:t>
      </w:r>
      <w:r>
        <w:t xml:space="preserve"> 58:4, pp. 957-986.</w:t>
      </w:r>
    </w:p>
    <w:p w14:paraId="0DBF8A61" w14:textId="082C7007" w:rsidR="005F58D1" w:rsidRDefault="005F58D1" w:rsidP="00C61A4C">
      <w:pPr>
        <w:widowControl w:val="0"/>
        <w:tabs>
          <w:tab w:val="left" w:pos="6340"/>
        </w:tabs>
        <w:spacing w:line="240" w:lineRule="auto"/>
      </w:pPr>
    </w:p>
    <w:p w14:paraId="2BD26648" w14:textId="122332F5" w:rsidR="005F58D1" w:rsidRDefault="005F58D1" w:rsidP="00C61A4C">
      <w:pPr>
        <w:widowControl w:val="0"/>
        <w:tabs>
          <w:tab w:val="left" w:pos="6340"/>
        </w:tabs>
        <w:spacing w:line="240" w:lineRule="auto"/>
      </w:pPr>
      <w:r>
        <w:t xml:space="preserve">White, Michael J. and Erica Jade Mullen (2016). “Socioeconomic Attainment in the Ellis Island Era.” </w:t>
      </w:r>
      <w:r w:rsidRPr="00F96079">
        <w:rPr>
          <w:i/>
        </w:rPr>
        <w:t>Social Science History</w:t>
      </w:r>
      <w:r>
        <w:t xml:space="preserve"> 40:</w:t>
      </w:r>
      <w:r w:rsidR="00E74824">
        <w:t>1</w:t>
      </w:r>
      <w:r>
        <w:t>, pp. 147-181.</w:t>
      </w:r>
    </w:p>
    <w:p w14:paraId="2028039B" w14:textId="77777777" w:rsidR="009F4FFF" w:rsidRDefault="009F4FFF" w:rsidP="00C61A4C">
      <w:pPr>
        <w:widowControl w:val="0"/>
        <w:tabs>
          <w:tab w:val="left" w:pos="6340"/>
        </w:tabs>
        <w:spacing w:line="240" w:lineRule="auto"/>
      </w:pPr>
    </w:p>
    <w:p w14:paraId="3A1F03BC" w14:textId="77777777" w:rsidR="009F4FFF" w:rsidRDefault="009F4FFF" w:rsidP="00C61A4C">
      <w:pPr>
        <w:widowControl w:val="0"/>
        <w:tabs>
          <w:tab w:val="left" w:pos="6340"/>
        </w:tabs>
        <w:spacing w:line="240" w:lineRule="auto"/>
      </w:pPr>
    </w:p>
    <w:p w14:paraId="52DF2680" w14:textId="77777777" w:rsidR="009F4FFF" w:rsidRDefault="009F4FFF" w:rsidP="00C61A4C">
      <w:pPr>
        <w:widowControl w:val="0"/>
        <w:tabs>
          <w:tab w:val="left" w:pos="6340"/>
        </w:tabs>
        <w:spacing w:line="240" w:lineRule="auto"/>
      </w:pPr>
    </w:p>
    <w:p w14:paraId="55D4E938" w14:textId="07AF709D" w:rsidR="00C5672A" w:rsidRDefault="00C5672A">
      <w:pPr>
        <w:spacing w:line="240" w:lineRule="auto"/>
      </w:pPr>
      <w:r>
        <w:br w:type="page"/>
      </w:r>
    </w:p>
    <w:p w14:paraId="2B445482" w14:textId="33AAEAB3" w:rsidR="0074757B" w:rsidRDefault="00507CAC" w:rsidP="00CA1CEC">
      <w:pPr>
        <w:spacing w:line="240" w:lineRule="auto"/>
      </w:pPr>
      <w:r w:rsidRPr="00507CAC">
        <w:rPr>
          <w:rFonts w:ascii="Times New Roman Bold" w:hAnsi="Times New Roman Bold"/>
          <w:b/>
          <w:bCs/>
        </w:rPr>
        <w:t>Figures</w:t>
      </w:r>
    </w:p>
    <w:p w14:paraId="4F36A0E8" w14:textId="68404544" w:rsidR="00692B1A" w:rsidRDefault="004613F1" w:rsidP="00692B1A">
      <w:pPr>
        <w:widowControl w:val="0"/>
        <w:jc w:val="center"/>
      </w:pPr>
      <w:r>
        <w:t xml:space="preserve">Figure </w:t>
      </w:r>
      <w:r w:rsidR="00CA1CEC">
        <w:t>1</w:t>
      </w:r>
      <w:r w:rsidR="0092391E">
        <w:t>: Selection into linkage</w:t>
      </w:r>
    </w:p>
    <w:p w14:paraId="400D6FBF" w14:textId="4528177A" w:rsidR="00E9033D" w:rsidRDefault="00B128B3" w:rsidP="005F1D07">
      <w:pPr>
        <w:widowControl w:val="0"/>
        <w:jc w:val="center"/>
      </w:pPr>
      <w:r>
        <w:rPr>
          <w:noProof/>
        </w:rPr>
        <w:drawing>
          <wp:inline distT="0" distB="0" distL="0" distR="0" wp14:anchorId="2E1978BD" wp14:editId="0E2B847C">
            <wp:extent cx="4114800" cy="2992582"/>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nkageSelection.pdf"/>
                    <pic:cNvPicPr/>
                  </pic:nvPicPr>
                  <pic:blipFill>
                    <a:blip r:embed="rId8"/>
                    <a:stretch>
                      <a:fillRect/>
                    </a:stretch>
                  </pic:blipFill>
                  <pic:spPr>
                    <a:xfrm>
                      <a:off x="0" y="0"/>
                      <a:ext cx="4114800" cy="2992582"/>
                    </a:xfrm>
                    <a:prstGeom prst="rect">
                      <a:avLst/>
                    </a:prstGeom>
                  </pic:spPr>
                </pic:pic>
              </a:graphicData>
            </a:graphic>
          </wp:inline>
        </w:drawing>
      </w:r>
    </w:p>
    <w:p w14:paraId="3B00CB75" w14:textId="7EEC4D87" w:rsidR="00C21E38" w:rsidRDefault="009D4C8E" w:rsidP="00515E2E">
      <w:pPr>
        <w:widowControl w:val="0"/>
        <w:spacing w:line="240" w:lineRule="auto"/>
        <w:jc w:val="both"/>
      </w:pPr>
      <w:r>
        <w:rPr>
          <w:i/>
        </w:rPr>
        <w:t xml:space="preserve">Note: </w:t>
      </w:r>
      <w:r w:rsidR="00172241">
        <w:t xml:space="preserve">Sample covers sons </w:t>
      </w:r>
      <w:r w:rsidR="003D6155">
        <w:t>of 1850 Irish heads of household</w:t>
      </w:r>
      <w:r w:rsidR="00172241">
        <w:t>. The “</w:t>
      </w:r>
      <w:r w:rsidR="003D6155">
        <w:t>Linked</w:t>
      </w:r>
      <w:r w:rsidR="00172241">
        <w:t xml:space="preserve">” group contains 1850 sons who were </w:t>
      </w:r>
      <w:r w:rsidR="00A918EE">
        <w:t xml:space="preserve">successfully </w:t>
      </w:r>
      <w:r w:rsidR="00172241">
        <w:t xml:space="preserve">linked to 1880. The “All” group includes these individuals as well as those whose </w:t>
      </w:r>
      <w:r w:rsidR="00A918EE">
        <w:t>could not be linked</w:t>
      </w:r>
      <w:r w:rsidR="00172241">
        <w:t>. Values are divided by the smallest multiple of 10 needed to generate a mean below 1.</w:t>
      </w:r>
    </w:p>
    <w:p w14:paraId="6A94C218" w14:textId="77777777" w:rsidR="00413ABF" w:rsidRDefault="00413ABF" w:rsidP="005F1D07">
      <w:pPr>
        <w:widowControl w:val="0"/>
      </w:pPr>
    </w:p>
    <w:p w14:paraId="67E70642" w14:textId="77777777" w:rsidR="00413ABF" w:rsidRDefault="00413ABF" w:rsidP="005F1D07">
      <w:pPr>
        <w:widowControl w:val="0"/>
      </w:pPr>
    </w:p>
    <w:p w14:paraId="4E6ADE0E" w14:textId="77777777" w:rsidR="000E0062" w:rsidRDefault="000E0062" w:rsidP="000E0062">
      <w:pPr>
        <w:widowControl w:val="0"/>
      </w:pPr>
    </w:p>
    <w:p w14:paraId="3294E47D" w14:textId="77777777" w:rsidR="0074757B" w:rsidRDefault="0074757B" w:rsidP="000E0062">
      <w:pPr>
        <w:widowControl w:val="0"/>
      </w:pPr>
    </w:p>
    <w:p w14:paraId="150E5F49" w14:textId="77777777" w:rsidR="0074757B" w:rsidRDefault="0074757B" w:rsidP="000E0062">
      <w:pPr>
        <w:widowControl w:val="0"/>
      </w:pPr>
    </w:p>
    <w:p w14:paraId="334D7EA9" w14:textId="77777777" w:rsidR="00CA1CEC" w:rsidRDefault="00CA1CEC" w:rsidP="000E0062">
      <w:pPr>
        <w:widowControl w:val="0"/>
      </w:pPr>
    </w:p>
    <w:p w14:paraId="3F00DC28" w14:textId="77777777" w:rsidR="00CA1CEC" w:rsidRDefault="00CA1CEC" w:rsidP="000E0062">
      <w:pPr>
        <w:widowControl w:val="0"/>
      </w:pPr>
    </w:p>
    <w:p w14:paraId="1F0ABE4E" w14:textId="77777777" w:rsidR="00CA1CEC" w:rsidRDefault="00CA1CEC" w:rsidP="000E0062">
      <w:pPr>
        <w:widowControl w:val="0"/>
      </w:pPr>
    </w:p>
    <w:p w14:paraId="7A336CA8" w14:textId="77777777" w:rsidR="00CA1CEC" w:rsidRDefault="00CA1CEC" w:rsidP="000E0062">
      <w:pPr>
        <w:widowControl w:val="0"/>
      </w:pPr>
    </w:p>
    <w:p w14:paraId="21DC5D52" w14:textId="77777777" w:rsidR="00CA1CEC" w:rsidRDefault="00CA1CEC" w:rsidP="000E0062">
      <w:pPr>
        <w:widowControl w:val="0"/>
      </w:pPr>
    </w:p>
    <w:p w14:paraId="1DF4E909" w14:textId="77777777" w:rsidR="00CA1CEC" w:rsidRDefault="00CA1CEC" w:rsidP="000E0062">
      <w:pPr>
        <w:widowControl w:val="0"/>
      </w:pPr>
    </w:p>
    <w:p w14:paraId="636A3F1F" w14:textId="77777777" w:rsidR="0074757B" w:rsidRDefault="0074757B" w:rsidP="000E0062">
      <w:pPr>
        <w:widowControl w:val="0"/>
      </w:pPr>
    </w:p>
    <w:p w14:paraId="7E046CAA" w14:textId="77777777" w:rsidR="0074757B" w:rsidRDefault="0074757B" w:rsidP="000E0062">
      <w:pPr>
        <w:widowControl w:val="0"/>
      </w:pPr>
    </w:p>
    <w:p w14:paraId="0AC99EE3" w14:textId="77777777" w:rsidR="0074757B" w:rsidRDefault="0074757B" w:rsidP="000E0062">
      <w:pPr>
        <w:widowControl w:val="0"/>
      </w:pPr>
    </w:p>
    <w:p w14:paraId="73E117F2" w14:textId="77777777" w:rsidR="0074757B" w:rsidRDefault="0074757B" w:rsidP="000E0062">
      <w:pPr>
        <w:widowControl w:val="0"/>
      </w:pPr>
    </w:p>
    <w:p w14:paraId="04AE2570" w14:textId="77777777" w:rsidR="00CA1CEC" w:rsidRPr="00A378F4" w:rsidRDefault="00CA1CEC" w:rsidP="00CA1CEC">
      <w:pPr>
        <w:spacing w:line="240" w:lineRule="auto"/>
      </w:pPr>
    </w:p>
    <w:p w14:paraId="27DEE419" w14:textId="5EF5E36D" w:rsidR="00CA1CEC" w:rsidRDefault="00CA1CEC" w:rsidP="00CA1CEC">
      <w:pPr>
        <w:widowControl w:val="0"/>
        <w:jc w:val="center"/>
      </w:pPr>
      <w:r>
        <w:t>Figure 2: Selection into classification</w:t>
      </w:r>
    </w:p>
    <w:p w14:paraId="2CE16594" w14:textId="77777777" w:rsidR="00CA1CEC" w:rsidRDefault="00CA1CEC" w:rsidP="00CA1CEC">
      <w:pPr>
        <w:widowControl w:val="0"/>
        <w:jc w:val="center"/>
      </w:pPr>
      <w:r>
        <w:rPr>
          <w:noProof/>
        </w:rPr>
        <w:drawing>
          <wp:inline distT="0" distB="0" distL="0" distR="0" wp14:anchorId="295CC4E3" wp14:editId="66FA0856">
            <wp:extent cx="4114800" cy="2992582"/>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assificationSelection.pdf"/>
                    <pic:cNvPicPr/>
                  </pic:nvPicPr>
                  <pic:blipFill>
                    <a:blip r:embed="rId9"/>
                    <a:stretch>
                      <a:fillRect/>
                    </a:stretch>
                  </pic:blipFill>
                  <pic:spPr>
                    <a:xfrm>
                      <a:off x="0" y="0"/>
                      <a:ext cx="4114800" cy="2992582"/>
                    </a:xfrm>
                    <a:prstGeom prst="rect">
                      <a:avLst/>
                    </a:prstGeom>
                  </pic:spPr>
                </pic:pic>
              </a:graphicData>
            </a:graphic>
          </wp:inline>
        </w:drawing>
      </w:r>
    </w:p>
    <w:p w14:paraId="5E02B814" w14:textId="77777777" w:rsidR="00CA1CEC" w:rsidRDefault="00CA1CEC" w:rsidP="00CA1CEC">
      <w:pPr>
        <w:widowControl w:val="0"/>
        <w:spacing w:line="240" w:lineRule="auto"/>
        <w:jc w:val="both"/>
      </w:pPr>
      <w:r>
        <w:rPr>
          <w:i/>
        </w:rPr>
        <w:t xml:space="preserve">Note: </w:t>
      </w:r>
      <w:r>
        <w:t>Sample covers sons of 1850 Irish heads of household and is limited to those who could be linked from 1850 to 1880. Observations weighted to correct for selection into linkage. The “Classified” group contains 1850 sons who were linked to 1880 and whose head of household’s arrival cohort could be determined. The “All” group includes these individuals as well as those whose head of household’s arrival cohort could not be determined. Values are divided by the smallest multiple of 10 needed to generate a mean below 1.</w:t>
      </w:r>
    </w:p>
    <w:p w14:paraId="1D608292" w14:textId="77777777" w:rsidR="0074757B" w:rsidRDefault="0074757B" w:rsidP="000E0062">
      <w:pPr>
        <w:widowControl w:val="0"/>
      </w:pPr>
    </w:p>
    <w:p w14:paraId="1A7DE4FF" w14:textId="77777777" w:rsidR="0074757B" w:rsidRDefault="0074757B" w:rsidP="000E0062">
      <w:pPr>
        <w:widowControl w:val="0"/>
      </w:pPr>
    </w:p>
    <w:p w14:paraId="6AC6C8D3" w14:textId="77777777" w:rsidR="0074757B" w:rsidRDefault="0074757B" w:rsidP="000E0062">
      <w:pPr>
        <w:widowControl w:val="0"/>
      </w:pPr>
    </w:p>
    <w:p w14:paraId="67133DB6" w14:textId="77777777" w:rsidR="0074757B" w:rsidRDefault="0074757B" w:rsidP="000E0062">
      <w:pPr>
        <w:widowControl w:val="0"/>
      </w:pPr>
    </w:p>
    <w:p w14:paraId="68336115" w14:textId="77777777" w:rsidR="0074757B" w:rsidRDefault="0074757B" w:rsidP="000E0062">
      <w:pPr>
        <w:widowControl w:val="0"/>
      </w:pPr>
    </w:p>
    <w:p w14:paraId="1A22B68D" w14:textId="77777777" w:rsidR="00CA1CEC" w:rsidRDefault="00CA1CEC" w:rsidP="000E0062">
      <w:pPr>
        <w:widowControl w:val="0"/>
      </w:pPr>
    </w:p>
    <w:p w14:paraId="40C1EC8E" w14:textId="77777777" w:rsidR="00CA1CEC" w:rsidRDefault="00CA1CEC" w:rsidP="000E0062">
      <w:pPr>
        <w:widowControl w:val="0"/>
      </w:pPr>
    </w:p>
    <w:p w14:paraId="6A9CD94D" w14:textId="77777777" w:rsidR="00CA1CEC" w:rsidRDefault="00CA1CEC" w:rsidP="000E0062">
      <w:pPr>
        <w:widowControl w:val="0"/>
      </w:pPr>
    </w:p>
    <w:p w14:paraId="1E495763" w14:textId="77777777" w:rsidR="00CA1CEC" w:rsidRDefault="00CA1CEC" w:rsidP="000E0062">
      <w:pPr>
        <w:widowControl w:val="0"/>
      </w:pPr>
    </w:p>
    <w:p w14:paraId="7EAA2077" w14:textId="77777777" w:rsidR="00CA1CEC" w:rsidRDefault="00CA1CEC" w:rsidP="000E0062">
      <w:pPr>
        <w:widowControl w:val="0"/>
      </w:pPr>
    </w:p>
    <w:p w14:paraId="5FAC7B93" w14:textId="77777777" w:rsidR="00CA1CEC" w:rsidRDefault="00CA1CEC" w:rsidP="000E0062">
      <w:pPr>
        <w:widowControl w:val="0"/>
      </w:pPr>
    </w:p>
    <w:p w14:paraId="770DAA77" w14:textId="77777777" w:rsidR="00CA1CEC" w:rsidRDefault="00CA1CEC" w:rsidP="000E0062">
      <w:pPr>
        <w:widowControl w:val="0"/>
      </w:pPr>
    </w:p>
    <w:p w14:paraId="16204709" w14:textId="77777777" w:rsidR="0074757B" w:rsidRDefault="0074757B" w:rsidP="000E0062">
      <w:pPr>
        <w:widowControl w:val="0"/>
      </w:pPr>
    </w:p>
    <w:p w14:paraId="6F51E707" w14:textId="77777777" w:rsidR="0074757B" w:rsidRDefault="0074757B" w:rsidP="000E0062">
      <w:pPr>
        <w:widowControl w:val="0"/>
      </w:pPr>
    </w:p>
    <w:p w14:paraId="3418F1AD" w14:textId="77777777" w:rsidR="0074757B" w:rsidRDefault="0074757B" w:rsidP="000E0062">
      <w:pPr>
        <w:widowControl w:val="0"/>
      </w:pPr>
    </w:p>
    <w:p w14:paraId="2E3BCD4C" w14:textId="63522F23" w:rsidR="0074757B" w:rsidRDefault="004613F1" w:rsidP="00582546">
      <w:pPr>
        <w:widowControl w:val="0"/>
        <w:jc w:val="center"/>
      </w:pPr>
      <w:r>
        <w:t>Figure 3</w:t>
      </w:r>
      <w:r w:rsidR="00C21E38">
        <w:t xml:space="preserve">: Comparison of </w:t>
      </w:r>
      <w:r w:rsidR="000E0062">
        <w:t>adults’ and children’s outcomes</w:t>
      </w:r>
    </w:p>
    <w:p w14:paraId="6C009891" w14:textId="79E44E55" w:rsidR="0074757B" w:rsidRDefault="00037560" w:rsidP="0074757B">
      <w:pPr>
        <w:widowControl w:val="0"/>
        <w:ind w:firstLine="720"/>
        <w:jc w:val="center"/>
      </w:pPr>
      <w:r>
        <w:t>Figure 3(a): Unskilled Occupation</w:t>
      </w:r>
    </w:p>
    <w:p w14:paraId="6EEDA765" w14:textId="3E942C84" w:rsidR="0074757B" w:rsidRDefault="00E24E99" w:rsidP="00E24E99">
      <w:pPr>
        <w:widowControl w:val="0"/>
        <w:ind w:firstLine="720"/>
        <w:jc w:val="center"/>
      </w:pPr>
      <w:r>
        <w:rPr>
          <w:noProof/>
        </w:rPr>
        <w:drawing>
          <wp:inline distT="0" distB="0" distL="0" distR="0" wp14:anchorId="1ED2DE12" wp14:editId="7FB17993">
            <wp:extent cx="4114800" cy="299258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skillKidsAndAdults.pdf"/>
                    <pic:cNvPicPr/>
                  </pic:nvPicPr>
                  <pic:blipFill>
                    <a:blip r:embed="rId10"/>
                    <a:stretch>
                      <a:fillRect/>
                    </a:stretch>
                  </pic:blipFill>
                  <pic:spPr>
                    <a:xfrm>
                      <a:off x="0" y="0"/>
                      <a:ext cx="4114800" cy="2992582"/>
                    </a:xfrm>
                    <a:prstGeom prst="rect">
                      <a:avLst/>
                    </a:prstGeom>
                  </pic:spPr>
                </pic:pic>
              </a:graphicData>
            </a:graphic>
          </wp:inline>
        </w:drawing>
      </w:r>
    </w:p>
    <w:p w14:paraId="557C9E2A" w14:textId="77777777" w:rsidR="00E24E99" w:rsidRDefault="00E24E99" w:rsidP="00E24E99">
      <w:pPr>
        <w:widowControl w:val="0"/>
        <w:ind w:firstLine="720"/>
        <w:jc w:val="center"/>
      </w:pPr>
    </w:p>
    <w:p w14:paraId="5E84C1BC" w14:textId="3A946C79" w:rsidR="00E9033D" w:rsidRDefault="0074757B" w:rsidP="0074757B">
      <w:pPr>
        <w:widowControl w:val="0"/>
        <w:ind w:firstLine="720"/>
        <w:jc w:val="center"/>
      </w:pPr>
      <w:r>
        <w:t>Figure 3(b): Occupational Wealth Score</w:t>
      </w:r>
    </w:p>
    <w:p w14:paraId="6B1221D7" w14:textId="21627778" w:rsidR="00E24E99" w:rsidRDefault="00E24E99" w:rsidP="0074757B">
      <w:pPr>
        <w:widowControl w:val="0"/>
        <w:ind w:firstLine="720"/>
        <w:jc w:val="center"/>
      </w:pPr>
      <w:r>
        <w:rPr>
          <w:noProof/>
        </w:rPr>
        <w:drawing>
          <wp:inline distT="0" distB="0" distL="0" distR="0" wp14:anchorId="598E0950" wp14:editId="1671DBA8">
            <wp:extent cx="4114800" cy="299258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ccWealthKidsAndAdults.pdf"/>
                    <pic:cNvPicPr/>
                  </pic:nvPicPr>
                  <pic:blipFill>
                    <a:blip r:embed="rId11"/>
                    <a:stretch>
                      <a:fillRect/>
                    </a:stretch>
                  </pic:blipFill>
                  <pic:spPr>
                    <a:xfrm>
                      <a:off x="0" y="0"/>
                      <a:ext cx="4114800" cy="2992582"/>
                    </a:xfrm>
                    <a:prstGeom prst="rect">
                      <a:avLst/>
                    </a:prstGeom>
                  </pic:spPr>
                </pic:pic>
              </a:graphicData>
            </a:graphic>
          </wp:inline>
        </w:drawing>
      </w:r>
    </w:p>
    <w:p w14:paraId="3EA8BDE2" w14:textId="0D78BDDB" w:rsidR="004613F1" w:rsidRPr="008B307A" w:rsidRDefault="008B307A" w:rsidP="00515E2E">
      <w:pPr>
        <w:widowControl w:val="0"/>
        <w:spacing w:line="240" w:lineRule="auto"/>
        <w:jc w:val="both"/>
      </w:pPr>
      <w:r>
        <w:rPr>
          <w:i/>
        </w:rPr>
        <w:t xml:space="preserve">Note: </w:t>
      </w:r>
      <w:r>
        <w:t>Bars in panel 3(a) for 1850 heads of household are coefficients from column (3) of Table 4. Bars in panel 3(a) for 1880 sons are coefficients from column (1) of Table 6.  Bars in panel 3(b) for 1850 heads of household are coefficients from column (5) of Table 4. Bars in panel 3(b) for 1880 sons are coefficients from column (2) of Table 6.</w:t>
      </w:r>
    </w:p>
    <w:p w14:paraId="73E64EFE" w14:textId="77777777" w:rsidR="004613F1" w:rsidRDefault="004613F1" w:rsidP="005F1D07">
      <w:pPr>
        <w:widowControl w:val="0"/>
        <w:jc w:val="center"/>
      </w:pPr>
    </w:p>
    <w:p w14:paraId="06D105FD" w14:textId="55A984A2" w:rsidR="00582546" w:rsidRDefault="004613F1" w:rsidP="00582546">
      <w:pPr>
        <w:widowControl w:val="0"/>
        <w:jc w:val="center"/>
      </w:pPr>
      <w:r>
        <w:t>Figure 4</w:t>
      </w:r>
      <w:r w:rsidR="00470D57">
        <w:t>: Unconditional and conditional coefficients for 1880 characteristics</w:t>
      </w:r>
    </w:p>
    <w:p w14:paraId="2CD959F2" w14:textId="6EEBE8E9" w:rsidR="007465D9" w:rsidRDefault="007465D9" w:rsidP="00582546">
      <w:pPr>
        <w:widowControl w:val="0"/>
        <w:ind w:firstLine="720"/>
        <w:jc w:val="center"/>
      </w:pPr>
      <w:r>
        <w:t>Figure 4(a): Unskil</w:t>
      </w:r>
      <w:r w:rsidR="00D0222D">
        <w:t>led Occupation</w:t>
      </w:r>
    </w:p>
    <w:p w14:paraId="56EC7DDF" w14:textId="0982EE06" w:rsidR="00582546" w:rsidRDefault="005E32B1" w:rsidP="00582546">
      <w:pPr>
        <w:widowControl w:val="0"/>
        <w:jc w:val="center"/>
      </w:pPr>
      <w:r>
        <w:rPr>
          <w:noProof/>
        </w:rPr>
        <w:drawing>
          <wp:inline distT="0" distB="0" distL="0" distR="0" wp14:anchorId="7EF21ABE" wp14:editId="1EAE6FCD">
            <wp:extent cx="3657600" cy="2660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skillKidsControlNative1880.pdf"/>
                    <pic:cNvPicPr/>
                  </pic:nvPicPr>
                  <pic:blipFill>
                    <a:blip r:embed="rId12"/>
                    <a:stretch>
                      <a:fillRect/>
                    </a:stretch>
                  </pic:blipFill>
                  <pic:spPr>
                    <a:xfrm>
                      <a:off x="0" y="0"/>
                      <a:ext cx="3657600" cy="2660070"/>
                    </a:xfrm>
                    <a:prstGeom prst="rect">
                      <a:avLst/>
                    </a:prstGeom>
                  </pic:spPr>
                </pic:pic>
              </a:graphicData>
            </a:graphic>
          </wp:inline>
        </w:drawing>
      </w:r>
    </w:p>
    <w:p w14:paraId="02DAC946" w14:textId="77777777" w:rsidR="00582546" w:rsidRDefault="00582546" w:rsidP="00582546">
      <w:pPr>
        <w:widowControl w:val="0"/>
        <w:jc w:val="center"/>
      </w:pPr>
    </w:p>
    <w:p w14:paraId="339CE503" w14:textId="77777777" w:rsidR="00582546" w:rsidRDefault="00582546" w:rsidP="00582546">
      <w:pPr>
        <w:widowControl w:val="0"/>
        <w:ind w:firstLine="720"/>
        <w:jc w:val="center"/>
      </w:pPr>
      <w:r>
        <w:t>Figure 4(b): Occupational Wealth Score</w:t>
      </w:r>
    </w:p>
    <w:p w14:paraId="6A923103" w14:textId="1C40B8C1" w:rsidR="007E4AEB" w:rsidRDefault="005E32B1" w:rsidP="005F1D07">
      <w:pPr>
        <w:widowControl w:val="0"/>
        <w:jc w:val="center"/>
      </w:pPr>
      <w:r>
        <w:rPr>
          <w:noProof/>
        </w:rPr>
        <w:drawing>
          <wp:inline distT="0" distB="0" distL="0" distR="0" wp14:anchorId="79FC91BC" wp14:editId="297BB7A6">
            <wp:extent cx="3657600" cy="26600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ccWealthKidsControlNative1880.pdf"/>
                    <pic:cNvPicPr/>
                  </pic:nvPicPr>
                  <pic:blipFill>
                    <a:blip r:embed="rId13"/>
                    <a:stretch>
                      <a:fillRect/>
                    </a:stretch>
                  </pic:blipFill>
                  <pic:spPr>
                    <a:xfrm>
                      <a:off x="0" y="0"/>
                      <a:ext cx="3657600" cy="2660073"/>
                    </a:xfrm>
                    <a:prstGeom prst="rect">
                      <a:avLst/>
                    </a:prstGeom>
                  </pic:spPr>
                </pic:pic>
              </a:graphicData>
            </a:graphic>
          </wp:inline>
        </w:drawing>
      </w:r>
    </w:p>
    <w:p w14:paraId="3948AF9F" w14:textId="1F24705F" w:rsidR="00507CAC" w:rsidRPr="00C37C2F" w:rsidRDefault="00C37C2F" w:rsidP="00515E2E">
      <w:pPr>
        <w:widowControl w:val="0"/>
        <w:spacing w:line="240" w:lineRule="auto"/>
        <w:jc w:val="both"/>
      </w:pPr>
      <w:r>
        <w:rPr>
          <w:i/>
        </w:rPr>
        <w:t xml:space="preserve">Note: </w:t>
      </w:r>
      <w:r w:rsidR="007309E9">
        <w:t>Coefficients portrayed by the “Raw” bars are reached by conditioning only on a quartic in individual’s age; they are from columns (1) and (2) of Table 6. Coefficients portrayed by the “Controls” bars come from regressions that control for the 1850 household characteristics, as described in text. They are presented in columns (1) and (2) of Table C.1. Coefficients portrayed by the “Native” bars come from regressions including all 1850 controls and indicators for native birth of sons. They are presented in columns (3) and (4) of Table C.1.</w:t>
      </w:r>
    </w:p>
    <w:p w14:paraId="2F8D3482" w14:textId="1C372C23" w:rsidR="00CC364A" w:rsidRDefault="00CC364A">
      <w:pPr>
        <w:spacing w:line="240" w:lineRule="auto"/>
      </w:pPr>
      <w:r>
        <w:br w:type="page"/>
      </w:r>
    </w:p>
    <w:p w14:paraId="34863AE8" w14:textId="32E5143F" w:rsidR="00507CAC" w:rsidRPr="00507CAC" w:rsidRDefault="00507CAC" w:rsidP="005F1D07">
      <w:pPr>
        <w:widowControl w:val="0"/>
        <w:rPr>
          <w:rFonts w:ascii="Times New Roman Bold" w:hAnsi="Times New Roman Bold"/>
          <w:b/>
          <w:bCs/>
        </w:rPr>
      </w:pPr>
      <w:r w:rsidRPr="00507CAC">
        <w:rPr>
          <w:rFonts w:ascii="Times New Roman Bold" w:hAnsi="Times New Roman Bold"/>
          <w:b/>
          <w:bCs/>
        </w:rPr>
        <w:t>Tables</w:t>
      </w:r>
    </w:p>
    <w:p w14:paraId="2FF8E043" w14:textId="77777777" w:rsidR="005110E4" w:rsidRDefault="005110E4" w:rsidP="00BB28C6">
      <w:pPr>
        <w:widowControl w:val="0"/>
      </w:pPr>
    </w:p>
    <w:p w14:paraId="79C02D9F" w14:textId="476AFCD6" w:rsidR="005110E4" w:rsidRDefault="00BB28C6" w:rsidP="005F1D07">
      <w:pPr>
        <w:widowControl w:val="0"/>
        <w:jc w:val="center"/>
      </w:pPr>
      <w:r>
        <w:t>Table 1</w:t>
      </w:r>
      <w:r w:rsidR="00AE56C0">
        <w:t>: Sample divisions</w:t>
      </w:r>
    </w:p>
    <w:p w14:paraId="403D3525" w14:textId="68E327F8" w:rsidR="008D101F" w:rsidRDefault="00960A65" w:rsidP="00BB28C6">
      <w:pPr>
        <w:widowControl w:val="0"/>
        <w:jc w:val="center"/>
      </w:pPr>
      <w:r>
        <w:rPr>
          <w:noProof/>
        </w:rPr>
        <w:drawing>
          <wp:inline distT="0" distB="0" distL="0" distR="0" wp14:anchorId="1262C185" wp14:editId="17D07206">
            <wp:extent cx="4558564" cy="2743200"/>
            <wp:effectExtent l="0" t="0" r="0" b="0"/>
            <wp:docPr id="1" name="Picture 1" descr="../Data/Linkage/NAPPData/Results/ClassificationTab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Linkage/NAPPData/Results/ClassificationTable.pdf"/>
                    <pic:cNvPicPr>
                      <a:picLocks noChangeAspect="1" noChangeArrowheads="1"/>
                    </pic:cNvPicPr>
                  </pic:nvPicPr>
                  <pic:blipFill rotWithShape="1">
                    <a:blip r:embed="rId14">
                      <a:extLst>
                        <a:ext uri="{28A0092B-C50C-407E-A947-70E740481C1C}">
                          <a14:useLocalDpi xmlns:a14="http://schemas.microsoft.com/office/drawing/2010/main" val="0"/>
                        </a:ext>
                      </a:extLst>
                    </a:blip>
                    <a:srcRect l="21110" t="8656" r="21514" b="64646"/>
                    <a:stretch/>
                  </pic:blipFill>
                  <pic:spPr bwMode="auto">
                    <a:xfrm>
                      <a:off x="0" y="0"/>
                      <a:ext cx="4558564" cy="274320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72C9EA4" w14:textId="77777777" w:rsidR="008D101F" w:rsidRDefault="008D101F" w:rsidP="005F1D07">
      <w:pPr>
        <w:widowControl w:val="0"/>
        <w:jc w:val="center"/>
      </w:pPr>
    </w:p>
    <w:p w14:paraId="67AF4157" w14:textId="77777777" w:rsidR="000854F0" w:rsidRDefault="000854F0" w:rsidP="000854F0">
      <w:pPr>
        <w:widowControl w:val="0"/>
        <w:jc w:val="center"/>
      </w:pPr>
    </w:p>
    <w:p w14:paraId="21CD63FC" w14:textId="77777777" w:rsidR="00E94643" w:rsidRDefault="00E94643">
      <w:pPr>
        <w:spacing w:line="240" w:lineRule="auto"/>
      </w:pPr>
      <w:r>
        <w:br w:type="page"/>
      </w:r>
    </w:p>
    <w:p w14:paraId="1B264924" w14:textId="3356BE40" w:rsidR="007C0464" w:rsidRDefault="00BB28C6" w:rsidP="005F1D07">
      <w:pPr>
        <w:widowControl w:val="0"/>
        <w:jc w:val="center"/>
      </w:pPr>
      <w:r>
        <w:t>Table 2</w:t>
      </w:r>
      <w:r w:rsidR="007C0464">
        <w:t xml:space="preserve">: Linkage </w:t>
      </w:r>
      <w:r w:rsidR="0055453E">
        <w:t>rates for the seven categories</w:t>
      </w:r>
    </w:p>
    <w:p w14:paraId="6DB9B9B9" w14:textId="0E8212F4" w:rsidR="00067320" w:rsidRDefault="00E04755" w:rsidP="00E04755">
      <w:pPr>
        <w:spacing w:line="240" w:lineRule="auto"/>
        <w:jc w:val="center"/>
      </w:pPr>
      <w:r>
        <w:rPr>
          <w:noProof/>
        </w:rPr>
        <w:drawing>
          <wp:inline distT="0" distB="0" distL="0" distR="0" wp14:anchorId="68C92D4D" wp14:editId="592FA85A">
            <wp:extent cx="3236976" cy="5479974"/>
            <wp:effectExtent l="0" t="0" r="0" b="6985"/>
            <wp:docPr id="7" name="Picture 7" descr="../Data/Linkage/NAPPData/Results/LinkageStatistic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Linkage/NAPPData/Results/LinkageStatistics.pdf"/>
                    <pic:cNvPicPr>
                      <a:picLocks noChangeAspect="1" noChangeArrowheads="1"/>
                    </pic:cNvPicPr>
                  </pic:nvPicPr>
                  <pic:blipFill rotWithShape="1">
                    <a:blip r:embed="rId15">
                      <a:extLst>
                        <a:ext uri="{28A0092B-C50C-407E-A947-70E740481C1C}">
                          <a14:useLocalDpi xmlns:a14="http://schemas.microsoft.com/office/drawing/2010/main" val="0"/>
                        </a:ext>
                      </a:extLst>
                    </a:blip>
                    <a:srcRect l="31314" t="8228" r="31792" b="43543"/>
                    <a:stretch/>
                  </pic:blipFill>
                  <pic:spPr bwMode="auto">
                    <a:xfrm>
                      <a:off x="0" y="0"/>
                      <a:ext cx="3236976" cy="5479974"/>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45A6C8D" w14:textId="77777777" w:rsidR="00E04755" w:rsidRDefault="00E04755" w:rsidP="00E04755">
      <w:pPr>
        <w:spacing w:line="240" w:lineRule="auto"/>
        <w:jc w:val="center"/>
      </w:pPr>
    </w:p>
    <w:p w14:paraId="6C030741" w14:textId="77777777" w:rsidR="00E04755" w:rsidRDefault="00E04755" w:rsidP="00E04755">
      <w:pPr>
        <w:spacing w:line="240" w:lineRule="auto"/>
        <w:jc w:val="center"/>
      </w:pPr>
    </w:p>
    <w:p w14:paraId="4B3A44FE" w14:textId="77777777" w:rsidR="00E04755" w:rsidRDefault="00E04755" w:rsidP="00E04755">
      <w:pPr>
        <w:spacing w:line="240" w:lineRule="auto"/>
        <w:jc w:val="center"/>
      </w:pPr>
    </w:p>
    <w:p w14:paraId="1575B232" w14:textId="77777777" w:rsidR="00E04755" w:rsidRDefault="00E04755" w:rsidP="00E04755">
      <w:pPr>
        <w:spacing w:line="240" w:lineRule="auto"/>
        <w:jc w:val="center"/>
      </w:pPr>
    </w:p>
    <w:p w14:paraId="5F41ED8C" w14:textId="77777777" w:rsidR="00E04755" w:rsidRDefault="00E04755" w:rsidP="00E04755">
      <w:pPr>
        <w:spacing w:line="240" w:lineRule="auto"/>
        <w:jc w:val="center"/>
      </w:pPr>
    </w:p>
    <w:p w14:paraId="7F42F556" w14:textId="77777777" w:rsidR="00E04755" w:rsidRDefault="00E04755" w:rsidP="00E04755">
      <w:pPr>
        <w:spacing w:line="240" w:lineRule="auto"/>
        <w:jc w:val="center"/>
      </w:pPr>
    </w:p>
    <w:p w14:paraId="46CAF082" w14:textId="77777777" w:rsidR="00E04755" w:rsidRDefault="00E04755" w:rsidP="00E04755">
      <w:pPr>
        <w:spacing w:line="240" w:lineRule="auto"/>
        <w:jc w:val="center"/>
      </w:pPr>
    </w:p>
    <w:p w14:paraId="72798643" w14:textId="77777777" w:rsidR="00E04755" w:rsidRDefault="00E04755" w:rsidP="00E04755">
      <w:pPr>
        <w:spacing w:line="240" w:lineRule="auto"/>
        <w:jc w:val="center"/>
      </w:pPr>
    </w:p>
    <w:p w14:paraId="3B20ACC7" w14:textId="77777777" w:rsidR="00E04755" w:rsidRDefault="00E04755" w:rsidP="00E04755">
      <w:pPr>
        <w:spacing w:line="240" w:lineRule="auto"/>
        <w:jc w:val="center"/>
      </w:pPr>
    </w:p>
    <w:p w14:paraId="6F91329F" w14:textId="77777777" w:rsidR="00E04755" w:rsidRDefault="00E04755" w:rsidP="00E04755">
      <w:pPr>
        <w:spacing w:line="240" w:lineRule="auto"/>
        <w:jc w:val="center"/>
      </w:pPr>
    </w:p>
    <w:p w14:paraId="304FDFEB" w14:textId="77777777" w:rsidR="00E04755" w:rsidRDefault="00E04755" w:rsidP="00E04755">
      <w:pPr>
        <w:spacing w:line="240" w:lineRule="auto"/>
        <w:jc w:val="center"/>
      </w:pPr>
    </w:p>
    <w:p w14:paraId="034E126A" w14:textId="77777777" w:rsidR="00E04755" w:rsidRDefault="00E04755" w:rsidP="00E04755">
      <w:pPr>
        <w:spacing w:line="240" w:lineRule="auto"/>
        <w:jc w:val="center"/>
      </w:pPr>
    </w:p>
    <w:p w14:paraId="65253064" w14:textId="77777777" w:rsidR="00E04755" w:rsidRDefault="00E04755" w:rsidP="00E04755">
      <w:pPr>
        <w:spacing w:line="240" w:lineRule="auto"/>
        <w:jc w:val="center"/>
      </w:pPr>
    </w:p>
    <w:p w14:paraId="28EBA5C0" w14:textId="77777777" w:rsidR="00E04755" w:rsidRDefault="00E04755">
      <w:pPr>
        <w:spacing w:line="240" w:lineRule="auto"/>
      </w:pPr>
    </w:p>
    <w:p w14:paraId="104E6124" w14:textId="12053B1E" w:rsidR="008F7B75" w:rsidRPr="0094513E" w:rsidRDefault="00BB28C6" w:rsidP="00BB28C6">
      <w:pPr>
        <w:widowControl w:val="0"/>
        <w:jc w:val="center"/>
      </w:pPr>
      <w:r>
        <w:t>Table 3</w:t>
      </w:r>
      <w:r w:rsidR="000E384E">
        <w:t xml:space="preserve">: </w:t>
      </w:r>
      <w:r w:rsidR="004A56CB">
        <w:t>Summary statistics for linked children, 1850</w:t>
      </w:r>
    </w:p>
    <w:p w14:paraId="74F52831" w14:textId="0BA0EAC1" w:rsidR="00B156FE" w:rsidRDefault="0014541D" w:rsidP="00B156FE">
      <w:pPr>
        <w:widowControl w:val="0"/>
        <w:jc w:val="center"/>
      </w:pPr>
      <w:r>
        <w:rPr>
          <w:noProof/>
        </w:rPr>
        <w:drawing>
          <wp:inline distT="0" distB="0" distL="0" distR="0" wp14:anchorId="745BDDA7" wp14:editId="3310164A">
            <wp:extent cx="5943600" cy="6706307"/>
            <wp:effectExtent l="0" t="0" r="0" b="0"/>
            <wp:docPr id="2" name="Picture 2" descr="../Data/Linkage/NAPPData/Results/SumStatsKids185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Linkage/NAPPData/Results/SumStatsKids1850.pdf"/>
                    <pic:cNvPicPr>
                      <a:picLocks noChangeAspect="1" noChangeArrowheads="1"/>
                    </pic:cNvPicPr>
                  </pic:nvPicPr>
                  <pic:blipFill rotWithShape="1">
                    <a:blip r:embed="rId16">
                      <a:extLst>
                        <a:ext uri="{28A0092B-C50C-407E-A947-70E740481C1C}">
                          <a14:useLocalDpi xmlns:a14="http://schemas.microsoft.com/office/drawing/2010/main" val="0"/>
                        </a:ext>
                      </a:extLst>
                    </a:blip>
                    <a:srcRect l="11556" t="8747" r="12117" b="24701"/>
                    <a:stretch/>
                  </pic:blipFill>
                  <pic:spPr bwMode="auto">
                    <a:xfrm>
                      <a:off x="0" y="0"/>
                      <a:ext cx="5943600" cy="6706307"/>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2484B6E" w14:textId="77777777" w:rsidR="007D3ED4" w:rsidRDefault="007D3ED4" w:rsidP="00B156FE">
      <w:pPr>
        <w:widowControl w:val="0"/>
        <w:jc w:val="center"/>
      </w:pPr>
    </w:p>
    <w:p w14:paraId="0B33EF53" w14:textId="77777777" w:rsidR="0014541D" w:rsidRDefault="0014541D" w:rsidP="00B156FE">
      <w:pPr>
        <w:widowControl w:val="0"/>
        <w:jc w:val="center"/>
      </w:pPr>
    </w:p>
    <w:p w14:paraId="7DC1D932" w14:textId="77777777" w:rsidR="00D8429B" w:rsidRDefault="00D8429B" w:rsidP="00B156FE">
      <w:pPr>
        <w:widowControl w:val="0"/>
        <w:jc w:val="center"/>
      </w:pPr>
    </w:p>
    <w:p w14:paraId="10B6432F" w14:textId="77777777" w:rsidR="00D8429B" w:rsidRDefault="00D8429B" w:rsidP="00B156FE">
      <w:pPr>
        <w:widowControl w:val="0"/>
        <w:jc w:val="center"/>
      </w:pPr>
    </w:p>
    <w:p w14:paraId="3B3C2AD5" w14:textId="77777777" w:rsidR="00D8429B" w:rsidRDefault="00D8429B" w:rsidP="00B156FE">
      <w:pPr>
        <w:widowControl w:val="0"/>
        <w:jc w:val="center"/>
      </w:pPr>
    </w:p>
    <w:p w14:paraId="18F761DB" w14:textId="1D494141" w:rsidR="00887788" w:rsidRDefault="00BB28C6" w:rsidP="005F3C38">
      <w:pPr>
        <w:widowControl w:val="0"/>
        <w:jc w:val="center"/>
      </w:pPr>
      <w:r>
        <w:t>Table 4</w:t>
      </w:r>
      <w:r w:rsidR="00887788">
        <w:t>: Regre</w:t>
      </w:r>
      <w:r w:rsidR="00C84E24">
        <w:t>ssions of 1850 characteristics</w:t>
      </w:r>
    </w:p>
    <w:p w14:paraId="3BF39CD0" w14:textId="08A0D648" w:rsidR="00867DE0" w:rsidRDefault="005F3C38" w:rsidP="005F3C38">
      <w:pPr>
        <w:spacing w:line="240" w:lineRule="auto"/>
        <w:jc w:val="center"/>
      </w:pPr>
      <w:r>
        <w:rPr>
          <w:noProof/>
        </w:rPr>
        <w:drawing>
          <wp:inline distT="0" distB="0" distL="0" distR="0" wp14:anchorId="4D769B2F" wp14:editId="142272F5">
            <wp:extent cx="5943600" cy="3648752"/>
            <wp:effectExtent l="0" t="0" r="0" b="8890"/>
            <wp:docPr id="9" name="Picture 9" descr="../Data/Linkage/NAPPData/Results/ResultsKids185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Linkage/NAPPData/Results/ResultsKids1850.pdf"/>
                    <pic:cNvPicPr>
                      <a:picLocks noChangeAspect="1" noChangeArrowheads="1"/>
                    </pic:cNvPicPr>
                  </pic:nvPicPr>
                  <pic:blipFill rotWithShape="1">
                    <a:blip r:embed="rId17">
                      <a:extLst>
                        <a:ext uri="{28A0092B-C50C-407E-A947-70E740481C1C}">
                          <a14:useLocalDpi xmlns:a14="http://schemas.microsoft.com/office/drawing/2010/main" val="0"/>
                        </a:ext>
                      </a:extLst>
                    </a:blip>
                    <a:srcRect l="18201" t="11253" r="18512" b="38426"/>
                    <a:stretch/>
                  </pic:blipFill>
                  <pic:spPr bwMode="auto">
                    <a:xfrm>
                      <a:off x="0" y="0"/>
                      <a:ext cx="5943600" cy="3648752"/>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E591DD4" w14:textId="77777777" w:rsidR="005F3C38" w:rsidRDefault="005F3C38" w:rsidP="005F3C38">
      <w:pPr>
        <w:spacing w:line="240" w:lineRule="auto"/>
        <w:jc w:val="center"/>
      </w:pPr>
    </w:p>
    <w:p w14:paraId="5BD9FEDE" w14:textId="77777777" w:rsidR="005F3C38" w:rsidRDefault="005F3C38" w:rsidP="005F3C38">
      <w:pPr>
        <w:spacing w:line="240" w:lineRule="auto"/>
        <w:jc w:val="center"/>
      </w:pPr>
    </w:p>
    <w:p w14:paraId="551374F9" w14:textId="77777777" w:rsidR="005F3C38" w:rsidRDefault="005F3C38" w:rsidP="005F3C38">
      <w:pPr>
        <w:spacing w:line="240" w:lineRule="auto"/>
        <w:jc w:val="center"/>
      </w:pPr>
    </w:p>
    <w:p w14:paraId="667B44A1" w14:textId="77777777" w:rsidR="005F3C38" w:rsidRDefault="005F3C38" w:rsidP="005F3C38">
      <w:pPr>
        <w:spacing w:line="240" w:lineRule="auto"/>
        <w:jc w:val="center"/>
      </w:pPr>
    </w:p>
    <w:p w14:paraId="2204BBF7" w14:textId="77777777" w:rsidR="005F3C38" w:rsidRDefault="005F3C38" w:rsidP="005F3C38">
      <w:pPr>
        <w:spacing w:line="240" w:lineRule="auto"/>
        <w:jc w:val="center"/>
      </w:pPr>
    </w:p>
    <w:p w14:paraId="2AABC6A7" w14:textId="77777777" w:rsidR="005F3C38" w:rsidRDefault="005F3C38" w:rsidP="005F3C38">
      <w:pPr>
        <w:spacing w:line="240" w:lineRule="auto"/>
        <w:jc w:val="center"/>
      </w:pPr>
    </w:p>
    <w:p w14:paraId="1AF0B8EE" w14:textId="77777777" w:rsidR="005F3C38" w:rsidRDefault="005F3C38" w:rsidP="005F3C38">
      <w:pPr>
        <w:spacing w:line="240" w:lineRule="auto"/>
        <w:jc w:val="center"/>
      </w:pPr>
    </w:p>
    <w:p w14:paraId="1FF34826" w14:textId="77777777" w:rsidR="005F3C38" w:rsidRDefault="005F3C38" w:rsidP="005F3C38">
      <w:pPr>
        <w:spacing w:line="240" w:lineRule="auto"/>
        <w:jc w:val="center"/>
      </w:pPr>
    </w:p>
    <w:p w14:paraId="53238A6F" w14:textId="77777777" w:rsidR="005F3C38" w:rsidRDefault="005F3C38" w:rsidP="005F3C38">
      <w:pPr>
        <w:spacing w:line="240" w:lineRule="auto"/>
        <w:jc w:val="center"/>
      </w:pPr>
    </w:p>
    <w:p w14:paraId="158299BF" w14:textId="77777777" w:rsidR="005F3C38" w:rsidRDefault="005F3C38" w:rsidP="005F3C38">
      <w:pPr>
        <w:spacing w:line="240" w:lineRule="auto"/>
        <w:jc w:val="center"/>
      </w:pPr>
    </w:p>
    <w:p w14:paraId="4E50EA8F" w14:textId="77777777" w:rsidR="005F3C38" w:rsidRDefault="005F3C38" w:rsidP="005F3C38">
      <w:pPr>
        <w:spacing w:line="240" w:lineRule="auto"/>
        <w:jc w:val="center"/>
      </w:pPr>
    </w:p>
    <w:p w14:paraId="1143564E" w14:textId="77777777" w:rsidR="005F3C38" w:rsidRDefault="005F3C38" w:rsidP="005F3C38">
      <w:pPr>
        <w:spacing w:line="240" w:lineRule="auto"/>
        <w:jc w:val="center"/>
      </w:pPr>
    </w:p>
    <w:p w14:paraId="5F52A675" w14:textId="77777777" w:rsidR="005F3C38" w:rsidRDefault="005F3C38" w:rsidP="005F3C38">
      <w:pPr>
        <w:spacing w:line="240" w:lineRule="auto"/>
        <w:jc w:val="center"/>
      </w:pPr>
    </w:p>
    <w:p w14:paraId="00C8B238" w14:textId="77777777" w:rsidR="005F3C38" w:rsidRDefault="005F3C38" w:rsidP="005F3C38">
      <w:pPr>
        <w:spacing w:line="240" w:lineRule="auto"/>
        <w:jc w:val="center"/>
      </w:pPr>
    </w:p>
    <w:p w14:paraId="2E69CE69" w14:textId="77777777" w:rsidR="005F3C38" w:rsidRDefault="005F3C38" w:rsidP="005F3C38">
      <w:pPr>
        <w:spacing w:line="240" w:lineRule="auto"/>
        <w:jc w:val="center"/>
      </w:pPr>
    </w:p>
    <w:p w14:paraId="2C20513D" w14:textId="77777777" w:rsidR="005F3C38" w:rsidRDefault="005F3C38" w:rsidP="005F3C38">
      <w:pPr>
        <w:spacing w:line="240" w:lineRule="auto"/>
        <w:jc w:val="center"/>
      </w:pPr>
    </w:p>
    <w:p w14:paraId="6ED94DE3" w14:textId="77777777" w:rsidR="005F3C38" w:rsidRDefault="005F3C38" w:rsidP="005F3C38">
      <w:pPr>
        <w:spacing w:line="240" w:lineRule="auto"/>
        <w:jc w:val="center"/>
      </w:pPr>
    </w:p>
    <w:p w14:paraId="218DF2EB" w14:textId="77777777" w:rsidR="005F3C38" w:rsidRDefault="005F3C38" w:rsidP="005F3C38">
      <w:pPr>
        <w:spacing w:line="240" w:lineRule="auto"/>
        <w:jc w:val="center"/>
      </w:pPr>
    </w:p>
    <w:p w14:paraId="5DACDD63" w14:textId="77777777" w:rsidR="005F3C38" w:rsidRDefault="005F3C38" w:rsidP="005F3C38">
      <w:pPr>
        <w:spacing w:line="240" w:lineRule="auto"/>
        <w:jc w:val="center"/>
      </w:pPr>
    </w:p>
    <w:p w14:paraId="4BB60BC3" w14:textId="77777777" w:rsidR="005F3C38" w:rsidRDefault="005F3C38" w:rsidP="005F3C38">
      <w:pPr>
        <w:spacing w:line="240" w:lineRule="auto"/>
        <w:jc w:val="center"/>
      </w:pPr>
    </w:p>
    <w:p w14:paraId="21EE07CA" w14:textId="77777777" w:rsidR="005F3C38" w:rsidRDefault="005F3C38" w:rsidP="005F3C38">
      <w:pPr>
        <w:spacing w:line="240" w:lineRule="auto"/>
        <w:jc w:val="center"/>
      </w:pPr>
    </w:p>
    <w:p w14:paraId="43ADA2F4" w14:textId="77777777" w:rsidR="005F3C38" w:rsidRDefault="005F3C38" w:rsidP="005F3C38">
      <w:pPr>
        <w:spacing w:line="240" w:lineRule="auto"/>
        <w:jc w:val="center"/>
      </w:pPr>
    </w:p>
    <w:p w14:paraId="77514AEC" w14:textId="77777777" w:rsidR="005F3C38" w:rsidRDefault="005F3C38" w:rsidP="005F3C38">
      <w:pPr>
        <w:spacing w:line="240" w:lineRule="auto"/>
        <w:jc w:val="center"/>
      </w:pPr>
    </w:p>
    <w:p w14:paraId="04B4293D" w14:textId="77777777" w:rsidR="005F3C38" w:rsidRDefault="005F3C38" w:rsidP="005F3C38">
      <w:pPr>
        <w:spacing w:line="240" w:lineRule="auto"/>
        <w:jc w:val="center"/>
      </w:pPr>
    </w:p>
    <w:p w14:paraId="0E9EB30C" w14:textId="77777777" w:rsidR="005F3C38" w:rsidRDefault="005F3C38" w:rsidP="005F3C38">
      <w:pPr>
        <w:spacing w:line="240" w:lineRule="auto"/>
        <w:jc w:val="center"/>
      </w:pPr>
    </w:p>
    <w:p w14:paraId="5CEB5C1E" w14:textId="71C1273A" w:rsidR="004C15AF" w:rsidRDefault="00BB28C6" w:rsidP="005F1D07">
      <w:pPr>
        <w:widowControl w:val="0"/>
        <w:jc w:val="center"/>
      </w:pPr>
      <w:r>
        <w:t>Table 5</w:t>
      </w:r>
      <w:r w:rsidR="00C21E38">
        <w:t xml:space="preserve">: </w:t>
      </w:r>
      <w:r w:rsidR="004C15AF">
        <w:t>Summary statistics for lin</w:t>
      </w:r>
      <w:r w:rsidR="00780486">
        <w:t>ked children, 1880</w:t>
      </w:r>
    </w:p>
    <w:p w14:paraId="123FB127" w14:textId="0CE76FF9" w:rsidR="004C15AF" w:rsidRDefault="00F87569" w:rsidP="005F1D07">
      <w:pPr>
        <w:widowControl w:val="0"/>
        <w:jc w:val="center"/>
      </w:pPr>
      <w:r>
        <w:rPr>
          <w:noProof/>
        </w:rPr>
        <w:drawing>
          <wp:inline distT="0" distB="0" distL="0" distR="0" wp14:anchorId="3FAD8197" wp14:editId="45AD9520">
            <wp:extent cx="5943600" cy="4029271"/>
            <wp:effectExtent l="0" t="0" r="0" b="9525"/>
            <wp:docPr id="17" name="Picture 17" descr="../Data/Linkage/NAPPData/Results/SumStatsKids188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Linkage/NAPPData/Results/SumStatsKids1880.pdf"/>
                    <pic:cNvPicPr>
                      <a:picLocks noChangeAspect="1" noChangeArrowheads="1"/>
                    </pic:cNvPicPr>
                  </pic:nvPicPr>
                  <pic:blipFill rotWithShape="1">
                    <a:blip r:embed="rId18">
                      <a:extLst>
                        <a:ext uri="{28A0092B-C50C-407E-A947-70E740481C1C}">
                          <a14:useLocalDpi xmlns:a14="http://schemas.microsoft.com/office/drawing/2010/main" val="0"/>
                        </a:ext>
                      </a:extLst>
                    </a:blip>
                    <a:srcRect l="11642" t="8354" r="11939" b="51642"/>
                    <a:stretch/>
                  </pic:blipFill>
                  <pic:spPr bwMode="auto">
                    <a:xfrm>
                      <a:off x="0" y="0"/>
                      <a:ext cx="5943600" cy="4029271"/>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A876768" w14:textId="77777777" w:rsidR="002122CD" w:rsidRDefault="002122CD" w:rsidP="005F1D07">
      <w:pPr>
        <w:widowControl w:val="0"/>
        <w:jc w:val="center"/>
      </w:pPr>
    </w:p>
    <w:p w14:paraId="1F00837D" w14:textId="06188ED1" w:rsidR="00067320" w:rsidRDefault="00067320">
      <w:pPr>
        <w:spacing w:line="240" w:lineRule="auto"/>
      </w:pPr>
    </w:p>
    <w:p w14:paraId="60264261" w14:textId="77777777" w:rsidR="00E94643" w:rsidRDefault="00E94643">
      <w:pPr>
        <w:spacing w:line="240" w:lineRule="auto"/>
      </w:pPr>
      <w:r>
        <w:br w:type="page"/>
      </w:r>
    </w:p>
    <w:p w14:paraId="432E4A6E" w14:textId="772BA357" w:rsidR="00A34DFA" w:rsidRDefault="00BB28C6" w:rsidP="00BB28C6">
      <w:pPr>
        <w:widowControl w:val="0"/>
        <w:jc w:val="center"/>
      </w:pPr>
      <w:r>
        <w:t>Table 6</w:t>
      </w:r>
      <w:r w:rsidR="002122CD">
        <w:t>: Regre</w:t>
      </w:r>
      <w:r w:rsidR="00371808">
        <w:t>ssions of 1880 characteristics</w:t>
      </w:r>
    </w:p>
    <w:p w14:paraId="69C6DBBA" w14:textId="6A397368" w:rsidR="003C51B6" w:rsidRDefault="00B142DD" w:rsidP="00201AD2">
      <w:pPr>
        <w:spacing w:line="240" w:lineRule="auto"/>
        <w:jc w:val="center"/>
      </w:pPr>
      <w:r>
        <w:rPr>
          <w:noProof/>
        </w:rPr>
        <w:drawing>
          <wp:inline distT="0" distB="0" distL="0" distR="0" wp14:anchorId="6A2A5E71" wp14:editId="47D2E2CB">
            <wp:extent cx="3651749" cy="4572000"/>
            <wp:effectExtent l="0" t="0" r="6350" b="0"/>
            <wp:docPr id="10" name="Picture 10" descr="../Data/Linkage/NAPPData/Results/ResultsKids188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Linkage/NAPPData/Results/ResultsKids1880.pdf"/>
                    <pic:cNvPicPr>
                      <a:picLocks noChangeAspect="1" noChangeArrowheads="1"/>
                    </pic:cNvPicPr>
                  </pic:nvPicPr>
                  <pic:blipFill rotWithShape="1">
                    <a:blip r:embed="rId19">
                      <a:extLst>
                        <a:ext uri="{28A0092B-C50C-407E-A947-70E740481C1C}">
                          <a14:useLocalDpi xmlns:a14="http://schemas.microsoft.com/office/drawing/2010/main" val="0"/>
                        </a:ext>
                      </a:extLst>
                    </a:blip>
                    <a:srcRect l="32789" t="11253" r="33429" b="33967"/>
                    <a:stretch/>
                  </pic:blipFill>
                  <pic:spPr bwMode="auto">
                    <a:xfrm>
                      <a:off x="0" y="0"/>
                      <a:ext cx="3651749" cy="457200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18AB2F5" w14:textId="77777777" w:rsidR="00201AD2" w:rsidRDefault="00201AD2" w:rsidP="00201AD2">
      <w:pPr>
        <w:spacing w:line="240" w:lineRule="auto"/>
        <w:jc w:val="center"/>
      </w:pPr>
    </w:p>
    <w:p w14:paraId="11002AF6" w14:textId="77777777" w:rsidR="00201AD2" w:rsidRDefault="00201AD2" w:rsidP="00201AD2">
      <w:pPr>
        <w:spacing w:line="240" w:lineRule="auto"/>
        <w:jc w:val="center"/>
      </w:pPr>
    </w:p>
    <w:p w14:paraId="4E7CDD8F" w14:textId="77777777" w:rsidR="00201AD2" w:rsidRDefault="00201AD2" w:rsidP="00201AD2">
      <w:pPr>
        <w:spacing w:line="240" w:lineRule="auto"/>
        <w:jc w:val="center"/>
      </w:pPr>
    </w:p>
    <w:p w14:paraId="274C87A6" w14:textId="77777777" w:rsidR="00201AD2" w:rsidRDefault="00201AD2" w:rsidP="00201AD2">
      <w:pPr>
        <w:spacing w:line="240" w:lineRule="auto"/>
        <w:jc w:val="center"/>
      </w:pPr>
    </w:p>
    <w:p w14:paraId="3DFCB6D5" w14:textId="77777777" w:rsidR="00201AD2" w:rsidRDefault="00201AD2" w:rsidP="00201AD2">
      <w:pPr>
        <w:spacing w:line="240" w:lineRule="auto"/>
        <w:jc w:val="center"/>
      </w:pPr>
    </w:p>
    <w:p w14:paraId="22FEE6D1" w14:textId="77777777" w:rsidR="00201AD2" w:rsidRDefault="00201AD2" w:rsidP="00201AD2">
      <w:pPr>
        <w:spacing w:line="240" w:lineRule="auto"/>
        <w:jc w:val="center"/>
      </w:pPr>
    </w:p>
    <w:p w14:paraId="27E9A6CF" w14:textId="77777777" w:rsidR="00201AD2" w:rsidRDefault="00201AD2" w:rsidP="00201AD2">
      <w:pPr>
        <w:spacing w:line="240" w:lineRule="auto"/>
        <w:jc w:val="center"/>
      </w:pPr>
    </w:p>
    <w:p w14:paraId="49B12698" w14:textId="77777777" w:rsidR="00201AD2" w:rsidRDefault="00201AD2" w:rsidP="00201AD2">
      <w:pPr>
        <w:spacing w:line="240" w:lineRule="auto"/>
        <w:jc w:val="center"/>
      </w:pPr>
    </w:p>
    <w:p w14:paraId="2C22756E" w14:textId="77777777" w:rsidR="00201AD2" w:rsidRDefault="00201AD2" w:rsidP="00201AD2">
      <w:pPr>
        <w:spacing w:line="240" w:lineRule="auto"/>
        <w:jc w:val="center"/>
      </w:pPr>
    </w:p>
    <w:p w14:paraId="40FFB921" w14:textId="77777777" w:rsidR="00201AD2" w:rsidRDefault="00201AD2" w:rsidP="00201AD2">
      <w:pPr>
        <w:spacing w:line="240" w:lineRule="auto"/>
        <w:jc w:val="center"/>
      </w:pPr>
    </w:p>
    <w:p w14:paraId="2D6DFB5C" w14:textId="77777777" w:rsidR="00201AD2" w:rsidRDefault="00201AD2" w:rsidP="00201AD2">
      <w:pPr>
        <w:spacing w:line="240" w:lineRule="auto"/>
        <w:jc w:val="center"/>
      </w:pPr>
    </w:p>
    <w:p w14:paraId="6F50C020" w14:textId="77777777" w:rsidR="00201AD2" w:rsidRDefault="00201AD2" w:rsidP="00201AD2">
      <w:pPr>
        <w:spacing w:line="240" w:lineRule="auto"/>
        <w:jc w:val="center"/>
      </w:pPr>
    </w:p>
    <w:p w14:paraId="07E78550" w14:textId="77777777" w:rsidR="00201AD2" w:rsidRDefault="00201AD2" w:rsidP="00201AD2">
      <w:pPr>
        <w:spacing w:line="240" w:lineRule="auto"/>
        <w:jc w:val="center"/>
      </w:pPr>
    </w:p>
    <w:p w14:paraId="57F200F0" w14:textId="77777777" w:rsidR="00201AD2" w:rsidRDefault="00201AD2" w:rsidP="00201AD2">
      <w:pPr>
        <w:spacing w:line="240" w:lineRule="auto"/>
        <w:jc w:val="center"/>
      </w:pPr>
    </w:p>
    <w:p w14:paraId="7A1ADDD6" w14:textId="77777777" w:rsidR="00201AD2" w:rsidRDefault="00201AD2" w:rsidP="00201AD2">
      <w:pPr>
        <w:spacing w:line="240" w:lineRule="auto"/>
        <w:jc w:val="center"/>
      </w:pPr>
    </w:p>
    <w:p w14:paraId="73BD5519" w14:textId="77777777" w:rsidR="00201AD2" w:rsidRDefault="00201AD2" w:rsidP="00201AD2">
      <w:pPr>
        <w:spacing w:line="240" w:lineRule="auto"/>
        <w:jc w:val="center"/>
      </w:pPr>
    </w:p>
    <w:p w14:paraId="417691C0" w14:textId="77777777" w:rsidR="00201AD2" w:rsidRDefault="00201AD2" w:rsidP="00201AD2">
      <w:pPr>
        <w:spacing w:line="240" w:lineRule="auto"/>
        <w:jc w:val="center"/>
      </w:pPr>
    </w:p>
    <w:p w14:paraId="7CC23B5A" w14:textId="77777777" w:rsidR="00201AD2" w:rsidRDefault="00201AD2" w:rsidP="00201AD2">
      <w:pPr>
        <w:spacing w:line="240" w:lineRule="auto"/>
        <w:jc w:val="center"/>
      </w:pPr>
    </w:p>
    <w:p w14:paraId="426BEC46" w14:textId="77777777" w:rsidR="00201AD2" w:rsidRDefault="00201AD2" w:rsidP="00201AD2">
      <w:pPr>
        <w:spacing w:line="240" w:lineRule="auto"/>
        <w:jc w:val="center"/>
      </w:pPr>
    </w:p>
    <w:p w14:paraId="555C77D7" w14:textId="77777777" w:rsidR="00925ECA" w:rsidRDefault="00925ECA" w:rsidP="0079372C">
      <w:pPr>
        <w:spacing w:line="240" w:lineRule="auto"/>
      </w:pPr>
    </w:p>
    <w:p w14:paraId="5FD3B28E" w14:textId="77777777" w:rsidR="0079372C" w:rsidRPr="002E47A2" w:rsidRDefault="0079372C" w:rsidP="0079372C">
      <w:pPr>
        <w:widowControl w:val="0"/>
        <w:jc w:val="center"/>
        <w:outlineLvl w:val="0"/>
        <w:rPr>
          <w:rFonts w:cs="Times New Roman"/>
        </w:rPr>
      </w:pPr>
      <w:r w:rsidRPr="002E47A2">
        <w:rPr>
          <w:rFonts w:cs="Times New Roman"/>
        </w:rPr>
        <w:t xml:space="preserve">Table </w:t>
      </w:r>
      <w:r>
        <w:rPr>
          <w:rFonts w:cs="Times New Roman"/>
        </w:rPr>
        <w:t>7</w:t>
      </w:r>
      <w:r w:rsidRPr="002E47A2">
        <w:rPr>
          <w:rFonts w:cs="Times New Roman"/>
        </w:rPr>
        <w:t>: Correlates of upward mobility among the famine Irish</w:t>
      </w:r>
    </w:p>
    <w:p w14:paraId="5DDFA474" w14:textId="3745C907" w:rsidR="000854F0" w:rsidRDefault="007869F6" w:rsidP="0079372C">
      <w:pPr>
        <w:spacing w:line="240" w:lineRule="auto"/>
        <w:jc w:val="center"/>
      </w:pPr>
      <w:r>
        <w:rPr>
          <w:noProof/>
        </w:rPr>
        <w:drawing>
          <wp:inline distT="0" distB="0" distL="0" distR="0" wp14:anchorId="48A01239" wp14:editId="611AE5A5">
            <wp:extent cx="4705751" cy="4572000"/>
            <wp:effectExtent l="0" t="0" r="0" b="0"/>
            <wp:docPr id="3" name="Picture 3" descr="../Data/Linkage/NAPPData/Results/FamineIrishCorrelatesMulti.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Linkage/NAPPData/Results/FamineIrishCorrelatesMulti.pdf"/>
                    <pic:cNvPicPr>
                      <a:picLocks noChangeAspect="1" noChangeArrowheads="1"/>
                    </pic:cNvPicPr>
                  </pic:nvPicPr>
                  <pic:blipFill rotWithShape="1">
                    <a:blip r:embed="rId20">
                      <a:extLst>
                        <a:ext uri="{28A0092B-C50C-407E-A947-70E740481C1C}">
                          <a14:useLocalDpi xmlns:a14="http://schemas.microsoft.com/office/drawing/2010/main" val="0"/>
                        </a:ext>
                      </a:extLst>
                    </a:blip>
                    <a:srcRect l="29301" t="11479" r="29739" b="37004"/>
                    <a:stretch/>
                  </pic:blipFill>
                  <pic:spPr bwMode="auto">
                    <a:xfrm>
                      <a:off x="0" y="0"/>
                      <a:ext cx="4705751" cy="457200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C13D1EB" w14:textId="77777777" w:rsidR="003C51B6" w:rsidRDefault="003C51B6">
      <w:pPr>
        <w:spacing w:line="240" w:lineRule="auto"/>
        <w:rPr>
          <w:b/>
        </w:rPr>
      </w:pPr>
      <w:r>
        <w:rPr>
          <w:b/>
        </w:rPr>
        <w:br w:type="page"/>
      </w:r>
    </w:p>
    <w:p w14:paraId="1E35E373" w14:textId="4D91AD12" w:rsidR="00925ECA" w:rsidRDefault="00925ECA" w:rsidP="00925ECA">
      <w:pPr>
        <w:widowControl w:val="0"/>
        <w:tabs>
          <w:tab w:val="left" w:pos="6340"/>
        </w:tabs>
        <w:rPr>
          <w:b/>
        </w:rPr>
      </w:pPr>
      <w:r w:rsidRPr="003763F2">
        <w:rPr>
          <w:b/>
        </w:rPr>
        <w:t>Data Appendix</w:t>
      </w:r>
      <w:r w:rsidR="00BD4DEB">
        <w:rPr>
          <w:b/>
        </w:rPr>
        <w:t xml:space="preserve"> (not for publication)</w:t>
      </w:r>
    </w:p>
    <w:p w14:paraId="14636C53" w14:textId="77777777" w:rsidR="00925ECA" w:rsidRDefault="00925ECA" w:rsidP="00925ECA">
      <w:pPr>
        <w:widowControl w:val="0"/>
        <w:tabs>
          <w:tab w:val="left" w:pos="6340"/>
        </w:tabs>
        <w:rPr>
          <w:b/>
        </w:rPr>
      </w:pPr>
    </w:p>
    <w:p w14:paraId="453F72CF" w14:textId="77777777" w:rsidR="00925ECA" w:rsidRDefault="00925ECA" w:rsidP="00925ECA">
      <w:pPr>
        <w:widowControl w:val="0"/>
        <w:tabs>
          <w:tab w:val="left" w:pos="6340"/>
        </w:tabs>
        <w:rPr>
          <w:i/>
        </w:rPr>
      </w:pPr>
      <w:r>
        <w:rPr>
          <w:i/>
        </w:rPr>
        <w:t>Appendix A: Census linkage</w:t>
      </w:r>
    </w:p>
    <w:p w14:paraId="2E24540E" w14:textId="77777777" w:rsidR="00925ECA" w:rsidRDefault="00925ECA" w:rsidP="00925ECA">
      <w:pPr>
        <w:widowControl w:val="0"/>
        <w:tabs>
          <w:tab w:val="left" w:pos="6340"/>
        </w:tabs>
        <w:rPr>
          <w:i/>
        </w:rPr>
      </w:pPr>
    </w:p>
    <w:p w14:paraId="42B9634B" w14:textId="5A673305" w:rsidR="00925ECA" w:rsidRDefault="00925ECA" w:rsidP="00515E2E">
      <w:pPr>
        <w:widowControl w:val="0"/>
        <w:tabs>
          <w:tab w:val="left" w:pos="6340"/>
        </w:tabs>
        <w:jc w:val="both"/>
      </w:pPr>
      <w:r>
        <w:t xml:space="preserve">The linkage procedure was the following. </w:t>
      </w:r>
    </w:p>
    <w:p w14:paraId="5D2315A7" w14:textId="77777777" w:rsidR="00925ECA" w:rsidRDefault="00925ECA" w:rsidP="00515E2E">
      <w:pPr>
        <w:pStyle w:val="ListParagraph"/>
        <w:numPr>
          <w:ilvl w:val="0"/>
          <w:numId w:val="1"/>
        </w:numPr>
        <w:tabs>
          <w:tab w:val="left" w:pos="6340"/>
        </w:tabs>
        <w:jc w:val="both"/>
      </w:pPr>
      <w:r>
        <w:t>Men with non-empty first and last names were extracted from the 1850 census, and punctuation was removed.</w:t>
      </w:r>
    </w:p>
    <w:p w14:paraId="2602869B" w14:textId="77777777" w:rsidR="00925ECA" w:rsidRDefault="00925ECA" w:rsidP="00515E2E">
      <w:pPr>
        <w:pStyle w:val="ListParagraph"/>
        <w:numPr>
          <w:ilvl w:val="0"/>
          <w:numId w:val="1"/>
        </w:numPr>
        <w:tabs>
          <w:tab w:val="left" w:pos="6340"/>
        </w:tabs>
        <w:jc w:val="both"/>
      </w:pPr>
      <w:r>
        <w:t>The listed first name was divided into a given name and middle initial, when one was present.</w:t>
      </w:r>
    </w:p>
    <w:p w14:paraId="49F2A11B" w14:textId="77777777" w:rsidR="00925ECA" w:rsidRDefault="00925ECA" w:rsidP="00515E2E">
      <w:pPr>
        <w:pStyle w:val="ListParagraph"/>
        <w:numPr>
          <w:ilvl w:val="0"/>
          <w:numId w:val="1"/>
        </w:numPr>
        <w:tabs>
          <w:tab w:val="left" w:pos="6340"/>
        </w:tabs>
        <w:jc w:val="both"/>
      </w:pPr>
      <w:r>
        <w:t>Standard first name abbreviations were replaced (e.g., “Wm” was replaced with “William”).</w:t>
      </w:r>
    </w:p>
    <w:p w14:paraId="7C1B5682" w14:textId="77777777" w:rsidR="00925ECA" w:rsidRDefault="00925ECA" w:rsidP="00515E2E">
      <w:pPr>
        <w:pStyle w:val="ListParagraph"/>
        <w:numPr>
          <w:ilvl w:val="0"/>
          <w:numId w:val="1"/>
        </w:numPr>
        <w:tabs>
          <w:tab w:val="left" w:pos="6340"/>
        </w:tabs>
        <w:jc w:val="both"/>
      </w:pPr>
      <w:r>
        <w:t>Any remaining spaces were removed from the names.</w:t>
      </w:r>
    </w:p>
    <w:p w14:paraId="3FD2A0ED" w14:textId="77777777" w:rsidR="00925ECA" w:rsidRDefault="00925ECA" w:rsidP="00515E2E">
      <w:pPr>
        <w:pStyle w:val="ListParagraph"/>
        <w:numPr>
          <w:ilvl w:val="0"/>
          <w:numId w:val="1"/>
        </w:numPr>
        <w:tabs>
          <w:tab w:val="left" w:pos="6340"/>
        </w:tabs>
        <w:jc w:val="both"/>
      </w:pPr>
      <w:r>
        <w:t>The list of cleaned men's names generated by steps 1-4 was linked to itself on the following characteristics:</w:t>
      </w:r>
    </w:p>
    <w:p w14:paraId="0E748CED" w14:textId="77777777" w:rsidR="00925ECA" w:rsidRDefault="00925ECA" w:rsidP="00515E2E">
      <w:pPr>
        <w:pStyle w:val="ListParagraph"/>
        <w:numPr>
          <w:ilvl w:val="1"/>
          <w:numId w:val="1"/>
        </w:numPr>
        <w:tabs>
          <w:tab w:val="left" w:pos="6340"/>
        </w:tabs>
        <w:jc w:val="both"/>
      </w:pPr>
      <w:r>
        <w:t>Birthplace matches</w:t>
      </w:r>
    </w:p>
    <w:p w14:paraId="284F17FF" w14:textId="77777777" w:rsidR="00925ECA" w:rsidRDefault="00925ECA" w:rsidP="00515E2E">
      <w:pPr>
        <w:pStyle w:val="ListParagraph"/>
        <w:numPr>
          <w:ilvl w:val="1"/>
          <w:numId w:val="1"/>
        </w:numPr>
        <w:tabs>
          <w:tab w:val="left" w:pos="6340"/>
        </w:tabs>
        <w:jc w:val="both"/>
      </w:pPr>
      <w:r>
        <w:t>Absolute difference in birth years less than or equal to 4</w:t>
      </w:r>
    </w:p>
    <w:p w14:paraId="7D585871" w14:textId="77777777" w:rsidR="00925ECA" w:rsidRDefault="00925ECA" w:rsidP="00515E2E">
      <w:pPr>
        <w:pStyle w:val="ListParagraph"/>
        <w:numPr>
          <w:ilvl w:val="1"/>
          <w:numId w:val="1"/>
        </w:numPr>
        <w:tabs>
          <w:tab w:val="left" w:pos="6340"/>
        </w:tabs>
        <w:jc w:val="both"/>
      </w:pPr>
      <w:r>
        <w:t>First three characters of last name soundex match, and either of the following two conditions are true:</w:t>
      </w:r>
      <w:r>
        <w:rPr>
          <w:rStyle w:val="FootnoteReference"/>
        </w:rPr>
        <w:footnoteReference w:id="52"/>
      </w:r>
    </w:p>
    <w:p w14:paraId="4145D9D7" w14:textId="441D26CD" w:rsidR="00925ECA" w:rsidRDefault="00925ECA" w:rsidP="00515E2E">
      <w:pPr>
        <w:pStyle w:val="ListParagraph"/>
        <w:numPr>
          <w:ilvl w:val="2"/>
          <w:numId w:val="1"/>
        </w:numPr>
        <w:tabs>
          <w:tab w:val="left" w:pos="6340"/>
        </w:tabs>
        <w:jc w:val="both"/>
      </w:pPr>
      <w:r>
        <w:t xml:space="preserve">The last name soundexes are identical and the </w:t>
      </w:r>
      <w:r w:rsidR="0066282C">
        <w:t xml:space="preserve">SAS </w:t>
      </w:r>
      <w:r>
        <w:t>spelling distance is less than or equal to 20.</w:t>
      </w:r>
      <w:r>
        <w:rPr>
          <w:rStyle w:val="FootnoteReference"/>
        </w:rPr>
        <w:footnoteReference w:id="53"/>
      </w:r>
    </w:p>
    <w:p w14:paraId="2FC2F170" w14:textId="3CC48C1D" w:rsidR="00925ECA" w:rsidRDefault="00925ECA" w:rsidP="00515E2E">
      <w:pPr>
        <w:pStyle w:val="ListParagraph"/>
        <w:numPr>
          <w:ilvl w:val="2"/>
          <w:numId w:val="1"/>
        </w:numPr>
        <w:tabs>
          <w:tab w:val="left" w:pos="6340"/>
        </w:tabs>
        <w:jc w:val="both"/>
      </w:pPr>
      <w:r>
        <w:t xml:space="preserve">The last name soundexes are non-identical, and the </w:t>
      </w:r>
      <w:r w:rsidR="0066282C">
        <w:t xml:space="preserve">SAS </w:t>
      </w:r>
      <w:r>
        <w:t>spelling distance is less than or equal to 17.</w:t>
      </w:r>
    </w:p>
    <w:p w14:paraId="64B5117A" w14:textId="77777777" w:rsidR="00925ECA" w:rsidRDefault="00925ECA" w:rsidP="00515E2E">
      <w:pPr>
        <w:pStyle w:val="ListParagraph"/>
        <w:numPr>
          <w:ilvl w:val="1"/>
          <w:numId w:val="1"/>
        </w:numPr>
        <w:tabs>
          <w:tab w:val="left" w:pos="6340"/>
        </w:tabs>
        <w:jc w:val="both"/>
      </w:pPr>
      <w:r>
        <w:t>First letter of first name matches, and spelling distance between first names is less than or equal to 20.</w:t>
      </w:r>
    </w:p>
    <w:p w14:paraId="116C7394" w14:textId="77777777" w:rsidR="00925ECA" w:rsidRDefault="00925ECA" w:rsidP="00515E2E">
      <w:pPr>
        <w:pStyle w:val="ListParagraph"/>
        <w:numPr>
          <w:ilvl w:val="0"/>
          <w:numId w:val="1"/>
        </w:numPr>
        <w:tabs>
          <w:tab w:val="left" w:pos="6340"/>
        </w:tabs>
        <w:jc w:val="both"/>
      </w:pPr>
      <w:r>
        <w:t>Any individual with a match in step 5 (other than himself) was removed from the sample.</w:t>
      </w:r>
    </w:p>
    <w:p w14:paraId="089AAAB8" w14:textId="77777777" w:rsidR="00925ECA" w:rsidRDefault="00925ECA" w:rsidP="00515E2E">
      <w:pPr>
        <w:pStyle w:val="ListParagraph"/>
        <w:numPr>
          <w:ilvl w:val="0"/>
          <w:numId w:val="1"/>
        </w:numPr>
        <w:tabs>
          <w:tab w:val="left" w:pos="6340"/>
        </w:tabs>
        <w:jc w:val="both"/>
      </w:pPr>
      <w:r>
        <w:t>The remaining men from 1850 and all those from 1880 were cleaned according to steps 1, 2, and 4 above (no standardization of name abbreviations was made).</w:t>
      </w:r>
    </w:p>
    <w:p w14:paraId="3093FFEE" w14:textId="77777777" w:rsidR="00925ECA" w:rsidRDefault="00925ECA" w:rsidP="00515E2E">
      <w:pPr>
        <w:pStyle w:val="ListParagraph"/>
        <w:numPr>
          <w:ilvl w:val="0"/>
          <w:numId w:val="1"/>
        </w:numPr>
        <w:tabs>
          <w:tab w:val="left" w:pos="6340"/>
        </w:tabs>
        <w:jc w:val="both"/>
      </w:pPr>
      <w:r>
        <w:t>Men in 1850 were linked to 1880 according to the criteria listed in step 5, as well as the following additional characteristic:</w:t>
      </w:r>
    </w:p>
    <w:p w14:paraId="38CE11F2" w14:textId="77777777" w:rsidR="00925ECA" w:rsidRDefault="00925ECA" w:rsidP="00515E2E">
      <w:pPr>
        <w:pStyle w:val="ListParagraph"/>
        <w:numPr>
          <w:ilvl w:val="1"/>
          <w:numId w:val="1"/>
        </w:numPr>
        <w:tabs>
          <w:tab w:val="left" w:pos="6340"/>
        </w:tabs>
        <w:jc w:val="both"/>
      </w:pPr>
      <w:r>
        <w:t>Where both records report a middle initial, the middle initials must match for a match to occur.</w:t>
      </w:r>
    </w:p>
    <w:p w14:paraId="54934B80" w14:textId="77777777" w:rsidR="00925ECA" w:rsidRDefault="00925ECA" w:rsidP="00515E2E">
      <w:pPr>
        <w:pStyle w:val="ListParagraph"/>
        <w:numPr>
          <w:ilvl w:val="0"/>
          <w:numId w:val="1"/>
        </w:numPr>
        <w:tabs>
          <w:tab w:val="left" w:pos="6340"/>
        </w:tabs>
        <w:jc w:val="both"/>
      </w:pPr>
      <w:r>
        <w:t>Of the candidate matches created in step 8, any match in which more than one 1880 individual matched to an 1850 individual, or in which more than one 1850 individual matched to the same 1880 individual, was removed.</w:t>
      </w:r>
    </w:p>
    <w:p w14:paraId="31C45E7E" w14:textId="77777777" w:rsidR="00925ECA" w:rsidRDefault="00925ECA" w:rsidP="00515E2E">
      <w:pPr>
        <w:widowControl w:val="0"/>
        <w:tabs>
          <w:tab w:val="left" w:pos="6340"/>
        </w:tabs>
        <w:jc w:val="both"/>
      </w:pPr>
    </w:p>
    <w:p w14:paraId="5569DE51" w14:textId="22BEE07C" w:rsidR="00925ECA" w:rsidRDefault="00925ECA" w:rsidP="00515E2E">
      <w:pPr>
        <w:widowControl w:val="0"/>
        <w:tabs>
          <w:tab w:val="left" w:pos="6340"/>
        </w:tabs>
        <w:ind w:firstLine="720"/>
        <w:jc w:val="both"/>
      </w:pPr>
      <w:r>
        <w:t>Table A.1 presents the rates of successful linkage by</w:t>
      </w:r>
      <w:r w:rsidR="00387FE1">
        <w:t xml:space="preserve"> the individual’s place of birth (so that native-born sons of immigrants are in column 4). This Table is not restricted to sons; it also includes others, such as heads of household and boarders.</w:t>
      </w:r>
      <w:r>
        <w:t xml:space="preserve"> Tables A.2 presents the results of a linear probability model relating the probability of being successfully linked between 1850 and 1880 to a variety of characteristics observed in 1850. This Table divides the sample by the ethnicity of the head of household in 1850. </w:t>
      </w:r>
    </w:p>
    <w:p w14:paraId="59829B65" w14:textId="77777777" w:rsidR="00925ECA" w:rsidRDefault="00925ECA" w:rsidP="00925ECA">
      <w:pPr>
        <w:widowControl w:val="0"/>
        <w:tabs>
          <w:tab w:val="left" w:pos="6340"/>
        </w:tabs>
        <w:jc w:val="center"/>
      </w:pPr>
    </w:p>
    <w:p w14:paraId="029066F5" w14:textId="4F22CABF" w:rsidR="00925ECA" w:rsidRDefault="00925ECA" w:rsidP="00925ECA">
      <w:pPr>
        <w:widowControl w:val="0"/>
        <w:tabs>
          <w:tab w:val="left" w:pos="6340"/>
        </w:tabs>
        <w:jc w:val="center"/>
      </w:pPr>
      <w:r>
        <w:t>Table A.1: Linkage rates by place of birth</w:t>
      </w:r>
    </w:p>
    <w:p w14:paraId="78CA82BE" w14:textId="1C10B958" w:rsidR="00925ECA" w:rsidRDefault="00586DCC" w:rsidP="00925ECA">
      <w:pPr>
        <w:widowControl w:val="0"/>
        <w:tabs>
          <w:tab w:val="left" w:pos="6340"/>
        </w:tabs>
        <w:jc w:val="center"/>
      </w:pPr>
      <w:r>
        <w:rPr>
          <w:noProof/>
        </w:rPr>
        <w:drawing>
          <wp:inline distT="0" distB="0" distL="0" distR="0" wp14:anchorId="55BE81AE" wp14:editId="1A625972">
            <wp:extent cx="3657600" cy="2547768"/>
            <wp:effectExtent l="0" t="0" r="0" b="0"/>
            <wp:docPr id="24" name="Picture 24" descr="../Data/Linkage/NAPPData/Results/LinkageNumb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ta/Linkage/NAPPData/Results/LinkageNumbers.pdf"/>
                    <pic:cNvPicPr>
                      <a:picLocks noChangeAspect="1" noChangeArrowheads="1"/>
                    </pic:cNvPicPr>
                  </pic:nvPicPr>
                  <pic:blipFill rotWithShape="1">
                    <a:blip r:embed="rId21">
                      <a:extLst>
                        <a:ext uri="{28A0092B-C50C-407E-A947-70E740481C1C}">
                          <a14:useLocalDpi xmlns:a14="http://schemas.microsoft.com/office/drawing/2010/main" val="0"/>
                        </a:ext>
                      </a:extLst>
                    </a:blip>
                    <a:srcRect l="29676" t="8482" r="30315" b="69998"/>
                    <a:stretch/>
                  </pic:blipFill>
                  <pic:spPr bwMode="auto">
                    <a:xfrm>
                      <a:off x="0" y="0"/>
                      <a:ext cx="3657600" cy="2547768"/>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C06A6A5" w14:textId="77777777" w:rsidR="00925ECA" w:rsidRDefault="00925ECA" w:rsidP="00925ECA">
      <w:pPr>
        <w:widowControl w:val="0"/>
        <w:tabs>
          <w:tab w:val="left" w:pos="6340"/>
        </w:tabs>
        <w:jc w:val="center"/>
      </w:pPr>
    </w:p>
    <w:p w14:paraId="4F25D024" w14:textId="77777777" w:rsidR="009E52A6" w:rsidRDefault="009E52A6" w:rsidP="00925ECA">
      <w:pPr>
        <w:widowControl w:val="0"/>
        <w:tabs>
          <w:tab w:val="left" w:pos="6340"/>
        </w:tabs>
        <w:jc w:val="center"/>
      </w:pPr>
    </w:p>
    <w:p w14:paraId="78AEC76C" w14:textId="77777777" w:rsidR="009E52A6" w:rsidRDefault="009E52A6" w:rsidP="00925ECA">
      <w:pPr>
        <w:widowControl w:val="0"/>
        <w:tabs>
          <w:tab w:val="left" w:pos="6340"/>
        </w:tabs>
        <w:jc w:val="center"/>
      </w:pPr>
    </w:p>
    <w:p w14:paraId="4A0E1DD1" w14:textId="77777777" w:rsidR="00586DCC" w:rsidRDefault="00586DCC" w:rsidP="00925ECA">
      <w:pPr>
        <w:widowControl w:val="0"/>
        <w:tabs>
          <w:tab w:val="left" w:pos="6340"/>
        </w:tabs>
        <w:jc w:val="center"/>
      </w:pPr>
    </w:p>
    <w:p w14:paraId="64256BF9" w14:textId="77777777" w:rsidR="009E52A6" w:rsidRDefault="009E52A6" w:rsidP="00925ECA">
      <w:pPr>
        <w:widowControl w:val="0"/>
        <w:tabs>
          <w:tab w:val="left" w:pos="6340"/>
        </w:tabs>
        <w:jc w:val="center"/>
      </w:pPr>
    </w:p>
    <w:p w14:paraId="0AAC2579" w14:textId="77777777" w:rsidR="009E52A6" w:rsidRDefault="009E52A6" w:rsidP="00925ECA">
      <w:pPr>
        <w:widowControl w:val="0"/>
        <w:tabs>
          <w:tab w:val="left" w:pos="6340"/>
        </w:tabs>
        <w:jc w:val="center"/>
      </w:pPr>
    </w:p>
    <w:p w14:paraId="2923EABF" w14:textId="77777777" w:rsidR="009E52A6" w:rsidRDefault="009E52A6" w:rsidP="00925ECA">
      <w:pPr>
        <w:widowControl w:val="0"/>
        <w:tabs>
          <w:tab w:val="left" w:pos="6340"/>
        </w:tabs>
        <w:jc w:val="center"/>
      </w:pPr>
    </w:p>
    <w:p w14:paraId="537E661A" w14:textId="00CAFA33" w:rsidR="00925ECA" w:rsidRPr="009E52A6" w:rsidRDefault="00925ECA" w:rsidP="009E52A6">
      <w:pPr>
        <w:widowControl w:val="0"/>
        <w:tabs>
          <w:tab w:val="left" w:pos="6340"/>
        </w:tabs>
        <w:jc w:val="center"/>
      </w:pPr>
      <w:r>
        <w:t>Table A.2: Selection into linkage, children</w:t>
      </w:r>
    </w:p>
    <w:p w14:paraId="331FCF4F" w14:textId="23B371F2" w:rsidR="00925ECA" w:rsidRDefault="00586DCC" w:rsidP="009E52A6">
      <w:pPr>
        <w:widowControl w:val="0"/>
        <w:tabs>
          <w:tab w:val="left" w:pos="6340"/>
        </w:tabs>
        <w:jc w:val="center"/>
      </w:pPr>
      <w:r>
        <w:rPr>
          <w:noProof/>
        </w:rPr>
        <w:drawing>
          <wp:inline distT="0" distB="0" distL="0" distR="0" wp14:anchorId="545C1DC7" wp14:editId="622000ED">
            <wp:extent cx="3812127" cy="6400800"/>
            <wp:effectExtent l="0" t="0" r="0" b="0"/>
            <wp:docPr id="25" name="Picture 25" descr="../Data/Linkage/NAPPData/Linkage/LinkRegsAllAdjTab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a/Linkage/NAPPData/Linkage/LinkRegsAllAdjTable.pdf"/>
                    <pic:cNvPicPr>
                      <a:picLocks noChangeAspect="1" noChangeArrowheads="1"/>
                    </pic:cNvPicPr>
                  </pic:nvPicPr>
                  <pic:blipFill rotWithShape="1">
                    <a:blip r:embed="rId22">
                      <a:extLst>
                        <a:ext uri="{28A0092B-C50C-407E-A947-70E740481C1C}">
                          <a14:useLocalDpi xmlns:a14="http://schemas.microsoft.com/office/drawing/2010/main" val="0"/>
                        </a:ext>
                      </a:extLst>
                    </a:blip>
                    <a:srcRect l="26398" t="8354" r="26540" b="30627"/>
                    <a:stretch/>
                  </pic:blipFill>
                  <pic:spPr bwMode="auto">
                    <a:xfrm>
                      <a:off x="0" y="0"/>
                      <a:ext cx="3812127" cy="640080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660D7B3" w14:textId="77777777" w:rsidR="00925ECA" w:rsidRDefault="00925ECA" w:rsidP="00925ECA">
      <w:pPr>
        <w:widowControl w:val="0"/>
        <w:tabs>
          <w:tab w:val="left" w:pos="6340"/>
        </w:tabs>
      </w:pPr>
    </w:p>
    <w:p w14:paraId="2C3FCB3D" w14:textId="77777777" w:rsidR="00925ECA" w:rsidRDefault="00925ECA" w:rsidP="00925ECA">
      <w:pPr>
        <w:widowControl w:val="0"/>
        <w:tabs>
          <w:tab w:val="left" w:pos="6340"/>
        </w:tabs>
      </w:pPr>
    </w:p>
    <w:p w14:paraId="2664BB81" w14:textId="77777777" w:rsidR="00925ECA" w:rsidRDefault="00925ECA" w:rsidP="00925ECA">
      <w:pPr>
        <w:widowControl w:val="0"/>
        <w:tabs>
          <w:tab w:val="left" w:pos="6340"/>
        </w:tabs>
      </w:pPr>
    </w:p>
    <w:p w14:paraId="3E64A8C3" w14:textId="77777777" w:rsidR="00586DCC" w:rsidRDefault="00586DCC" w:rsidP="00925ECA">
      <w:pPr>
        <w:widowControl w:val="0"/>
        <w:tabs>
          <w:tab w:val="left" w:pos="6340"/>
        </w:tabs>
      </w:pPr>
    </w:p>
    <w:p w14:paraId="0179FD43" w14:textId="77777777" w:rsidR="00925ECA" w:rsidRDefault="00925ECA" w:rsidP="00925ECA">
      <w:pPr>
        <w:widowControl w:val="0"/>
        <w:tabs>
          <w:tab w:val="left" w:pos="6340"/>
        </w:tabs>
        <w:rPr>
          <w:i/>
        </w:rPr>
      </w:pPr>
    </w:p>
    <w:p w14:paraId="509246D3" w14:textId="77777777" w:rsidR="000854F0" w:rsidRDefault="000854F0" w:rsidP="00925ECA">
      <w:pPr>
        <w:widowControl w:val="0"/>
        <w:rPr>
          <w:i/>
        </w:rPr>
      </w:pPr>
    </w:p>
    <w:p w14:paraId="1C0CD3C9" w14:textId="0525F627" w:rsidR="00925ECA" w:rsidRPr="00063AC7" w:rsidRDefault="00925ECA" w:rsidP="00925ECA">
      <w:pPr>
        <w:widowControl w:val="0"/>
        <w:rPr>
          <w:i/>
        </w:rPr>
      </w:pPr>
      <w:r w:rsidRPr="00063AC7">
        <w:rPr>
          <w:i/>
        </w:rPr>
        <w:t>Appendix</w:t>
      </w:r>
      <w:r>
        <w:rPr>
          <w:i/>
        </w:rPr>
        <w:t xml:space="preserve"> B</w:t>
      </w:r>
      <w:r w:rsidRPr="00063AC7">
        <w:rPr>
          <w:i/>
        </w:rPr>
        <w:t xml:space="preserve">: Surname-Based </w:t>
      </w:r>
      <w:r w:rsidR="005B1C56">
        <w:rPr>
          <w:i/>
        </w:rPr>
        <w:t>Catholicity</w:t>
      </w:r>
      <w:r w:rsidR="005B1C56" w:rsidRPr="00063AC7">
        <w:rPr>
          <w:i/>
        </w:rPr>
        <w:t xml:space="preserve"> </w:t>
      </w:r>
      <w:r w:rsidRPr="00063AC7">
        <w:rPr>
          <w:i/>
        </w:rPr>
        <w:t>Imputation Algorithm</w:t>
      </w:r>
    </w:p>
    <w:p w14:paraId="33258017" w14:textId="77777777" w:rsidR="00925ECA" w:rsidRDefault="00925ECA" w:rsidP="00B3654D">
      <w:pPr>
        <w:widowControl w:val="0"/>
        <w:ind w:firstLine="720"/>
        <w:jc w:val="both"/>
      </w:pPr>
      <w:r>
        <w:t>The algorithm to determine the probability of being Catholic based on surname proceeds as follows. It is based on Spitzer and Zimran’s (2018) algorithm to determine the province of origin of Italian migrants to the United States by their surnames.</w:t>
      </w:r>
    </w:p>
    <w:p w14:paraId="40AFC36E" w14:textId="77777777" w:rsidR="00925ECA" w:rsidRDefault="00925ECA" w:rsidP="00B3654D">
      <w:pPr>
        <w:pStyle w:val="ListParagraph"/>
        <w:numPr>
          <w:ilvl w:val="0"/>
          <w:numId w:val="2"/>
        </w:numPr>
        <w:autoSpaceDE/>
        <w:autoSpaceDN/>
        <w:adjustRightInd/>
        <w:contextualSpacing/>
        <w:jc w:val="both"/>
      </w:pPr>
      <w:r>
        <w:t>We obtained the complete 1901 Census of Ireland. Religions listed in this source were manually classified as Catholic, Protestant, or other. Using this source, a list was created of all distinct surnames, along with the number of these individuals who were and were not Catholic. For example, there were 12,238 individuals in 1901 with the surname Collins who were Catholic, and 1,076 individuals in 1901 with the surname Collins who were not Catholic.</w:t>
      </w:r>
    </w:p>
    <w:p w14:paraId="31E91AF8" w14:textId="77777777" w:rsidR="00925ECA" w:rsidRDefault="00925ECA" w:rsidP="00B3654D">
      <w:pPr>
        <w:pStyle w:val="ListParagraph"/>
        <w:numPr>
          <w:ilvl w:val="0"/>
          <w:numId w:val="2"/>
        </w:numPr>
        <w:autoSpaceDE/>
        <w:autoSpaceDN/>
        <w:adjustRightInd/>
        <w:contextualSpacing/>
        <w:jc w:val="both"/>
      </w:pPr>
      <w:r>
        <w:t>A list was created of all distinct surnames of individuals in the 1850 US Census who were either born in Ireland or lived in a household headed by an Irish-born individual.</w:t>
      </w:r>
    </w:p>
    <w:p w14:paraId="56BC64EC" w14:textId="77777777" w:rsidR="00925ECA" w:rsidRDefault="00925ECA" w:rsidP="00B3654D">
      <w:pPr>
        <w:pStyle w:val="ListParagraph"/>
        <w:numPr>
          <w:ilvl w:val="0"/>
          <w:numId w:val="2"/>
        </w:numPr>
        <w:autoSpaceDE/>
        <w:autoSpaceDN/>
        <w:adjustRightInd/>
        <w:contextualSpacing/>
        <w:jc w:val="both"/>
      </w:pPr>
      <w:r>
        <w:t>These two lists were matched to one another if the first letter matched, and on the following criteria.</w:t>
      </w:r>
    </w:p>
    <w:p w14:paraId="1478A0DB" w14:textId="77777777" w:rsidR="00925ECA" w:rsidRDefault="00925ECA" w:rsidP="00B3654D">
      <w:pPr>
        <w:pStyle w:val="ListParagraph"/>
        <w:numPr>
          <w:ilvl w:val="1"/>
          <w:numId w:val="2"/>
        </w:numPr>
        <w:autoSpaceDE/>
        <w:autoSpaceDN/>
        <w:adjustRightInd/>
        <w:contextualSpacing/>
        <w:jc w:val="both"/>
      </w:pPr>
      <w:r>
        <w:t>If the soundexes of the entry in the two sources were the same, a match was made if the minimum SPEDIS value between them was less than or equal to 20.</w:t>
      </w:r>
    </w:p>
    <w:p w14:paraId="72BFB358" w14:textId="77777777" w:rsidR="00925ECA" w:rsidRDefault="00925ECA" w:rsidP="00B3654D">
      <w:pPr>
        <w:pStyle w:val="ListParagraph"/>
        <w:numPr>
          <w:ilvl w:val="1"/>
          <w:numId w:val="2"/>
        </w:numPr>
        <w:autoSpaceDE/>
        <w:autoSpaceDN/>
        <w:adjustRightInd/>
        <w:contextualSpacing/>
        <w:jc w:val="both"/>
      </w:pPr>
      <w:r>
        <w:t>If the soundexes of the entries in the two sources were not the same, a match was made if the minimum SPEDIS value between them was less than or equal to 17.</w:t>
      </w:r>
    </w:p>
    <w:p w14:paraId="3F50233E" w14:textId="77777777" w:rsidR="00925ECA" w:rsidRDefault="00925ECA" w:rsidP="00B3654D">
      <w:pPr>
        <w:widowControl w:val="0"/>
        <w:ind w:left="720"/>
        <w:jc w:val="both"/>
      </w:pPr>
      <w:r>
        <w:t xml:space="preserve">This approach created, for each surname in the 1850 census, a count of Catholic and non-Catholic individuals to whom the individual was matched in the 1901 Irish census. </w:t>
      </w:r>
    </w:p>
    <w:p w14:paraId="0064C723" w14:textId="1C60DB1C" w:rsidR="00925ECA" w:rsidRPr="00C01377" w:rsidRDefault="00925ECA" w:rsidP="00E950B8">
      <w:pPr>
        <w:pStyle w:val="ListParagraph"/>
        <w:numPr>
          <w:ilvl w:val="0"/>
          <w:numId w:val="2"/>
        </w:numPr>
        <w:autoSpaceDE/>
        <w:autoSpaceDN/>
        <w:adjustRightInd/>
        <w:contextualSpacing/>
      </w:pPr>
      <w:r>
        <w:t>The surname “</w:t>
      </w:r>
      <w:r w:rsidR="005B1C56">
        <w:t>Catholicity</w:t>
      </w:r>
      <w:r>
        <w:t>” was calculated as</w:t>
      </w:r>
      <w:r>
        <w:br/>
      </w:r>
      <m:oMathPara>
        <m:oMath>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n∈N</m:t>
                  </m:r>
                </m:sub>
                <m:sup/>
                <m:e>
                  <m:sSub>
                    <m:sSubPr>
                      <m:ctrlPr>
                        <w:rPr>
                          <w:rFonts w:ascii="Cambria Math" w:hAnsi="Cambria Math"/>
                          <w:i/>
                        </w:rPr>
                      </m:ctrlPr>
                    </m:sSubPr>
                    <m:e>
                      <m:r>
                        <w:rPr>
                          <w:rFonts w:ascii="Cambria Math" w:hAnsi="Cambria Math"/>
                        </w:rPr>
                        <m:t>C</m:t>
                      </m:r>
                    </m:e>
                    <m:sub>
                      <m:r>
                        <w:rPr>
                          <w:rFonts w:ascii="Cambria Math" w:hAnsi="Cambria Math"/>
                        </w:rPr>
                        <m:t>n</m:t>
                      </m:r>
                    </m:sub>
                  </m:sSub>
                </m:e>
              </m:nary>
            </m:num>
            <m:den>
              <m:nary>
                <m:naryPr>
                  <m:chr m:val="∑"/>
                  <m:limLoc m:val="subSup"/>
                  <m:supHide m:val="1"/>
                  <m:ctrlPr>
                    <w:rPr>
                      <w:rFonts w:ascii="Cambria Math" w:hAnsi="Cambria Math"/>
                      <w:i/>
                    </w:rPr>
                  </m:ctrlPr>
                </m:naryPr>
                <m:sub>
                  <m:r>
                    <w:rPr>
                      <w:rFonts w:ascii="Cambria Math" w:hAnsi="Cambria Math"/>
                    </w:rPr>
                    <m:t>n∈N</m:t>
                  </m:r>
                </m:sub>
                <m:sup/>
                <m:e>
                  <m:sSub>
                    <m:sSubPr>
                      <m:ctrlPr>
                        <w:rPr>
                          <w:rFonts w:ascii="Cambria Math" w:hAnsi="Cambria Math"/>
                          <w:i/>
                        </w:rPr>
                      </m:ctrlPr>
                    </m:sSubPr>
                    <m:e>
                      <m:r>
                        <w:rPr>
                          <w:rFonts w:ascii="Cambria Math" w:hAnsi="Cambria Math"/>
                        </w:rPr>
                        <m:t>P</m:t>
                      </m:r>
                    </m:e>
                    <m:sub>
                      <m:r>
                        <w:rPr>
                          <w:rFonts w:ascii="Cambria Math" w:hAnsi="Cambria Math"/>
                        </w:rPr>
                        <m:t>n</m:t>
                      </m:r>
                    </m:sub>
                  </m:sSub>
                </m:e>
              </m:nary>
            </m:den>
          </m:f>
        </m:oMath>
      </m:oMathPara>
    </w:p>
    <w:p w14:paraId="35383360" w14:textId="4544387D" w:rsidR="00925ECA" w:rsidRPr="00063AC7" w:rsidRDefault="008F17EE" w:rsidP="00B3654D">
      <w:pPr>
        <w:widowControl w:val="0"/>
        <w:ind w:left="720"/>
        <w:jc w:val="both"/>
      </w:pPr>
      <w:r>
        <w:t>w</w:t>
      </w:r>
      <w:r w:rsidR="00925ECA">
        <w:t xml:space="preserve">here </w:t>
      </w:r>
      <w:r w:rsidR="00925ECA">
        <w:rPr>
          <w:i/>
        </w:rPr>
        <w:t>N</w:t>
      </w:r>
      <w:r w:rsidR="00925ECA">
        <w:t xml:space="preserve"> is the set of 1901 surnames to which an 1850 individual’s surname was matched, </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sidR="00925ECA">
        <w:t xml:space="preserve"> is the number of Catholic individuals with surname </w:t>
      </w:r>
      <w:r w:rsidR="00925ECA">
        <w:rPr>
          <w:i/>
        </w:rPr>
        <w:t>n</w:t>
      </w:r>
      <w:r w:rsidR="00925ECA">
        <w:t xml:space="preserve"> in 1901 Ireland, and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rsidR="00925ECA">
        <w:t xml:space="preserve"> is the number of non-Catholic individuals with the surname </w:t>
      </w:r>
      <w:r w:rsidR="00925ECA">
        <w:rPr>
          <w:i/>
        </w:rPr>
        <w:t xml:space="preserve">n </w:t>
      </w:r>
      <w:r w:rsidR="00925ECA">
        <w:t xml:space="preserve">in 1901 Ireland. In cases where </w:t>
      </w:r>
      <m:oMath>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&lt;200</m:t>
        </m:r>
      </m:oMath>
      <w:r w:rsidR="00925ECA">
        <w:t xml:space="preserve">, no categorization was made. </w:t>
      </w:r>
    </w:p>
    <w:p w14:paraId="4817C36A" w14:textId="77777777" w:rsidR="00925ECA" w:rsidRDefault="00925ECA" w:rsidP="00925ECA">
      <w:pPr>
        <w:widowControl w:val="0"/>
      </w:pPr>
    </w:p>
    <w:p w14:paraId="52B0A40E" w14:textId="77777777" w:rsidR="00925ECA" w:rsidRDefault="00925ECA" w:rsidP="00925ECA">
      <w:pPr>
        <w:widowControl w:val="0"/>
      </w:pPr>
    </w:p>
    <w:p w14:paraId="5D92922A" w14:textId="77777777" w:rsidR="00925ECA" w:rsidRDefault="00925ECA" w:rsidP="00925ECA">
      <w:pPr>
        <w:widowControl w:val="0"/>
      </w:pPr>
    </w:p>
    <w:p w14:paraId="5AFE305F" w14:textId="77777777" w:rsidR="00925ECA" w:rsidRDefault="00925ECA" w:rsidP="00925ECA">
      <w:pPr>
        <w:widowControl w:val="0"/>
      </w:pPr>
    </w:p>
    <w:p w14:paraId="6492818E" w14:textId="77777777" w:rsidR="00925ECA" w:rsidRDefault="00925ECA" w:rsidP="00925ECA">
      <w:pPr>
        <w:widowControl w:val="0"/>
      </w:pPr>
    </w:p>
    <w:p w14:paraId="700C5C8E" w14:textId="70D7565E" w:rsidR="00925ECA" w:rsidRPr="0024712C" w:rsidRDefault="00925ECA" w:rsidP="00925ECA">
      <w:pPr>
        <w:widowControl w:val="0"/>
        <w:tabs>
          <w:tab w:val="left" w:pos="6340"/>
        </w:tabs>
      </w:pPr>
      <w:r>
        <w:rPr>
          <w:i/>
        </w:rPr>
        <w:t xml:space="preserve">Appendix </w:t>
      </w:r>
      <w:r w:rsidR="000217D4">
        <w:rPr>
          <w:i/>
        </w:rPr>
        <w:t>C</w:t>
      </w:r>
      <w:r w:rsidRPr="00AB650F">
        <w:rPr>
          <w:i/>
        </w:rPr>
        <w:t xml:space="preserve">: </w:t>
      </w:r>
      <w:r w:rsidR="008E319E">
        <w:rPr>
          <w:i/>
        </w:rPr>
        <w:t xml:space="preserve">Additional </w:t>
      </w:r>
      <w:r w:rsidRPr="00AB650F">
        <w:rPr>
          <w:i/>
        </w:rPr>
        <w:t>results</w:t>
      </w:r>
    </w:p>
    <w:p w14:paraId="2547B451" w14:textId="0CFCFDBF" w:rsidR="00925ECA" w:rsidRDefault="00925ECA" w:rsidP="00925ECA">
      <w:pPr>
        <w:widowControl w:val="0"/>
        <w:jc w:val="center"/>
      </w:pPr>
      <w:r>
        <w:t xml:space="preserve">Table </w:t>
      </w:r>
      <w:r w:rsidR="000217D4">
        <w:t>C</w:t>
      </w:r>
      <w:r>
        <w:t>.1: Co</w:t>
      </w:r>
      <w:r w:rsidR="004730BA">
        <w:t>efficients underlying Figure 4</w:t>
      </w:r>
    </w:p>
    <w:p w14:paraId="4ADD3D4D" w14:textId="1C461B21" w:rsidR="00925ECA" w:rsidRDefault="004D0A01" w:rsidP="00925ECA">
      <w:pPr>
        <w:widowControl w:val="0"/>
        <w:jc w:val="center"/>
      </w:pPr>
      <w:r>
        <w:rPr>
          <w:noProof/>
        </w:rPr>
        <w:drawing>
          <wp:inline distT="0" distB="0" distL="0" distR="0" wp14:anchorId="20221D59" wp14:editId="5C0FF18F">
            <wp:extent cx="4059521" cy="4572000"/>
            <wp:effectExtent l="0" t="0" r="5080" b="0"/>
            <wp:docPr id="26" name="Picture 26" descr="../Data/Linkage/NAPPData/Results/ResultsKidsContro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a/Linkage/NAPPData/Results/ResultsKidsControl.pdf"/>
                    <pic:cNvPicPr>
                      <a:picLocks noChangeAspect="1" noChangeArrowheads="1"/>
                    </pic:cNvPicPr>
                  </pic:nvPicPr>
                  <pic:blipFill rotWithShape="1">
                    <a:blip r:embed="rId23">
                      <a:extLst>
                        <a:ext uri="{28A0092B-C50C-407E-A947-70E740481C1C}">
                          <a14:useLocalDpi xmlns:a14="http://schemas.microsoft.com/office/drawing/2010/main" val="0"/>
                        </a:ext>
                      </a:extLst>
                    </a:blip>
                    <a:srcRect l="29675" t="11041" r="30150" b="30354"/>
                    <a:stretch/>
                  </pic:blipFill>
                  <pic:spPr bwMode="auto">
                    <a:xfrm>
                      <a:off x="0" y="0"/>
                      <a:ext cx="4059521" cy="457200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4857D74" w14:textId="77777777" w:rsidR="00925ECA" w:rsidRDefault="00925ECA" w:rsidP="00925ECA">
      <w:pPr>
        <w:widowControl w:val="0"/>
      </w:pPr>
    </w:p>
    <w:p w14:paraId="44A60BC7" w14:textId="77777777" w:rsidR="008E319E" w:rsidRDefault="008E319E" w:rsidP="008E319E">
      <w:pPr>
        <w:spacing w:line="240" w:lineRule="auto"/>
        <w:jc w:val="center"/>
      </w:pPr>
    </w:p>
    <w:p w14:paraId="002DADD0" w14:textId="77777777" w:rsidR="008E319E" w:rsidRDefault="008E319E" w:rsidP="008E319E">
      <w:pPr>
        <w:spacing w:line="240" w:lineRule="auto"/>
        <w:jc w:val="center"/>
      </w:pPr>
    </w:p>
    <w:p w14:paraId="6C778BC3" w14:textId="77777777" w:rsidR="008E319E" w:rsidRDefault="008E319E" w:rsidP="008E319E">
      <w:pPr>
        <w:spacing w:line="240" w:lineRule="auto"/>
        <w:jc w:val="center"/>
      </w:pPr>
    </w:p>
    <w:p w14:paraId="5AEC770E" w14:textId="77777777" w:rsidR="008E319E" w:rsidRDefault="008E319E" w:rsidP="008E319E">
      <w:pPr>
        <w:spacing w:line="240" w:lineRule="auto"/>
        <w:jc w:val="center"/>
      </w:pPr>
    </w:p>
    <w:p w14:paraId="6CCE9810" w14:textId="77777777" w:rsidR="008E319E" w:rsidRDefault="008E319E" w:rsidP="008E319E">
      <w:pPr>
        <w:spacing w:line="240" w:lineRule="auto"/>
        <w:jc w:val="center"/>
      </w:pPr>
    </w:p>
    <w:p w14:paraId="129ECF01" w14:textId="77777777" w:rsidR="008E319E" w:rsidRDefault="008E319E" w:rsidP="008E319E">
      <w:pPr>
        <w:spacing w:line="240" w:lineRule="auto"/>
        <w:jc w:val="center"/>
      </w:pPr>
    </w:p>
    <w:p w14:paraId="246F12D7" w14:textId="77777777" w:rsidR="008E319E" w:rsidRDefault="008E319E" w:rsidP="008E319E">
      <w:pPr>
        <w:spacing w:line="240" w:lineRule="auto"/>
        <w:jc w:val="center"/>
      </w:pPr>
    </w:p>
    <w:p w14:paraId="33A9AF31" w14:textId="77777777" w:rsidR="008E319E" w:rsidRDefault="008E319E" w:rsidP="008E319E">
      <w:pPr>
        <w:spacing w:line="240" w:lineRule="auto"/>
        <w:jc w:val="center"/>
      </w:pPr>
    </w:p>
    <w:p w14:paraId="5703A6B3" w14:textId="77777777" w:rsidR="008E319E" w:rsidRDefault="008E319E" w:rsidP="008E319E">
      <w:pPr>
        <w:spacing w:line="240" w:lineRule="auto"/>
        <w:jc w:val="center"/>
      </w:pPr>
    </w:p>
    <w:p w14:paraId="3A769DB7" w14:textId="77777777" w:rsidR="008E319E" w:rsidRDefault="008E319E" w:rsidP="008E319E">
      <w:pPr>
        <w:spacing w:line="240" w:lineRule="auto"/>
        <w:jc w:val="center"/>
      </w:pPr>
    </w:p>
    <w:p w14:paraId="10314291" w14:textId="77777777" w:rsidR="008E319E" w:rsidRDefault="008E319E" w:rsidP="008E319E">
      <w:pPr>
        <w:spacing w:line="240" w:lineRule="auto"/>
        <w:jc w:val="center"/>
      </w:pPr>
    </w:p>
    <w:p w14:paraId="65F06A98" w14:textId="77777777" w:rsidR="008E319E" w:rsidRDefault="008E319E" w:rsidP="008E319E">
      <w:pPr>
        <w:spacing w:line="240" w:lineRule="auto"/>
        <w:jc w:val="center"/>
      </w:pPr>
    </w:p>
    <w:p w14:paraId="648347B7" w14:textId="77777777" w:rsidR="008E319E" w:rsidRDefault="008E319E" w:rsidP="008E319E">
      <w:pPr>
        <w:spacing w:line="240" w:lineRule="auto"/>
        <w:jc w:val="center"/>
      </w:pPr>
    </w:p>
    <w:p w14:paraId="4570A7DF" w14:textId="77777777" w:rsidR="008E319E" w:rsidRDefault="008E319E" w:rsidP="008E319E">
      <w:pPr>
        <w:spacing w:line="240" w:lineRule="auto"/>
        <w:jc w:val="center"/>
      </w:pPr>
    </w:p>
    <w:p w14:paraId="2259954D" w14:textId="77777777" w:rsidR="008E319E" w:rsidRDefault="008E319E" w:rsidP="008E319E">
      <w:pPr>
        <w:spacing w:line="240" w:lineRule="auto"/>
        <w:jc w:val="center"/>
      </w:pPr>
    </w:p>
    <w:sectPr w:rsidR="008E319E" w:rsidSect="007876B9">
      <w:footerReference w:type="even" r:id="rId24"/>
      <w:footerReference w:type="default" r:id="rId25"/>
      <w:pgSz w:w="12240" w:h="15840"/>
      <w:pgMar w:top="1440" w:right="1440" w:bottom="1440" w:left="1440" w:header="720" w:footer="720" w:gutter="0"/>
      <w:pgNumType w:start="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BC3974" w14:textId="77777777" w:rsidR="005D2993" w:rsidRDefault="005D2993" w:rsidP="00F247C4">
      <w:r>
        <w:separator/>
      </w:r>
    </w:p>
  </w:endnote>
  <w:endnote w:type="continuationSeparator" w:id="0">
    <w:p w14:paraId="400C2E0C" w14:textId="77777777" w:rsidR="005D2993" w:rsidRDefault="005D2993" w:rsidP="00F24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Times New Roman Bold">
    <w:panose1 w:val="02020803070505020304"/>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B0190" w14:textId="77777777" w:rsidR="00485A79" w:rsidRDefault="00485A79" w:rsidP="000F76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B9C9AE" w14:textId="77777777" w:rsidR="00485A79" w:rsidRDefault="00485A79" w:rsidP="007876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9F7D3" w14:textId="77777777" w:rsidR="00485A79" w:rsidRDefault="00485A79" w:rsidP="000F76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1623">
      <w:rPr>
        <w:rStyle w:val="PageNumber"/>
        <w:noProof/>
      </w:rPr>
      <w:t>6</w:t>
    </w:r>
    <w:r>
      <w:rPr>
        <w:rStyle w:val="PageNumber"/>
      </w:rPr>
      <w:fldChar w:fldCharType="end"/>
    </w:r>
  </w:p>
  <w:p w14:paraId="08B2D174" w14:textId="77777777" w:rsidR="00485A79" w:rsidRDefault="00485A79" w:rsidP="007876B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B25B9" w14:textId="77777777" w:rsidR="005D2993" w:rsidRDefault="005D2993" w:rsidP="00F247C4">
      <w:r>
        <w:separator/>
      </w:r>
    </w:p>
  </w:footnote>
  <w:footnote w:type="continuationSeparator" w:id="0">
    <w:p w14:paraId="1DE68920" w14:textId="77777777" w:rsidR="005D2993" w:rsidRDefault="005D2993" w:rsidP="00F247C4">
      <w:r>
        <w:continuationSeparator/>
      </w:r>
    </w:p>
  </w:footnote>
  <w:footnote w:id="1">
    <w:p w14:paraId="1C4B7A32" w14:textId="242991A3" w:rsidR="00485A79" w:rsidRPr="002117A9" w:rsidRDefault="00485A79" w:rsidP="00CD76AF">
      <w:pPr>
        <w:pStyle w:val="FootnoteText"/>
        <w:rPr>
          <w:szCs w:val="21"/>
        </w:rPr>
      </w:pPr>
      <w:r w:rsidRPr="002117A9">
        <w:rPr>
          <w:rStyle w:val="FootnoteReference"/>
          <w:szCs w:val="21"/>
        </w:rPr>
        <w:footnoteRef/>
      </w:r>
      <w:r w:rsidRPr="002117A9">
        <w:rPr>
          <w:szCs w:val="21"/>
        </w:rPr>
        <w:t xml:space="preserve"> Ó Gráda (1999, ch. 3) </w:t>
      </w:r>
      <w:r>
        <w:rPr>
          <w:szCs w:val="21"/>
        </w:rPr>
        <w:t xml:space="preserve">discusses </w:t>
      </w:r>
      <w:r w:rsidRPr="002117A9">
        <w:rPr>
          <w:szCs w:val="21"/>
        </w:rPr>
        <w:t xml:space="preserve">the dating of the </w:t>
      </w:r>
      <w:r>
        <w:rPr>
          <w:szCs w:val="21"/>
        </w:rPr>
        <w:t>f</w:t>
      </w:r>
      <w:r w:rsidRPr="002117A9">
        <w:rPr>
          <w:szCs w:val="21"/>
        </w:rPr>
        <w:t xml:space="preserve">amine and </w:t>
      </w:r>
      <w:r>
        <w:rPr>
          <w:szCs w:val="21"/>
        </w:rPr>
        <w:t xml:space="preserve">the </w:t>
      </w:r>
      <w:r w:rsidRPr="002117A9">
        <w:rPr>
          <w:szCs w:val="21"/>
        </w:rPr>
        <w:t xml:space="preserve">challenges of </w:t>
      </w:r>
      <w:r>
        <w:rPr>
          <w:szCs w:val="21"/>
        </w:rPr>
        <w:t>quantifying</w:t>
      </w:r>
      <w:r w:rsidRPr="002117A9">
        <w:rPr>
          <w:szCs w:val="21"/>
        </w:rPr>
        <w:t xml:space="preserve"> deaths and emigra</w:t>
      </w:r>
      <w:r>
        <w:rPr>
          <w:szCs w:val="21"/>
        </w:rPr>
        <w:t>tion</w:t>
      </w:r>
      <w:r w:rsidRPr="002117A9">
        <w:rPr>
          <w:szCs w:val="21"/>
        </w:rPr>
        <w:t>.</w:t>
      </w:r>
    </w:p>
  </w:footnote>
  <w:footnote w:id="2">
    <w:p w14:paraId="5A2EB4FE" w14:textId="42B13BD2" w:rsidR="00485A79" w:rsidRDefault="00485A79">
      <w:pPr>
        <w:pStyle w:val="FootnoteText"/>
      </w:pPr>
      <w:r>
        <w:rPr>
          <w:rStyle w:val="FootnoteReference"/>
        </w:rPr>
        <w:footnoteRef/>
      </w:r>
      <w:r>
        <w:t xml:space="preserve"> </w:t>
      </w:r>
      <w:r w:rsidRPr="002117A9">
        <w:rPr>
          <w:szCs w:val="21"/>
        </w:rPr>
        <w:t xml:space="preserve">Cohn (2009, pp. 26-27) </w:t>
      </w:r>
      <w:r>
        <w:rPr>
          <w:szCs w:val="21"/>
        </w:rPr>
        <w:t xml:space="preserve">describes </w:t>
      </w:r>
      <w:r w:rsidRPr="002117A9">
        <w:rPr>
          <w:szCs w:val="21"/>
        </w:rPr>
        <w:t>difficulties in determining the number of Irish immigrants from official US immigration statistics before 1850.</w:t>
      </w:r>
    </w:p>
  </w:footnote>
  <w:footnote w:id="3">
    <w:p w14:paraId="1ABC365F" w14:textId="77777777" w:rsidR="00485A79" w:rsidRPr="005F2295" w:rsidRDefault="00485A79" w:rsidP="002B0675">
      <w:pPr>
        <w:pStyle w:val="FootnoteText"/>
        <w:rPr>
          <w:color w:val="0000FF"/>
        </w:rPr>
      </w:pPr>
      <w:r w:rsidRPr="00F96079">
        <w:t xml:space="preserve"> </w:t>
      </w:r>
      <w:r w:rsidRPr="00F96079">
        <w:rPr>
          <w:rStyle w:val="FootnoteReference"/>
        </w:rPr>
        <w:footnoteRef/>
      </w:r>
      <w:r w:rsidRPr="00F96079">
        <w:t xml:space="preserve"> For perspective, refugees and asylees granted permanent resident status under the Displaced Persons Act (1948) averaged about 118,000 per year from 1950-52, at the program’s peak (Barde, Carter, and Sutch 2006, p. 1-632); the Mariel Boatlift entailed approximately 125,000 Cuban migrants in 1980 (Card 1990, p. 245).</w:t>
      </w:r>
    </w:p>
  </w:footnote>
  <w:footnote w:id="4">
    <w:p w14:paraId="60012D00" w14:textId="739C37DB" w:rsidR="00485A79" w:rsidRDefault="00485A79">
      <w:pPr>
        <w:pStyle w:val="FootnoteText"/>
      </w:pPr>
      <w:r>
        <w:rPr>
          <w:rStyle w:val="FootnoteReference"/>
        </w:rPr>
        <w:footnoteRef/>
      </w:r>
      <w:r>
        <w:t xml:space="preserve"> Linking females from childhood to adulthood is difficult due to name changes at marriage.</w:t>
      </w:r>
    </w:p>
  </w:footnote>
  <w:footnote w:id="5">
    <w:p w14:paraId="5F69A510" w14:textId="0633B3E9" w:rsidR="00485A79" w:rsidRPr="00F7343E" w:rsidRDefault="00485A79">
      <w:pPr>
        <w:pStyle w:val="FootnoteText"/>
        <w:rPr>
          <w:color w:val="0000FF"/>
        </w:rPr>
      </w:pPr>
      <w:r w:rsidRPr="00F96079">
        <w:rPr>
          <w:rStyle w:val="FootnoteReference"/>
        </w:rPr>
        <w:footnoteRef/>
      </w:r>
      <w:r w:rsidRPr="00F96079">
        <w:t xml:space="preserve"> We use the term “refugee” here because a large number of the Irish migrants were permanently driven from home by a severe ecological disaster and ensuing economic and social dislocation in the late 1840s.  The modern literature focuses on refugees that meet a particular legal definition established in the postwar period; see Hatton (2012) for a brief review. </w:t>
      </w:r>
    </w:p>
  </w:footnote>
  <w:footnote w:id="6">
    <w:p w14:paraId="3E1E2DFF" w14:textId="1AAD1C0E" w:rsidR="00485A79" w:rsidRPr="0078016A" w:rsidRDefault="00485A79" w:rsidP="009C06D3">
      <w:pPr>
        <w:pStyle w:val="FootnoteText"/>
        <w:rPr>
          <w:color w:val="0000FF"/>
          <w:szCs w:val="21"/>
        </w:rPr>
      </w:pPr>
      <w:r w:rsidRPr="003148DF">
        <w:rPr>
          <w:rStyle w:val="FootnoteReference"/>
          <w:szCs w:val="21"/>
        </w:rPr>
        <w:footnoteRef/>
      </w:r>
      <w:r w:rsidRPr="003148DF">
        <w:rPr>
          <w:szCs w:val="21"/>
        </w:rPr>
        <w:t xml:space="preserve"> One reason much of the recent literature on the Age of Mass Migration focuses on the early twentieth century is that the census microdata report year of immigration starting in 1900. </w:t>
      </w:r>
      <w:r>
        <w:rPr>
          <w:szCs w:val="21"/>
        </w:rPr>
        <w:t xml:space="preserve"> </w:t>
      </w:r>
      <w:r w:rsidRPr="003148DF">
        <w:rPr>
          <w:szCs w:val="21"/>
        </w:rPr>
        <w:t xml:space="preserve">Before 1850, the census did not inquire about place of birth; so, there is limited scope for backward linkage.  Extending links to the passenger lists in this </w:t>
      </w:r>
      <w:r>
        <w:rPr>
          <w:szCs w:val="21"/>
        </w:rPr>
        <w:t xml:space="preserve">early </w:t>
      </w:r>
      <w:r w:rsidRPr="003148DF">
        <w:rPr>
          <w:szCs w:val="21"/>
        </w:rPr>
        <w:t>period is difficult due to the sparseness of records and the feasibility of making multiple accurate links across various datasets (</w:t>
      </w:r>
      <w:r w:rsidRPr="00F96079">
        <w:rPr>
          <w:szCs w:val="21"/>
        </w:rPr>
        <w:t>see footnote 30</w:t>
      </w:r>
      <w:r w:rsidRPr="003148DF">
        <w:rPr>
          <w:szCs w:val="21"/>
        </w:rPr>
        <w:t>).</w:t>
      </w:r>
    </w:p>
  </w:footnote>
  <w:footnote w:id="7">
    <w:p w14:paraId="26D76249" w14:textId="62AE731C" w:rsidR="00485A79" w:rsidRPr="002117A9" w:rsidRDefault="00485A79" w:rsidP="009C06D3">
      <w:pPr>
        <w:pStyle w:val="FootnoteText"/>
        <w:rPr>
          <w:szCs w:val="21"/>
        </w:rPr>
      </w:pPr>
      <w:r w:rsidRPr="002117A9">
        <w:rPr>
          <w:rStyle w:val="FootnoteReference"/>
          <w:szCs w:val="21"/>
        </w:rPr>
        <w:footnoteRef/>
      </w:r>
      <w:r w:rsidRPr="002117A9">
        <w:rPr>
          <w:szCs w:val="21"/>
        </w:rPr>
        <w:t xml:space="preserve"> For example, a family with an Irish-born child aged 2 in 1850 immigrated to the US some time in or after 1848, which would make them famine</w:t>
      </w:r>
      <w:r>
        <w:rPr>
          <w:szCs w:val="21"/>
        </w:rPr>
        <w:t>-era</w:t>
      </w:r>
      <w:r w:rsidRPr="002117A9">
        <w:rPr>
          <w:szCs w:val="21"/>
        </w:rPr>
        <w:t xml:space="preserve"> migrants. </w:t>
      </w:r>
      <w:r>
        <w:rPr>
          <w:szCs w:val="21"/>
        </w:rPr>
        <w:t xml:space="preserve"> A </w:t>
      </w:r>
      <w:r w:rsidRPr="002117A9">
        <w:rPr>
          <w:szCs w:val="21"/>
        </w:rPr>
        <w:t>family with an American-born child aged 7 in 1850</w:t>
      </w:r>
      <w:r>
        <w:rPr>
          <w:szCs w:val="21"/>
        </w:rPr>
        <w:t xml:space="preserve"> </w:t>
      </w:r>
      <w:r w:rsidRPr="002117A9">
        <w:rPr>
          <w:szCs w:val="21"/>
        </w:rPr>
        <w:t xml:space="preserve">immigrated to the US some time before or during 1843, making them pre-famine migrants. We make the same distinctions for the British and German migrants to </w:t>
      </w:r>
      <w:r>
        <w:rPr>
          <w:szCs w:val="21"/>
        </w:rPr>
        <w:t>form</w:t>
      </w:r>
      <w:r w:rsidRPr="002117A9">
        <w:rPr>
          <w:szCs w:val="21"/>
        </w:rPr>
        <w:t xml:space="preserve"> comparison groups of</w:t>
      </w:r>
      <w:r>
        <w:rPr>
          <w:szCs w:val="21"/>
        </w:rPr>
        <w:t xml:space="preserve"> </w:t>
      </w:r>
      <w:r w:rsidRPr="002117A9">
        <w:rPr>
          <w:szCs w:val="21"/>
        </w:rPr>
        <w:t>arrival cohorts.</w:t>
      </w:r>
    </w:p>
  </w:footnote>
  <w:footnote w:id="8">
    <w:p w14:paraId="52986B8D" w14:textId="6A7083E4" w:rsidR="00485A79" w:rsidRPr="002117A9" w:rsidRDefault="00485A79" w:rsidP="009C06D3">
      <w:pPr>
        <w:pStyle w:val="FootnoteText"/>
      </w:pPr>
      <w:r w:rsidRPr="002117A9">
        <w:rPr>
          <w:rStyle w:val="FootnoteReference"/>
        </w:rPr>
        <w:footnoteRef/>
      </w:r>
      <w:r w:rsidRPr="002117A9">
        <w:t xml:space="preserve"> In contrast, this approach enable</w:t>
      </w:r>
      <w:r w:rsidR="002A0020">
        <w:t>s</w:t>
      </w:r>
      <w:r w:rsidRPr="002117A9">
        <w:t xml:space="preserve"> us to classify the arrival cohort of fewer than half of adults in the 1850 census. </w:t>
      </w:r>
      <w:r>
        <w:t>Th</w:t>
      </w:r>
      <w:r w:rsidR="00E11C60">
        <w:t>e</w:t>
      </w:r>
      <w:r>
        <w:t xml:space="preserve"> method </w:t>
      </w:r>
      <w:r w:rsidRPr="003D2797">
        <w:t xml:space="preserve">proves to be very accurate in cases where </w:t>
      </w:r>
      <w:r>
        <w:t>the classification</w:t>
      </w:r>
      <w:r w:rsidRPr="003D2797">
        <w:t xml:space="preserve"> can be verifie</w:t>
      </w:r>
      <w:r>
        <w:t>d with outside information (i.e.</w:t>
      </w:r>
      <w:r w:rsidRPr="003D2797">
        <w:t>, searching passenger lists).</w:t>
      </w:r>
    </w:p>
  </w:footnote>
  <w:footnote w:id="9">
    <w:p w14:paraId="024465DF" w14:textId="77777777" w:rsidR="00485A79" w:rsidRDefault="00485A79" w:rsidP="00E14C07">
      <w:pPr>
        <w:pStyle w:val="FootnoteText"/>
      </w:pPr>
      <w:r>
        <w:rPr>
          <w:rStyle w:val="FootnoteReference"/>
        </w:rPr>
        <w:footnoteRef/>
      </w:r>
      <w:r>
        <w:t xml:space="preserve"> This contribution to the literature on the Irish famine is limited by the fact that our method to classify individuals’ year of arrival requires that they have children; this group may have differed meaningfully from childless immigrants.</w:t>
      </w:r>
    </w:p>
  </w:footnote>
  <w:footnote w:id="10">
    <w:p w14:paraId="5D01EAF8" w14:textId="77777777" w:rsidR="00485A79" w:rsidRPr="002117A9" w:rsidRDefault="00485A79" w:rsidP="00C56F7D">
      <w:pPr>
        <w:pStyle w:val="FootnoteText"/>
        <w:rPr>
          <w:szCs w:val="21"/>
        </w:rPr>
      </w:pPr>
      <w:r w:rsidRPr="002117A9">
        <w:rPr>
          <w:rStyle w:val="FootnoteReference"/>
          <w:szCs w:val="21"/>
        </w:rPr>
        <w:footnoteRef/>
      </w:r>
      <w:r w:rsidRPr="002117A9">
        <w:rPr>
          <w:szCs w:val="21"/>
        </w:rPr>
        <w:t xml:space="preserve"> On migration due to environmental disasters or war see recent work by Boustan, Kahn, and Rhode (2012), Hornbeck (2012), Moser, Voena, and Waldinger (2014), Mahajan and Yang (2017), Nakamura, Sigurdsson, and Steinsson (2017), Blum and Rei (2018), and Long and Siu (2018).</w:t>
      </w:r>
    </w:p>
  </w:footnote>
  <w:footnote w:id="11">
    <w:p w14:paraId="24E973C9" w14:textId="01FE792E" w:rsidR="00485A79" w:rsidRPr="002117A9" w:rsidRDefault="00485A79" w:rsidP="009C06D3">
      <w:pPr>
        <w:pStyle w:val="FootnoteText"/>
        <w:rPr>
          <w:szCs w:val="21"/>
        </w:rPr>
      </w:pPr>
      <w:r w:rsidRPr="002117A9">
        <w:rPr>
          <w:rStyle w:val="FootnoteReference"/>
          <w:szCs w:val="21"/>
        </w:rPr>
        <w:footnoteRef/>
      </w:r>
      <w:r w:rsidRPr="002117A9">
        <w:rPr>
          <w:szCs w:val="21"/>
        </w:rPr>
        <w:t xml:space="preserve"> On immigrant assimilation, both historical and contemporary, see inter alia Ferenczi and Wilcox (1929), Chiswick (1978), Borjas (1992, 1993), Hatton (1997), Hatton and Williamson (1998), Card, DiNardo, and Estes (2000), Minns (2000), Cortes (2004), Card (2005), Abramitzky, Boustan, and Eriksson (2014, 2016), and Alexander and Ward (2018).</w:t>
      </w:r>
    </w:p>
  </w:footnote>
  <w:footnote w:id="12">
    <w:p w14:paraId="09DEF80B" w14:textId="33AD9B55" w:rsidR="00485A79" w:rsidRPr="002117A9" w:rsidRDefault="00485A79" w:rsidP="009C06D3">
      <w:pPr>
        <w:pStyle w:val="FootnoteText"/>
        <w:rPr>
          <w:rFonts w:cs="Times New Roman"/>
          <w:szCs w:val="21"/>
        </w:rPr>
      </w:pPr>
      <w:r w:rsidRPr="002117A9">
        <w:rPr>
          <w:rStyle w:val="FootnoteReference"/>
          <w:rFonts w:cs="Times New Roman"/>
          <w:szCs w:val="21"/>
        </w:rPr>
        <w:footnoteRef/>
      </w:r>
      <w:r w:rsidRPr="002117A9">
        <w:rPr>
          <w:rFonts w:cs="Times New Roman"/>
          <w:szCs w:val="21"/>
        </w:rPr>
        <w:t xml:space="preserve"> </w:t>
      </w:r>
      <w:r w:rsidRPr="002117A9">
        <w:rPr>
          <w:rFonts w:eastAsia="MS Mincho" w:cs="Times New Roman"/>
          <w:szCs w:val="21"/>
        </w:rPr>
        <w:t xml:space="preserve">Mokyr (1983) and Ó Gráda (1999) discuss the chronology of agricultural failure and famine in detail.  See Solar (1989) on Irish crop failures in historical and international perspective.  </w:t>
      </w:r>
    </w:p>
  </w:footnote>
  <w:footnote w:id="13">
    <w:p w14:paraId="3B1A56F0" w14:textId="2D866EE4" w:rsidR="00485A79" w:rsidRPr="002117A9" w:rsidRDefault="00485A79" w:rsidP="009C06D3">
      <w:pPr>
        <w:pStyle w:val="FootnoteText"/>
      </w:pPr>
      <w:r w:rsidRPr="002117A9">
        <w:rPr>
          <w:rStyle w:val="FootnoteReference"/>
        </w:rPr>
        <w:footnoteRef/>
      </w:r>
      <w:r w:rsidRPr="002117A9">
        <w:t xml:space="preserve"> </w:t>
      </w:r>
      <w:r>
        <w:t xml:space="preserve">These are our calculations from 1850 complete count census.  </w:t>
      </w:r>
      <w:r w:rsidRPr="002117A9">
        <w:t>We caution that comparing across the censuses this way is somewhat tenuous; it is unclear how comparable literacy measures are.  The differences are sufficiently large in this case that we think the information is useful.  See Connor (201</w:t>
      </w:r>
      <w:r>
        <w:t>9</w:t>
      </w:r>
      <w:r w:rsidRPr="002117A9">
        <w:t xml:space="preserve">) for evidence of negative selection in the early twentieth century. </w:t>
      </w:r>
    </w:p>
  </w:footnote>
  <w:footnote w:id="14">
    <w:p w14:paraId="42C043F5" w14:textId="77777777" w:rsidR="00485A79" w:rsidRPr="002117A9" w:rsidRDefault="00485A79" w:rsidP="0060680C">
      <w:pPr>
        <w:pStyle w:val="FootnoteText"/>
        <w:rPr>
          <w:rFonts w:cs="Times New Roman"/>
          <w:szCs w:val="21"/>
        </w:rPr>
      </w:pPr>
      <w:r w:rsidRPr="002117A9">
        <w:rPr>
          <w:rStyle w:val="FootnoteReference"/>
          <w:rFonts w:cs="Times New Roman"/>
          <w:szCs w:val="21"/>
        </w:rPr>
        <w:footnoteRef/>
      </w:r>
      <w:r w:rsidRPr="002117A9">
        <w:rPr>
          <w:rFonts w:cs="Times New Roman"/>
          <w:szCs w:val="21"/>
        </w:rPr>
        <w:t xml:space="preserve"> Cohn (2009, pp. 26-27) warns that the time-series data on Irish immigration in the early to mid-nineteenth century allocates a fixed share of UK immigrants to Ireland (0.70) rather than providing a true count.</w:t>
      </w:r>
    </w:p>
  </w:footnote>
  <w:footnote w:id="15">
    <w:p w14:paraId="4ADAD8F7" w14:textId="5BC25B16" w:rsidR="00485A79" w:rsidRPr="007C49D0" w:rsidRDefault="00485A79">
      <w:pPr>
        <w:pStyle w:val="FootnoteText"/>
        <w:rPr>
          <w:szCs w:val="21"/>
        </w:rPr>
      </w:pPr>
      <w:r w:rsidRPr="007C49D0">
        <w:rPr>
          <w:rStyle w:val="FootnoteReference"/>
          <w:szCs w:val="21"/>
        </w:rPr>
        <w:footnoteRef/>
      </w:r>
      <w:r w:rsidRPr="007C49D0">
        <w:rPr>
          <w:szCs w:val="21"/>
        </w:rPr>
        <w:t xml:space="preserve"> The post-famine transformation of the Irish economy, which included consolidation of small landholdings, ensured that emigration continued </w:t>
      </w:r>
      <w:r w:rsidR="00D73DD0">
        <w:rPr>
          <w:szCs w:val="21"/>
        </w:rPr>
        <w:t xml:space="preserve">once famine conditions passed </w:t>
      </w:r>
      <w:r w:rsidRPr="007C49D0">
        <w:rPr>
          <w:szCs w:val="21"/>
        </w:rPr>
        <w:t>(</w:t>
      </w:r>
      <w:r w:rsidR="00111623">
        <w:rPr>
          <w:szCs w:val="21"/>
        </w:rPr>
        <w:t xml:space="preserve">Guinnane 1997; </w:t>
      </w:r>
      <w:r w:rsidRPr="007C49D0">
        <w:rPr>
          <w:rFonts w:cs="Times New Roman"/>
          <w:szCs w:val="21"/>
        </w:rPr>
        <w:t>Ó Gráda 1999)</w:t>
      </w:r>
      <w:r w:rsidRPr="007C49D0">
        <w:rPr>
          <w:szCs w:val="21"/>
        </w:rPr>
        <w:t xml:space="preserve">. </w:t>
      </w:r>
      <w:r w:rsidR="00D73DD0">
        <w:rPr>
          <w:szCs w:val="21"/>
        </w:rPr>
        <w:t xml:space="preserve"> </w:t>
      </w:r>
      <w:r w:rsidRPr="007C49D0">
        <w:rPr>
          <w:rFonts w:eastAsia="MS Mincho" w:cs="Times New Roman"/>
          <w:szCs w:val="21"/>
        </w:rPr>
        <w:t xml:space="preserve">The parallel between the famine migrants and modern refugees fleeing war and instability has been noted in the Irish press (Delaney 2015).  </w:t>
      </w:r>
    </w:p>
  </w:footnote>
  <w:footnote w:id="16">
    <w:p w14:paraId="0B168263" w14:textId="05B1F8BE" w:rsidR="00485A79" w:rsidRPr="002117A9" w:rsidRDefault="00485A79" w:rsidP="009C06D3">
      <w:pPr>
        <w:pStyle w:val="FootnoteText"/>
        <w:rPr>
          <w:szCs w:val="21"/>
        </w:rPr>
      </w:pPr>
      <w:r w:rsidRPr="002117A9">
        <w:rPr>
          <w:rStyle w:val="FootnoteReference"/>
          <w:rFonts w:cs="Times New Roman"/>
          <w:szCs w:val="21"/>
        </w:rPr>
        <w:footnoteRef/>
      </w:r>
      <w:r w:rsidRPr="002117A9">
        <w:rPr>
          <w:rFonts w:cs="Times New Roman"/>
          <w:szCs w:val="21"/>
        </w:rPr>
        <w:t xml:space="preserve"> The lists are </w:t>
      </w:r>
      <w:r>
        <w:rPr>
          <w:rFonts w:cs="Times New Roman"/>
          <w:szCs w:val="21"/>
        </w:rPr>
        <w:t xml:space="preserve">potentially </w:t>
      </w:r>
      <w:r w:rsidRPr="002117A9">
        <w:rPr>
          <w:rFonts w:cs="Times New Roman"/>
          <w:szCs w:val="21"/>
        </w:rPr>
        <w:t xml:space="preserve">incomplete in coverage, may have deteriorated in quality during the famine, and may have varied in enumeration practices across ports of embarkation.  Even within a given list, clerks may or may not have accurately recorded each passenger’s primary past occupation. </w:t>
      </w:r>
    </w:p>
  </w:footnote>
  <w:footnote w:id="17">
    <w:p w14:paraId="3E6B5A0C" w14:textId="0159948E" w:rsidR="00485A79" w:rsidRPr="002117A9" w:rsidRDefault="00485A79" w:rsidP="009C06D3">
      <w:pPr>
        <w:pStyle w:val="FootnoteText"/>
      </w:pPr>
      <w:r w:rsidRPr="002117A9">
        <w:rPr>
          <w:rStyle w:val="FootnoteReference"/>
        </w:rPr>
        <w:footnoteRef/>
      </w:r>
      <w:r w:rsidRPr="002117A9">
        <w:t xml:space="preserve"> </w:t>
      </w:r>
      <w:r>
        <w:t xml:space="preserve">These are our </w:t>
      </w:r>
      <w:r w:rsidRPr="002117A9">
        <w:t xml:space="preserve">calculations </w:t>
      </w:r>
      <w:r>
        <w:t>from the</w:t>
      </w:r>
      <w:r w:rsidRPr="002117A9">
        <w:t xml:space="preserve"> complete count census data (Minnesota Population Center 2017; Ruggles et al. 2015).</w:t>
      </w:r>
    </w:p>
  </w:footnote>
  <w:footnote w:id="18">
    <w:p w14:paraId="5FF0AB25" w14:textId="1319C50F" w:rsidR="00485A79" w:rsidRPr="002117A9" w:rsidRDefault="00485A79" w:rsidP="009C06D3">
      <w:pPr>
        <w:pStyle w:val="FootnoteText"/>
      </w:pPr>
      <w:r w:rsidRPr="002117A9">
        <w:rPr>
          <w:rStyle w:val="FootnoteReference"/>
        </w:rPr>
        <w:footnoteRef/>
      </w:r>
      <w:r w:rsidRPr="002117A9">
        <w:t xml:space="preserve"> By this time, Irish immigrants were overwhelmingly Catholic.  Many German immigrants were also Catholic, but they were better off and less concentrated in cities of the Northeast than the Irish.</w:t>
      </w:r>
    </w:p>
  </w:footnote>
  <w:footnote w:id="19">
    <w:p w14:paraId="72A99425" w14:textId="77777777" w:rsidR="00485A79" w:rsidRPr="002117A9" w:rsidRDefault="00485A79" w:rsidP="009C06D3">
      <w:pPr>
        <w:pStyle w:val="FootnoteText"/>
        <w:rPr>
          <w:szCs w:val="21"/>
        </w:rPr>
      </w:pPr>
      <w:r w:rsidRPr="002117A9">
        <w:rPr>
          <w:rStyle w:val="FootnoteReference"/>
          <w:szCs w:val="21"/>
        </w:rPr>
        <w:footnoteRef/>
      </w:r>
      <w:r w:rsidRPr="002117A9">
        <w:rPr>
          <w:szCs w:val="21"/>
        </w:rPr>
        <w:t xml:space="preserve"> We use an indicator for relationship to the head of household provided in the original data by Ruggles et al. (2015). Our understanding is that individuals are assumed to be children of the head of household if they are of appropriate age and if they share a surname with the head of household. We must rely on this imputed indicator because the census did not inquire regarding relationship to the head of household until 1880.</w:t>
      </w:r>
    </w:p>
  </w:footnote>
  <w:footnote w:id="20">
    <w:p w14:paraId="3DB0F670" w14:textId="492F13AC" w:rsidR="00485A79" w:rsidRPr="002117A9" w:rsidRDefault="00485A79" w:rsidP="009C06D3">
      <w:pPr>
        <w:pStyle w:val="FootnoteText"/>
      </w:pPr>
      <w:r w:rsidRPr="002117A9">
        <w:rPr>
          <w:rStyle w:val="FootnoteReference"/>
        </w:rPr>
        <w:footnoteRef/>
      </w:r>
      <w:r w:rsidRPr="002117A9">
        <w:t xml:space="preserve"> It is not possible to place all household heads into one of these two categories, and therefore we create two more categories: those with a child born in the United States in 1846 or later and a child born in Ireland between 1841 and 1845 (“probable famine-era”), and all others (“uncategorized”). We do not use these latter two groups in our main analysis. The outcomes of the “probable” group resemble those of the “famine” group, while those of the “uncategorized” group fall between those of the “famine” and “pre-famine” groups.</w:t>
      </w:r>
    </w:p>
  </w:footnote>
  <w:footnote w:id="21">
    <w:p w14:paraId="019CF46F" w14:textId="77777777" w:rsidR="00485A79" w:rsidRPr="002117A9" w:rsidRDefault="00485A79" w:rsidP="009C06D3">
      <w:pPr>
        <w:pStyle w:val="FootnoteText"/>
        <w:rPr>
          <w:szCs w:val="21"/>
        </w:rPr>
      </w:pPr>
      <w:r w:rsidRPr="002117A9">
        <w:rPr>
          <w:rStyle w:val="FootnoteReference"/>
          <w:szCs w:val="21"/>
        </w:rPr>
        <w:footnoteRef/>
      </w:r>
      <w:r w:rsidRPr="002117A9">
        <w:rPr>
          <w:szCs w:val="21"/>
        </w:rPr>
        <w:t xml:space="preserve"> The data obtained from Ruggles et al. (2015) combine England, Scotland, and Wales into a single birthplace of Great Britain. We retain this combination.</w:t>
      </w:r>
    </w:p>
  </w:footnote>
  <w:footnote w:id="22">
    <w:p w14:paraId="586A2B1E" w14:textId="3E750C88" w:rsidR="00485A79" w:rsidRPr="00F96079" w:rsidRDefault="00485A79">
      <w:pPr>
        <w:pStyle w:val="FootnoteText"/>
      </w:pPr>
      <w:r w:rsidRPr="00F96079">
        <w:rPr>
          <w:rStyle w:val="FootnoteReference"/>
        </w:rPr>
        <w:footnoteRef/>
      </w:r>
      <w:r w:rsidRPr="00F96079">
        <w:t xml:space="preserve"> In principle it is possible to determine for a subset of the sample whether individuals arrived in the early period of the famine</w:t>
      </w:r>
      <w:r w:rsidR="00091B1E" w:rsidRPr="00F96079">
        <w:t xml:space="preserve"> (</w:t>
      </w:r>
      <w:r w:rsidRPr="00F96079">
        <w:t>when it was somewhat less severe</w:t>
      </w:r>
      <w:r w:rsidR="00091B1E" w:rsidRPr="00F96079">
        <w:t>)</w:t>
      </w:r>
      <w:r w:rsidRPr="00F96079">
        <w:t xml:space="preserve"> or later. But pinning down arrival dates this finely would limit the sample to those with children born in quick succession, severely limiting the sample size.</w:t>
      </w:r>
    </w:p>
  </w:footnote>
  <w:footnote w:id="23">
    <w:p w14:paraId="441256D1" w14:textId="70196E36" w:rsidR="00485A79" w:rsidRPr="002117A9" w:rsidRDefault="00485A79" w:rsidP="009C06D3">
      <w:pPr>
        <w:pStyle w:val="FootnoteText"/>
      </w:pPr>
      <w:r w:rsidRPr="002117A9">
        <w:rPr>
          <w:rStyle w:val="FootnoteReference"/>
        </w:rPr>
        <w:footnoteRef/>
      </w:r>
      <w:r w:rsidRPr="002117A9">
        <w:t xml:space="preserve"> The main group that we cannot classify by our approach (and who are not included in Table 1) is boarders, who were 27 percent of all Irish-born adult males in the 1850 US census. </w:t>
      </w:r>
    </w:p>
  </w:footnote>
  <w:footnote w:id="24">
    <w:p w14:paraId="6219DB1D" w14:textId="1ECC1F48" w:rsidR="00485A79" w:rsidRPr="002117A9" w:rsidRDefault="00485A79" w:rsidP="009C06D3">
      <w:pPr>
        <w:pStyle w:val="FootnoteText"/>
      </w:pPr>
      <w:r w:rsidRPr="002117A9">
        <w:rPr>
          <w:rStyle w:val="FootnoteReference"/>
        </w:rPr>
        <w:footnoteRef/>
      </w:r>
      <w:r w:rsidRPr="002117A9">
        <w:t xml:space="preserve"> For instance, a Patrick Kelly born in 1845 in Ireland may have been unique in the United States in 1850, but other Patrick Kellys born in 1845 in Ireland may have arrived after 1850, preventing the identification of the correct Patrick Kelly in 1880.</w:t>
      </w:r>
    </w:p>
  </w:footnote>
  <w:footnote w:id="25">
    <w:p w14:paraId="059E0CA4" w14:textId="77777777" w:rsidR="00485A79" w:rsidRPr="002117A9" w:rsidRDefault="00485A79" w:rsidP="002643A1">
      <w:pPr>
        <w:pStyle w:val="FootnoteText"/>
      </w:pPr>
      <w:r w:rsidRPr="002117A9">
        <w:rPr>
          <w:rStyle w:val="FootnoteReference"/>
        </w:rPr>
        <w:footnoteRef/>
      </w:r>
      <w:r w:rsidRPr="002117A9">
        <w:t xml:space="preserve"> This probability is computed from separate probit regressions of a linkage indicator on a variety of covariates for each of the seven ethnicity-cohort groups.</w:t>
      </w:r>
    </w:p>
  </w:footnote>
  <w:footnote w:id="26">
    <w:p w14:paraId="1B579DA9" w14:textId="0E5C954E" w:rsidR="00485A79" w:rsidRPr="007F6A6B" w:rsidRDefault="00485A79" w:rsidP="002643A1">
      <w:pPr>
        <w:pStyle w:val="FootnoteText"/>
        <w:rPr>
          <w:szCs w:val="21"/>
        </w:rPr>
      </w:pPr>
      <w:r w:rsidRPr="007F6A6B">
        <w:rPr>
          <w:rStyle w:val="FootnoteReference"/>
          <w:szCs w:val="21"/>
        </w:rPr>
        <w:footnoteRef/>
      </w:r>
      <w:r w:rsidRPr="007F6A6B">
        <w:rPr>
          <w:szCs w:val="21"/>
        </w:rPr>
        <w:t xml:space="preserve"> We use the soundex algorithm to reduce the set of candidate matches, but all of the linking is ultimately based on orthographic distance, which is a score derived from the number and type of spelling changes that would be required to move from one name spelling to another.</w:t>
      </w:r>
    </w:p>
  </w:footnote>
  <w:footnote w:id="27">
    <w:p w14:paraId="175BEC05" w14:textId="527D2A97" w:rsidR="00485A79" w:rsidRPr="007F6A6B" w:rsidRDefault="00485A79">
      <w:pPr>
        <w:pStyle w:val="FootnoteText"/>
      </w:pPr>
      <w:r w:rsidRPr="007F6A6B">
        <w:rPr>
          <w:rStyle w:val="FootnoteReference"/>
        </w:rPr>
        <w:footnoteRef/>
      </w:r>
      <w:r w:rsidRPr="007F6A6B">
        <w:t xml:space="preserve"> We define an exact match as one in which there is no more than a one-year difference in age-implied birth</w:t>
      </w:r>
      <w:r w:rsidRPr="009F51A9">
        <w:t xml:space="preserve"> </w:t>
      </w:r>
      <w:r w:rsidRPr="007F6A6B">
        <w:t xml:space="preserve">year and the first and last names of both records are identical after removing double letters and common first name abbreviations (e.g., changing “Wm” to “William”). </w:t>
      </w:r>
      <w:r>
        <w:t xml:space="preserve"> </w:t>
      </w:r>
      <w:r w:rsidRPr="007F6A6B">
        <w:t>These results are available on request.</w:t>
      </w:r>
    </w:p>
  </w:footnote>
  <w:footnote w:id="28">
    <w:p w14:paraId="3AC81CB3" w14:textId="0CB670D8" w:rsidR="00485A79" w:rsidRPr="007F6A6B" w:rsidRDefault="00485A79" w:rsidP="009C06D3">
      <w:pPr>
        <w:pStyle w:val="FootnoteText"/>
      </w:pPr>
      <w:r w:rsidRPr="007F6A6B">
        <w:rPr>
          <w:rStyle w:val="FootnoteReference"/>
        </w:rPr>
        <w:footnoteRef/>
      </w:r>
      <w:r w:rsidRPr="007F6A6B">
        <w:t xml:space="preserve"> Figure 2 covers the linked sample and is weighted to correct for selection into linkage.</w:t>
      </w:r>
      <w:r>
        <w:t xml:space="preserve">  Similar results are obtained for the children of British and German immigrants.</w:t>
      </w:r>
    </w:p>
  </w:footnote>
  <w:footnote w:id="29">
    <w:p w14:paraId="1C9B644C" w14:textId="6133CA12" w:rsidR="00485A79" w:rsidRPr="007F6A6B" w:rsidRDefault="00485A79" w:rsidP="009C06D3">
      <w:pPr>
        <w:pStyle w:val="FootnoteText"/>
      </w:pPr>
      <w:r w:rsidRPr="007F6A6B">
        <w:rPr>
          <w:rStyle w:val="FootnoteReference"/>
        </w:rPr>
        <w:footnoteRef/>
      </w:r>
      <w:r w:rsidRPr="007F6A6B">
        <w:t xml:space="preserve"> </w:t>
      </w:r>
      <w:r w:rsidRPr="009F51A9">
        <w:t>R</w:t>
      </w:r>
      <w:r w:rsidRPr="007F6A6B">
        <w:t xml:space="preserve">esults are qualitatively unchanged when we re-weight our sample to correct for selection into both linkage and classification on the basis of observables. </w:t>
      </w:r>
      <w:r>
        <w:t xml:space="preserve"> </w:t>
      </w:r>
      <w:r w:rsidRPr="007F6A6B">
        <w:t xml:space="preserve">However, we prefer not to re-weight to correct for selection into classification in our benchmark results because it is not clear whether differences in observables between the classified and unclassified groups reflect selection into classification (which </w:t>
      </w:r>
      <w:r w:rsidRPr="009F51A9">
        <w:t xml:space="preserve">one </w:t>
      </w:r>
      <w:r w:rsidRPr="007F6A6B">
        <w:t>would like to reverse) or actual differences in the probability that classified and unclassified individual</w:t>
      </w:r>
      <w:r w:rsidRPr="009F51A9">
        <w:t xml:space="preserve">s </w:t>
      </w:r>
      <w:r w:rsidRPr="007F6A6B">
        <w:t>arrived during the famine.</w:t>
      </w:r>
    </w:p>
  </w:footnote>
  <w:footnote w:id="30">
    <w:p w14:paraId="7540E23C" w14:textId="1EE0C9CE" w:rsidR="00485A79" w:rsidRPr="002117A9" w:rsidRDefault="00485A79" w:rsidP="009C06D3">
      <w:pPr>
        <w:pStyle w:val="FootnoteText"/>
      </w:pPr>
      <w:r w:rsidRPr="007F6A6B">
        <w:rPr>
          <w:rStyle w:val="FootnoteReference"/>
        </w:rPr>
        <w:footnoteRef/>
      </w:r>
      <w:r w:rsidRPr="007F6A6B">
        <w:t xml:space="preserve"> This </w:t>
      </w:r>
      <w:r w:rsidRPr="009F51A9">
        <w:t>also illustrates</w:t>
      </w:r>
      <w:r w:rsidRPr="007F6A6B">
        <w:t xml:space="preserve"> the difficulties of linkage from the passenger lists to the census. Combined with the number of observations lost in the link from 1850 to 1880, requiring an additional link to the passenger lists would result in a very small sample. Even achieving this low rate of linkage to the passenger lists required using information on individuals’ household composition</w:t>
      </w:r>
      <w:r w:rsidRPr="009F51A9">
        <w:t xml:space="preserve">; </w:t>
      </w:r>
      <w:r w:rsidRPr="007F6A6B">
        <w:t>in some cases, individuals could be located only when searching for their household members. The use of household information in linkage is generally avoided due to the bias it introduces.</w:t>
      </w:r>
      <w:r w:rsidRPr="009F51A9">
        <w:rPr>
          <w:color w:val="0000FF"/>
        </w:rPr>
        <w:t xml:space="preserve"> </w:t>
      </w:r>
      <w:r>
        <w:t>The</w:t>
      </w:r>
      <w:r w:rsidRPr="009F51A9">
        <w:t xml:space="preserve"> census-based</w:t>
      </w:r>
      <w:r w:rsidRPr="008D4065">
        <w:t xml:space="preserve"> approach to determin</w:t>
      </w:r>
      <w:r w:rsidRPr="009F51A9">
        <w:t>ing</w:t>
      </w:r>
      <w:r w:rsidRPr="008D4065">
        <w:t xml:space="preserve"> the arrival year enables us to avoid these </w:t>
      </w:r>
      <w:r>
        <w:t xml:space="preserve">problems </w:t>
      </w:r>
      <w:r w:rsidRPr="008D4065">
        <w:t>of linkage from the passenger lists and to maintain a larger sample.</w:t>
      </w:r>
    </w:p>
  </w:footnote>
  <w:footnote w:id="31">
    <w:p w14:paraId="34039CE6" w14:textId="0E318BDC" w:rsidR="00485A79" w:rsidRPr="002117A9" w:rsidRDefault="00485A79" w:rsidP="009C06D3">
      <w:pPr>
        <w:pStyle w:val="FootnoteText"/>
        <w:rPr>
          <w:szCs w:val="21"/>
        </w:rPr>
      </w:pPr>
      <w:r w:rsidRPr="002117A9">
        <w:rPr>
          <w:rStyle w:val="FootnoteReference"/>
          <w:szCs w:val="21"/>
        </w:rPr>
        <w:footnoteRef/>
      </w:r>
      <w:r w:rsidRPr="002117A9">
        <w:rPr>
          <w:szCs w:val="21"/>
        </w:rPr>
        <w:t xml:space="preserve"> We have also experimented with wealth scores at the source country-occupation-region level.  Unfortunately, this cuts the data thin</w:t>
      </w:r>
      <w:r w:rsidR="005072C7">
        <w:rPr>
          <w:szCs w:val="21"/>
        </w:rPr>
        <w:t>ly</w:t>
      </w:r>
      <w:r w:rsidRPr="002117A9">
        <w:rPr>
          <w:szCs w:val="21"/>
        </w:rPr>
        <w:t xml:space="preserve"> in many instances, and it is not very well suited to our study of immigrants’ children (many of whom were US-born).  The 1850 census did not ascertain personal wealth, and the 1880 census did not inquire about wealth at all.</w:t>
      </w:r>
    </w:p>
  </w:footnote>
  <w:footnote w:id="32">
    <w:p w14:paraId="70F74E6B" w14:textId="30AAB1B0" w:rsidR="00485A79" w:rsidRPr="002117A9" w:rsidRDefault="00485A79" w:rsidP="009C06D3">
      <w:pPr>
        <w:pStyle w:val="FootnoteText"/>
      </w:pPr>
      <w:r w:rsidRPr="002117A9">
        <w:rPr>
          <w:rStyle w:val="FootnoteReference"/>
        </w:rPr>
        <w:footnoteRef/>
      </w:r>
      <w:r w:rsidRPr="002117A9">
        <w:t xml:space="preserve"> </w:t>
      </w:r>
      <w:r w:rsidRPr="002117A9">
        <w:rPr>
          <w:szCs w:val="21"/>
        </w:rPr>
        <w:t xml:space="preserve">The correlation between our measure in 1880 and the 1950-based occupational income score is only 0.28 in our linked data. </w:t>
      </w:r>
      <w:r>
        <w:rPr>
          <w:szCs w:val="21"/>
        </w:rPr>
        <w:t xml:space="preserve"> </w:t>
      </w:r>
      <w:r w:rsidRPr="002117A9">
        <w:rPr>
          <w:szCs w:val="21"/>
        </w:rPr>
        <w:t>However, this is largely due to the changing occupational status of farmers in the intervening period. When farmers are excluded, the correlation is 0.75.</w:t>
      </w:r>
    </w:p>
  </w:footnote>
  <w:footnote w:id="33">
    <w:p w14:paraId="3A19C56F" w14:textId="082A1908" w:rsidR="00485A79" w:rsidRPr="002117A9" w:rsidRDefault="00485A79" w:rsidP="009C06D3">
      <w:pPr>
        <w:pStyle w:val="FootnoteText"/>
      </w:pPr>
      <w:r w:rsidRPr="002117A9">
        <w:rPr>
          <w:rStyle w:val="FootnoteReference"/>
        </w:rPr>
        <w:footnoteRef/>
      </w:r>
      <w:r w:rsidRPr="002117A9">
        <w:t xml:space="preserve"> In the interest of brevity, we do not report the results for occupational rank in all specifications below. Where it is</w:t>
      </w:r>
      <w:r>
        <w:t xml:space="preserve"> not</w:t>
      </w:r>
      <w:r w:rsidRPr="002117A9">
        <w:t xml:space="preserve"> </w:t>
      </w:r>
      <w:r>
        <w:t>shown</w:t>
      </w:r>
      <w:r w:rsidRPr="002117A9">
        <w:t xml:space="preserve"> (and </w:t>
      </w:r>
      <w:r>
        <w:t>where it is</w:t>
      </w:r>
      <w:r w:rsidRPr="002117A9">
        <w:t>), it is qualitatively similar to the results with the wealth score.</w:t>
      </w:r>
    </w:p>
  </w:footnote>
  <w:footnote w:id="34">
    <w:p w14:paraId="5D08A6BE" w14:textId="0C7A5CEC" w:rsidR="00485A79" w:rsidRDefault="00485A79">
      <w:pPr>
        <w:pStyle w:val="FootnoteText"/>
      </w:pPr>
      <w:r>
        <w:rPr>
          <w:rStyle w:val="FootnoteReference"/>
        </w:rPr>
        <w:footnoteRef/>
      </w:r>
      <w:r>
        <w:t xml:space="preserve"> The use of information contained in surnames to glean additional information on immigrant origins is increasingly common (e.g., Spitzer 2018; Spitzer and Zimran 2018; </w:t>
      </w:r>
      <w:r w:rsidRPr="00F96079">
        <w:t>Pérez 2019</w:t>
      </w:r>
      <w:r>
        <w:t xml:space="preserve">b), including in the study of the origins of the Irish in Ireland and abroad (Ferrie 1997c; Ó Gráda 2016; Connor 2019). </w:t>
      </w:r>
    </w:p>
  </w:footnote>
  <w:footnote w:id="35">
    <w:p w14:paraId="30E102BF" w14:textId="7D209CE4" w:rsidR="00485A79" w:rsidRPr="002117A9" w:rsidRDefault="00485A79" w:rsidP="009C06D3">
      <w:pPr>
        <w:pStyle w:val="FootnoteText"/>
      </w:pPr>
      <w:r w:rsidRPr="002117A9">
        <w:rPr>
          <w:rStyle w:val="FootnoteReference"/>
        </w:rPr>
        <w:footnoteRef/>
      </w:r>
      <w:r w:rsidRPr="002117A9">
        <w:t xml:space="preserve"> </w:t>
      </w:r>
      <w:r w:rsidRPr="002117A9">
        <w:rPr>
          <w:szCs w:val="21"/>
        </w:rPr>
        <w:t xml:space="preserve">Ideally, we would have used data from an earlier Irish census. However, the 1901 census is the earliest with micro data available; the 1841 records were destroyed by fire in the 1920s (National Archives of Ireland n.d.). </w:t>
      </w:r>
    </w:p>
  </w:footnote>
  <w:footnote w:id="36">
    <w:p w14:paraId="4050CD90" w14:textId="12FD0434" w:rsidR="00485A79" w:rsidRPr="002117A9" w:rsidRDefault="00485A79" w:rsidP="009C06D3">
      <w:pPr>
        <w:pStyle w:val="FootnoteText"/>
      </w:pPr>
      <w:r w:rsidRPr="002117A9">
        <w:rPr>
          <w:rStyle w:val="FootnoteReference"/>
        </w:rPr>
        <w:footnoteRef/>
      </w:r>
      <w:r w:rsidRPr="002117A9">
        <w:t xml:space="preserve"> </w:t>
      </w:r>
      <w:r w:rsidRPr="002117A9">
        <w:rPr>
          <w:szCs w:val="21"/>
        </w:rPr>
        <w:t>There is a concern that the census data do not reflect migrants’ characteristics at time of arrival. Our focus on human capital mitigates this concern because it is less likely that immigrants’ literacy and numeracy changed after arrival than did other measures, such as occupation.</w:t>
      </w:r>
      <w:r w:rsidRPr="002117A9">
        <w:t xml:space="preserve"> </w:t>
      </w:r>
    </w:p>
  </w:footnote>
  <w:footnote w:id="37">
    <w:p w14:paraId="57762631" w14:textId="2A2E0BE7" w:rsidR="00485A79" w:rsidRPr="00F96079" w:rsidRDefault="00485A79">
      <w:pPr>
        <w:pStyle w:val="FootnoteText"/>
      </w:pPr>
      <w:r w:rsidRPr="00F96079">
        <w:rPr>
          <w:rStyle w:val="FootnoteReference"/>
        </w:rPr>
        <w:footnoteRef/>
      </w:r>
      <w:r w:rsidRPr="00F96079">
        <w:t xml:space="preserve"> To be included in this analysis, a head of household had to be the father of a son in our linked sample. This does not imply that the father had a son before immigration because daughters’ birthplaces and ages are also used to determine immigration cohort; but the father must have had a son either before or after immigration.</w:t>
      </w:r>
    </w:p>
  </w:footnote>
  <w:footnote w:id="38">
    <w:p w14:paraId="1E0B132C" w14:textId="3FFCBB3D" w:rsidR="00485A79" w:rsidRPr="002117A9" w:rsidRDefault="00485A79" w:rsidP="009C06D3">
      <w:pPr>
        <w:pStyle w:val="FootnoteText"/>
      </w:pPr>
      <w:r w:rsidRPr="002117A9">
        <w:rPr>
          <w:rStyle w:val="FootnoteReference"/>
        </w:rPr>
        <w:footnoteRef/>
      </w:r>
      <w:r w:rsidRPr="002117A9">
        <w:t xml:space="preserve"> T</w:t>
      </w:r>
      <w:r w:rsidRPr="002117A9">
        <w:rPr>
          <w:szCs w:val="21"/>
        </w:rPr>
        <w:t>his variable does not indicate the numeracy of any individual in the sample, but differences between groups in the share reporting an age that ends in zero or five is informative.</w:t>
      </w:r>
    </w:p>
  </w:footnote>
  <w:footnote w:id="39">
    <w:p w14:paraId="059E382E" w14:textId="478E4215" w:rsidR="00485A79" w:rsidRPr="002117A9" w:rsidRDefault="00485A79" w:rsidP="009C06D3">
      <w:pPr>
        <w:pStyle w:val="FootnoteText"/>
        <w:rPr>
          <w:szCs w:val="21"/>
        </w:rPr>
      </w:pPr>
      <w:r w:rsidRPr="002117A9">
        <w:rPr>
          <w:rStyle w:val="FootnoteReference"/>
        </w:rPr>
        <w:footnoteRef/>
      </w:r>
      <w:r w:rsidRPr="002117A9">
        <w:t xml:space="preserve"> </w:t>
      </w:r>
      <w:r w:rsidRPr="002117A9">
        <w:rPr>
          <w:szCs w:val="21"/>
        </w:rPr>
        <w:t xml:space="preserve">Formally, this is a joint test of the null hypotheses that </w:t>
      </w:r>
      <m:oMath>
        <m:sSub>
          <m:sSubPr>
            <m:ctrlPr>
              <w:rPr>
                <w:rFonts w:ascii="Cambria Math" w:hAnsi="Cambria Math"/>
                <w:i/>
                <w:szCs w:val="21"/>
              </w:rPr>
            </m:ctrlPr>
          </m:sSubPr>
          <m:e>
            <m:r>
              <w:rPr>
                <w:rFonts w:ascii="Cambria Math" w:hAnsi="Cambria Math"/>
                <w:szCs w:val="21"/>
              </w:rPr>
              <m:t>δ</m:t>
            </m:r>
          </m:e>
          <m:sub>
            <m:r>
              <w:rPr>
                <w:rFonts w:ascii="Cambria Math" w:hAnsi="Cambria Math"/>
                <w:szCs w:val="21"/>
              </w:rPr>
              <m:t>I1</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δ</m:t>
            </m:r>
          </m:e>
          <m:sub>
            <m:r>
              <w:rPr>
                <w:rFonts w:ascii="Cambria Math" w:hAnsi="Cambria Math"/>
                <w:szCs w:val="21"/>
              </w:rPr>
              <m:t>I0</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δ</m:t>
            </m:r>
          </m:e>
          <m:sub>
            <m:r>
              <w:rPr>
                <w:rFonts w:ascii="Cambria Math" w:hAnsi="Cambria Math"/>
                <w:szCs w:val="21"/>
              </w:rPr>
              <m:t>B1</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δ</m:t>
            </m:r>
          </m:e>
          <m:sub>
            <m:r>
              <w:rPr>
                <w:rFonts w:ascii="Cambria Math" w:hAnsi="Cambria Math"/>
                <w:szCs w:val="21"/>
              </w:rPr>
              <m:t>B0</m:t>
            </m:r>
          </m:sub>
        </m:sSub>
      </m:oMath>
      <w:r w:rsidRPr="002117A9">
        <w:rPr>
          <w:szCs w:val="21"/>
        </w:rPr>
        <w:t xml:space="preserve"> and </w:t>
      </w:r>
      <m:oMath>
        <m:sSub>
          <m:sSubPr>
            <m:ctrlPr>
              <w:rPr>
                <w:rFonts w:ascii="Cambria Math" w:hAnsi="Cambria Math"/>
                <w:i/>
                <w:szCs w:val="21"/>
              </w:rPr>
            </m:ctrlPr>
          </m:sSubPr>
          <m:e>
            <m:r>
              <w:rPr>
                <w:rFonts w:ascii="Cambria Math" w:hAnsi="Cambria Math"/>
                <w:szCs w:val="21"/>
              </w:rPr>
              <m:t>δ</m:t>
            </m:r>
          </m:e>
          <m:sub>
            <m:r>
              <w:rPr>
                <w:rFonts w:ascii="Cambria Math" w:hAnsi="Cambria Math"/>
                <w:szCs w:val="21"/>
              </w:rPr>
              <m:t>I1</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δ</m:t>
            </m:r>
          </m:e>
          <m:sub>
            <m:r>
              <w:rPr>
                <w:rFonts w:ascii="Cambria Math" w:hAnsi="Cambria Math"/>
                <w:szCs w:val="21"/>
              </w:rPr>
              <m:t>I0</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δ</m:t>
            </m:r>
          </m:e>
          <m:sub>
            <m:r>
              <w:rPr>
                <w:rFonts w:ascii="Cambria Math" w:hAnsi="Cambria Math"/>
                <w:szCs w:val="21"/>
              </w:rPr>
              <m:t>G1</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δ</m:t>
            </m:r>
          </m:e>
          <m:sub>
            <m:r>
              <w:rPr>
                <w:rFonts w:ascii="Cambria Math" w:hAnsi="Cambria Math"/>
                <w:szCs w:val="21"/>
              </w:rPr>
              <m:t>G0</m:t>
            </m:r>
          </m:sub>
        </m:sSub>
        <m:r>
          <w:rPr>
            <w:rFonts w:ascii="Cambria Math" w:hAnsi="Cambria Math"/>
            <w:szCs w:val="21"/>
          </w:rPr>
          <m:t>,</m:t>
        </m:r>
      </m:oMath>
      <w:r w:rsidRPr="002117A9">
        <w:rPr>
          <w:szCs w:val="21"/>
        </w:rPr>
        <w:t xml:space="preserve"> where </w:t>
      </w:r>
      <m:oMath>
        <m:sSub>
          <m:sSubPr>
            <m:ctrlPr>
              <w:rPr>
                <w:rFonts w:ascii="Cambria Math" w:hAnsi="Cambria Math"/>
                <w:i/>
                <w:szCs w:val="21"/>
              </w:rPr>
            </m:ctrlPr>
          </m:sSubPr>
          <m:e>
            <m:r>
              <w:rPr>
                <w:rFonts w:ascii="Cambria Math" w:hAnsi="Cambria Math"/>
                <w:szCs w:val="21"/>
              </w:rPr>
              <m:t>δ</m:t>
            </m:r>
          </m:e>
          <m:sub>
            <m:r>
              <w:rPr>
                <w:rFonts w:ascii="Cambria Math" w:hAnsi="Cambria Math"/>
                <w:szCs w:val="21"/>
              </w:rPr>
              <m:t>j1</m:t>
            </m:r>
          </m:sub>
        </m:sSub>
      </m:oMath>
      <w:r w:rsidRPr="002117A9">
        <w:rPr>
          <w:szCs w:val="21"/>
        </w:rPr>
        <w:t xml:space="preserve"> represents the indicator for the famine arrival cohort of ethnicity </w:t>
      </w:r>
      <w:r w:rsidRPr="002117A9">
        <w:rPr>
          <w:i/>
          <w:szCs w:val="21"/>
        </w:rPr>
        <w:t xml:space="preserve">j </w:t>
      </w:r>
      <w:r w:rsidRPr="002117A9">
        <w:rPr>
          <w:szCs w:val="21"/>
        </w:rPr>
        <w:t xml:space="preserve">and </w:t>
      </w:r>
      <m:oMath>
        <m:sSub>
          <m:sSubPr>
            <m:ctrlPr>
              <w:rPr>
                <w:rFonts w:ascii="Cambria Math" w:hAnsi="Cambria Math"/>
                <w:i/>
                <w:szCs w:val="21"/>
              </w:rPr>
            </m:ctrlPr>
          </m:sSubPr>
          <m:e>
            <m:r>
              <w:rPr>
                <w:rFonts w:ascii="Cambria Math" w:hAnsi="Cambria Math"/>
                <w:szCs w:val="21"/>
              </w:rPr>
              <m:t>δ</m:t>
            </m:r>
          </m:e>
          <m:sub>
            <m:r>
              <w:rPr>
                <w:rFonts w:ascii="Cambria Math" w:hAnsi="Cambria Math"/>
                <w:szCs w:val="21"/>
              </w:rPr>
              <m:t>j0</m:t>
            </m:r>
          </m:sub>
        </m:sSub>
      </m:oMath>
      <w:r w:rsidRPr="002117A9">
        <w:rPr>
          <w:szCs w:val="21"/>
        </w:rPr>
        <w:t xml:space="preserve"> represents the indicator for the pre-famine arrival cohort of ethnicity </w:t>
      </w:r>
      <w:r w:rsidRPr="002117A9">
        <w:rPr>
          <w:i/>
          <w:szCs w:val="21"/>
        </w:rPr>
        <w:t>j</w:t>
      </w:r>
      <w:r w:rsidRPr="002117A9">
        <w:rPr>
          <w:szCs w:val="21"/>
        </w:rPr>
        <w:t>.</w:t>
      </w:r>
    </w:p>
  </w:footnote>
  <w:footnote w:id="40">
    <w:p w14:paraId="61E4D5AD" w14:textId="34322983" w:rsidR="00485A79" w:rsidRPr="00F96079" w:rsidRDefault="00485A79">
      <w:pPr>
        <w:pStyle w:val="FootnoteText"/>
      </w:pPr>
      <w:r w:rsidRPr="00F96079">
        <w:rPr>
          <w:rStyle w:val="FootnoteReference"/>
        </w:rPr>
        <w:footnoteRef/>
      </w:r>
      <w:r w:rsidRPr="00F96079">
        <w:t xml:space="preserve"> Drawing a strong causal conclusion would require the assumption that Irish immigrants would have followed the same trend over the pre- and post-1846 cohorts as the British and Germans in the absence of the famine shock.  We do not view this as a clearly tenable assumption, and we are not making a causal argument. All that we claim is that if the famine Irish fared especially poorly relative to prior Irish immigrants in comparison to arrival cohort patterns within other immigrant groups, then their poor outcome is unlikely to be due solely to their later arrival or a common shock to transatlantic migration.</w:t>
      </w:r>
    </w:p>
  </w:footnote>
  <w:footnote w:id="41">
    <w:p w14:paraId="4EDD2422" w14:textId="28709A95" w:rsidR="00485A79" w:rsidRPr="00D5662E" w:rsidRDefault="00485A79" w:rsidP="009C06D3">
      <w:pPr>
        <w:pStyle w:val="FootnoteText"/>
      </w:pPr>
      <w:r w:rsidRPr="002117A9">
        <w:rPr>
          <w:rStyle w:val="FootnoteReference"/>
        </w:rPr>
        <w:footnoteRef/>
      </w:r>
      <w:r w:rsidRPr="002117A9">
        <w:t xml:space="preserve"> Richer models of selection that </w:t>
      </w:r>
      <w:r w:rsidRPr="002117A9">
        <w:rPr>
          <w:rFonts w:eastAsia="MS Mincho" w:cs="Times New Roman"/>
        </w:rPr>
        <w:t xml:space="preserve">allow migration costs to vary by level of skill (Chiquiar and Hanson 2005, McKenzie and Rapoport 2010) </w:t>
      </w:r>
      <w:r>
        <w:rPr>
          <w:rFonts w:eastAsia="MS Mincho" w:cs="Times New Roman"/>
        </w:rPr>
        <w:t xml:space="preserve">suggest </w:t>
      </w:r>
      <w:r w:rsidRPr="002117A9">
        <w:rPr>
          <w:rFonts w:eastAsia="MS Mincho" w:cs="Times New Roman"/>
        </w:rPr>
        <w:t xml:space="preserve">that migration costs may prevent the migration of </w:t>
      </w:r>
      <w:r>
        <w:rPr>
          <w:rFonts w:eastAsia="MS Mincho" w:cs="Times New Roman"/>
        </w:rPr>
        <w:t xml:space="preserve">the poorest </w:t>
      </w:r>
      <w:r w:rsidRPr="002117A9">
        <w:rPr>
          <w:rFonts w:eastAsia="MS Mincho" w:cs="Times New Roman"/>
        </w:rPr>
        <w:t xml:space="preserve">workers. </w:t>
      </w:r>
      <w:r>
        <w:rPr>
          <w:rFonts w:eastAsia="MS Mincho" w:cs="Times New Roman"/>
        </w:rPr>
        <w:t xml:space="preserve"> </w:t>
      </w:r>
      <w:r w:rsidRPr="002117A9">
        <w:rPr>
          <w:rFonts w:eastAsia="MS Mincho" w:cs="Times New Roman"/>
        </w:rPr>
        <w:t xml:space="preserve">Financial constraints </w:t>
      </w:r>
      <w:r>
        <w:rPr>
          <w:rFonts w:eastAsia="MS Mincho" w:cs="Times New Roman"/>
        </w:rPr>
        <w:t xml:space="preserve">on migration </w:t>
      </w:r>
      <w:r w:rsidRPr="002117A9">
        <w:rPr>
          <w:rFonts w:eastAsia="MS Mincho" w:cs="Times New Roman"/>
        </w:rPr>
        <w:t>were relevant for the Irish (Hatton a</w:t>
      </w:r>
      <w:r>
        <w:rPr>
          <w:rFonts w:eastAsia="MS Mincho" w:cs="Times New Roman"/>
        </w:rPr>
        <w:t xml:space="preserve">nd Williamson 1994), and the </w:t>
      </w:r>
      <w:r w:rsidRPr="002117A9">
        <w:rPr>
          <w:rFonts w:eastAsia="MS Mincho" w:cs="Times New Roman"/>
        </w:rPr>
        <w:t xml:space="preserve">poorest </w:t>
      </w:r>
      <w:r>
        <w:rPr>
          <w:rFonts w:eastAsia="MS Mincho" w:cs="Times New Roman"/>
        </w:rPr>
        <w:t xml:space="preserve">Irish </w:t>
      </w:r>
      <w:r w:rsidRPr="002117A9">
        <w:rPr>
          <w:rFonts w:eastAsia="MS Mincho" w:cs="Times New Roman"/>
        </w:rPr>
        <w:t>could not afford to migrate to the US</w:t>
      </w:r>
      <w:r>
        <w:rPr>
          <w:rFonts w:eastAsia="MS Mincho" w:cs="Times New Roman"/>
        </w:rPr>
        <w:t xml:space="preserve"> during the famine</w:t>
      </w:r>
      <w:r w:rsidRPr="002117A9">
        <w:rPr>
          <w:rFonts w:eastAsia="MS Mincho" w:cs="Times New Roman"/>
        </w:rPr>
        <w:t xml:space="preserve"> (</w:t>
      </w:r>
      <w:r w:rsidRPr="002117A9">
        <w:rPr>
          <w:rFonts w:cs="Times New Roman"/>
        </w:rPr>
        <w:t>Ó Gráda 1999, pp. 104-114</w:t>
      </w:r>
      <w:r w:rsidRPr="002117A9">
        <w:rPr>
          <w:rFonts w:eastAsia="MS Mincho" w:cs="Times New Roman"/>
        </w:rPr>
        <w:t xml:space="preserve">).  Recent work has also emphasized that networks </w:t>
      </w:r>
      <w:r>
        <w:rPr>
          <w:rFonts w:eastAsia="MS Mincho" w:cs="Times New Roman"/>
        </w:rPr>
        <w:t xml:space="preserve">shape migrant selection and migration </w:t>
      </w:r>
      <w:r w:rsidRPr="002117A9">
        <w:rPr>
          <w:rFonts w:eastAsia="MS Mincho" w:cs="Times New Roman"/>
        </w:rPr>
        <w:t>response</w:t>
      </w:r>
      <w:r>
        <w:rPr>
          <w:rFonts w:eastAsia="MS Mincho" w:cs="Times New Roman"/>
        </w:rPr>
        <w:t>s</w:t>
      </w:r>
      <w:r w:rsidRPr="002117A9">
        <w:rPr>
          <w:rFonts w:eastAsia="MS Mincho" w:cs="Times New Roman"/>
        </w:rPr>
        <w:t xml:space="preserve"> to shocks (Wegge 1998, McKenzie and Rapoport 2010; Mahajan and Yang 2017</w:t>
      </w:r>
      <w:r>
        <w:rPr>
          <w:rFonts w:eastAsia="MS Mincho" w:cs="Times New Roman"/>
        </w:rPr>
        <w:t>; Spitzer 2018; Spitzer and Zimran 2018</w:t>
      </w:r>
      <w:r w:rsidRPr="002117A9">
        <w:rPr>
          <w:rFonts w:eastAsia="MS Mincho" w:cs="Times New Roman"/>
        </w:rPr>
        <w:t xml:space="preserve">). </w:t>
      </w:r>
      <w:r>
        <w:rPr>
          <w:rFonts w:eastAsia="MS Mincho" w:cs="Times New Roman"/>
        </w:rPr>
        <w:t xml:space="preserve"> If</w:t>
      </w:r>
      <w:r w:rsidRPr="002117A9">
        <w:rPr>
          <w:rFonts w:eastAsia="MS Mincho" w:cs="Times New Roman"/>
        </w:rPr>
        <w:t xml:space="preserve"> Irish migrants were positively selected before the famine, it is possible that relatively well-off families or places had stronger migrant ne</w:t>
      </w:r>
      <w:r>
        <w:rPr>
          <w:rFonts w:eastAsia="MS Mincho" w:cs="Times New Roman"/>
        </w:rPr>
        <w:t xml:space="preserve">tworks to facilitate emigration and </w:t>
      </w:r>
      <w:r w:rsidRPr="002117A9">
        <w:rPr>
          <w:rFonts w:eastAsia="MS Mincho" w:cs="Times New Roman"/>
        </w:rPr>
        <w:t xml:space="preserve">more resources to finance the move.  </w:t>
      </w:r>
      <w:r>
        <w:rPr>
          <w:rFonts w:eastAsia="MS Mincho" w:cs="Times New Roman"/>
        </w:rPr>
        <w:t xml:space="preserve">In theory, this </w:t>
      </w:r>
      <w:r w:rsidRPr="00D5662E">
        <w:rPr>
          <w:rFonts w:eastAsia="MS Mincho" w:cs="Times New Roman"/>
        </w:rPr>
        <w:t xml:space="preserve">might skew selection in a more positive direction, but on net we observe selection becoming more negative. </w:t>
      </w:r>
    </w:p>
  </w:footnote>
  <w:footnote w:id="42">
    <w:p w14:paraId="1DE2D52E" w14:textId="77777777" w:rsidR="00485A79" w:rsidRPr="00F96079" w:rsidRDefault="00485A79" w:rsidP="005338B7">
      <w:pPr>
        <w:pStyle w:val="FootnoteText"/>
      </w:pPr>
      <w:r w:rsidRPr="00F96079">
        <w:rPr>
          <w:rStyle w:val="FootnoteReference"/>
        </w:rPr>
        <w:footnoteRef/>
      </w:r>
      <w:r w:rsidRPr="00F96079">
        <w:t xml:space="preserve"> It is possible that if the comparison were in the relative difference in the probability of holding an unskilled occupation rather than the absolute difference, that results might differ. However, given that our goal is to describe the childhood household characteristics of the sons of the famine migrants, we are more concerned with the absolute differences, as they reflect the number of children whose head of household was unskilled.</w:t>
      </w:r>
    </w:p>
  </w:footnote>
  <w:footnote w:id="43">
    <w:p w14:paraId="28167BE5" w14:textId="44FAD263" w:rsidR="00485A79" w:rsidRPr="00655A0A" w:rsidRDefault="00485A79" w:rsidP="009C06D3">
      <w:pPr>
        <w:pStyle w:val="FootnoteText"/>
      </w:pPr>
      <w:r w:rsidRPr="002117A9">
        <w:rPr>
          <w:rStyle w:val="FootnoteReference"/>
        </w:rPr>
        <w:footnoteRef/>
      </w:r>
      <w:r w:rsidRPr="002117A9">
        <w:t xml:space="preserve"> The greater school attendance of the famine Irish relative to the famine Germans is largely explained by differences in the geographic distribution of the two groups. That is, controlling for state fixed effects reduces the gap between the two groups from 9.5 to 1.4 percentage points. This likely reflects a greater tendency for </w:t>
      </w:r>
      <w:r w:rsidRPr="00655A0A">
        <w:t>Germans to live in the Midwest, where schooling would have been less readily available.</w:t>
      </w:r>
    </w:p>
  </w:footnote>
  <w:footnote w:id="44">
    <w:p w14:paraId="2F7ED7A0" w14:textId="17B4F1EC" w:rsidR="00485A79" w:rsidRPr="009F51A9" w:rsidRDefault="00485A79">
      <w:pPr>
        <w:pStyle w:val="FootnoteText"/>
        <w:rPr>
          <w:color w:val="0000FF"/>
        </w:rPr>
      </w:pPr>
      <w:r w:rsidRPr="00F96079">
        <w:rPr>
          <w:rStyle w:val="FootnoteReference"/>
        </w:rPr>
        <w:footnoteRef/>
      </w:r>
      <w:r w:rsidRPr="00F96079">
        <w:t xml:space="preserve"> As unfortunate as the famine-Irish household heads appear in 1850, it is quite possible that they were better off on average than those in the same arrival cohort without children; we cannot know for sure because we cannot identify the arrival cohort of those without children.</w:t>
      </w:r>
    </w:p>
  </w:footnote>
  <w:footnote w:id="45">
    <w:p w14:paraId="13096F60" w14:textId="67C7051B" w:rsidR="00485A79" w:rsidRDefault="00485A79">
      <w:pPr>
        <w:pStyle w:val="FootnoteText"/>
      </w:pPr>
      <w:r>
        <w:rPr>
          <w:rStyle w:val="FootnoteReference"/>
        </w:rPr>
        <w:footnoteRef/>
      </w:r>
      <w:r>
        <w:t xml:space="preserve"> These controls are desirable because the famine-era children were on average younger than the pre-famine children (35.6 years as opposed to 37.4 years in 1880), and might thus have had worse labor market outcomes solely because of their age. Controlling for age addresses this concern.</w:t>
      </w:r>
    </w:p>
  </w:footnote>
  <w:footnote w:id="46">
    <w:p w14:paraId="3AD62795" w14:textId="61E0C67E" w:rsidR="00485A79" w:rsidRPr="002117A9" w:rsidRDefault="00485A79" w:rsidP="009C06D3">
      <w:pPr>
        <w:pStyle w:val="FootnoteText"/>
      </w:pPr>
      <w:r w:rsidRPr="002117A9">
        <w:rPr>
          <w:rStyle w:val="FootnoteReference"/>
        </w:rPr>
        <w:footnoteRef/>
      </w:r>
      <w:r w:rsidRPr="002117A9">
        <w:t xml:space="preserve"> </w:t>
      </w:r>
      <w:r w:rsidRPr="002117A9">
        <w:rPr>
          <w:szCs w:val="21"/>
        </w:rPr>
        <w:t>The coefficients of the regressions with the expanded sets of controls are presented in Appendix Table C.1.</w:t>
      </w:r>
    </w:p>
  </w:footnote>
  <w:footnote w:id="47">
    <w:p w14:paraId="124099EB" w14:textId="627B1524" w:rsidR="00485A79" w:rsidRPr="002117A9" w:rsidRDefault="00485A79" w:rsidP="009C06D3">
      <w:pPr>
        <w:pStyle w:val="FootnoteText"/>
        <w:rPr>
          <w:color w:val="0000FF"/>
        </w:rPr>
      </w:pPr>
      <w:r w:rsidRPr="002117A9">
        <w:rPr>
          <w:rStyle w:val="FootnoteReference"/>
        </w:rPr>
        <w:footnoteRef/>
      </w:r>
      <w:r w:rsidRPr="002117A9">
        <w:t xml:space="preserve"> Gelbach (2016) </w:t>
      </w:r>
      <w:r>
        <w:t>provides a method to decompose</w:t>
      </w:r>
      <w:r w:rsidRPr="002117A9">
        <w:t xml:space="preserve"> the change in a coefficient (in our case, the coefficient for the famine Irish indicator) that results from the addition of a vector of controls </w:t>
      </w:r>
      <m:oMath>
        <m:sSub>
          <m:sSubPr>
            <m:ctrlPr>
              <w:rPr>
                <w:rFonts w:ascii="Cambria Math" w:hAnsi="Cambria Math"/>
                <w:b/>
                <w:bCs/>
                <w:iCs/>
              </w:rPr>
            </m:ctrlPr>
          </m:sSubPr>
          <m:e>
            <m:r>
              <m:rPr>
                <m:sty m:val="b"/>
              </m:rPr>
              <w:rPr>
                <w:rFonts w:ascii="Cambria Math" w:hAnsi="Cambria Math"/>
              </w:rPr>
              <m:t>x</m:t>
            </m:r>
          </m:e>
          <m:sub>
            <m:r>
              <w:rPr>
                <w:rFonts w:ascii="Cambria Math" w:hAnsi="Cambria Math"/>
              </w:rPr>
              <m:t>ijk</m:t>
            </m:r>
          </m:sub>
        </m:sSub>
      </m:oMath>
      <w:r w:rsidRPr="002117A9">
        <w:rPr>
          <w:b/>
          <w:bCs/>
          <w:iCs/>
        </w:rPr>
        <w:t xml:space="preserve"> </w:t>
      </w:r>
      <w:r w:rsidRPr="002117A9">
        <w:rPr>
          <w:iCs/>
        </w:rPr>
        <w:t xml:space="preserve">into the separate contribution of each component of that vector. Unlike approaches that address coefficient stability with the sequential addition of controls, this decomposition does not depend on the order in which controls are added. </w:t>
      </w:r>
    </w:p>
  </w:footnote>
  <w:footnote w:id="48">
    <w:p w14:paraId="2D653348" w14:textId="77777777" w:rsidR="00485A79" w:rsidRPr="002117A9" w:rsidRDefault="00485A79" w:rsidP="00504672">
      <w:pPr>
        <w:pStyle w:val="FootnoteText"/>
      </w:pPr>
      <w:r w:rsidRPr="002117A9">
        <w:rPr>
          <w:rStyle w:val="FootnoteReference"/>
        </w:rPr>
        <w:footnoteRef/>
      </w:r>
      <w:r w:rsidRPr="002117A9">
        <w:t xml:space="preserve"> Educational attainment cannot be studied with the US census in the nineteenth century. Even the literacy variable is unavailable for the 1880 complete count data.</w:t>
      </w:r>
    </w:p>
  </w:footnote>
  <w:footnote w:id="49">
    <w:p w14:paraId="31029EB8" w14:textId="3D76CFE3" w:rsidR="00485A79" w:rsidRDefault="00485A79">
      <w:pPr>
        <w:pStyle w:val="FootnoteText"/>
      </w:pPr>
      <w:r>
        <w:rPr>
          <w:rStyle w:val="FootnoteReference"/>
        </w:rPr>
        <w:footnoteRef/>
      </w:r>
      <w:r>
        <w:t xml:space="preserve"> The number of observations in this table is reduced relative to the number of famine Irish described in Tables 3 and 5. The difference is accounted for by individuals whose surnames were not sufficiently common in the 1901 Irish census to determine their </w:t>
      </w:r>
      <w:r>
        <w:tab/>
        <w:t>Catholicity measure (we require at least 200 individuals with similar names in the 1901 Irish census). Columns (1) and (3) include controls for the 1850 head of household’s occupational category. Columns (2) and (4) control for the log of the 1850 head of household’s occupational wealth score. The coefficient on this variable, which is the intergenerational elasticity of the occupational wealth score, is 0.087 (se=0.038) in both columns. As the occupational wealth measure is novel to this paper, there is no reason to expect that this elasticity would resemble intergenerational elasticities estimated in other contexts.</w:t>
      </w:r>
    </w:p>
  </w:footnote>
  <w:footnote w:id="50">
    <w:p w14:paraId="73BED73B" w14:textId="77777777" w:rsidR="00485A79" w:rsidRPr="002117A9" w:rsidRDefault="00485A79" w:rsidP="00A86F37">
      <w:pPr>
        <w:pStyle w:val="FootnoteText"/>
        <w:rPr>
          <w:rFonts w:cs="Times New Roman"/>
          <w:szCs w:val="21"/>
        </w:rPr>
      </w:pPr>
      <w:r w:rsidRPr="002117A9">
        <w:rPr>
          <w:rStyle w:val="FootnoteReference"/>
          <w:rFonts w:cs="Times New Roman"/>
          <w:szCs w:val="21"/>
        </w:rPr>
        <w:footnoteRef/>
      </w:r>
      <w:r w:rsidRPr="002117A9">
        <w:rPr>
          <w:rFonts w:cs="Times New Roman"/>
          <w:szCs w:val="21"/>
        </w:rPr>
        <w:t xml:space="preserve"> We recognize that there are individuals who would have been born in the US but who would have been in utero in Ireland during the famine. Unfortunately, the fact that we do not observe the actual year of arrival (only a range) prevents us from identifying these individuals. We thus consider the coefficient on Famine In Utero to be an understatement of the correlation in question.</w:t>
      </w:r>
    </w:p>
  </w:footnote>
  <w:footnote w:id="51">
    <w:p w14:paraId="4FDE0A19" w14:textId="12120372" w:rsidR="00485A79" w:rsidRDefault="00485A79">
      <w:pPr>
        <w:pStyle w:val="FootnoteText"/>
      </w:pPr>
      <w:r>
        <w:rPr>
          <w:rStyle w:val="FootnoteReference"/>
        </w:rPr>
        <w:footnoteRef/>
      </w:r>
      <w:r>
        <w:t xml:space="preserve"> That is, plotting the density of the Catholicity variable reveals local modes at 0.95 and at 0.18.</w:t>
      </w:r>
    </w:p>
  </w:footnote>
  <w:footnote w:id="52">
    <w:p w14:paraId="05FF52CA" w14:textId="77777777" w:rsidR="00485A79" w:rsidRPr="002117A9" w:rsidRDefault="00485A79" w:rsidP="009C06D3">
      <w:pPr>
        <w:pStyle w:val="FootnoteText"/>
        <w:rPr>
          <w:szCs w:val="21"/>
        </w:rPr>
      </w:pPr>
      <w:r w:rsidRPr="002117A9">
        <w:rPr>
          <w:rStyle w:val="FootnoteReference"/>
          <w:szCs w:val="21"/>
        </w:rPr>
        <w:footnoteRef/>
      </w:r>
      <w:r w:rsidRPr="002117A9">
        <w:rPr>
          <w:szCs w:val="21"/>
        </w:rPr>
        <w:t xml:space="preserve"> This is not a soundex match; the soundex is used to limit the set of candidate matches, which are then evaluated based on spelling distance.</w:t>
      </w:r>
    </w:p>
  </w:footnote>
  <w:footnote w:id="53">
    <w:p w14:paraId="2F17C170" w14:textId="77777777" w:rsidR="00485A79" w:rsidRPr="003329F2" w:rsidRDefault="00485A79" w:rsidP="009C06D3">
      <w:pPr>
        <w:pStyle w:val="FootnoteText"/>
        <w:rPr>
          <w:szCs w:val="21"/>
        </w:rPr>
      </w:pPr>
      <w:r w:rsidRPr="002117A9">
        <w:rPr>
          <w:rStyle w:val="FootnoteReference"/>
          <w:szCs w:val="21"/>
        </w:rPr>
        <w:footnoteRef/>
      </w:r>
      <w:r w:rsidRPr="002117A9">
        <w:rPr>
          <w:szCs w:val="21"/>
        </w:rPr>
        <w:t xml:space="preserve"> The SAS spelling distance is not a symmetric measure. Whenever I use spelling distance, I make a match when </w:t>
      </w:r>
      <m:oMath>
        <m:func>
          <m:funcPr>
            <m:ctrlPr>
              <w:rPr>
                <w:rFonts w:ascii="Cambria Math" w:hAnsi="Cambria Math"/>
                <w:szCs w:val="21"/>
              </w:rPr>
            </m:ctrlPr>
          </m:funcPr>
          <m:fName>
            <m:r>
              <m:rPr>
                <m:sty m:val="p"/>
              </m:rPr>
              <w:rPr>
                <w:rFonts w:ascii="Cambria Math" w:hAnsi="Cambria Math"/>
                <w:szCs w:val="21"/>
              </w:rPr>
              <m:t>min</m:t>
            </m:r>
          </m:fName>
          <m:e>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spedis</m:t>
                    </m:r>
                  </m:e>
                  <m:sub>
                    <m:r>
                      <w:rPr>
                        <w:rFonts w:ascii="Cambria Math" w:hAnsi="Cambria Math"/>
                        <w:szCs w:val="21"/>
                      </w:rPr>
                      <m:t>a,b</m:t>
                    </m:r>
                  </m:sub>
                </m:sSub>
                <m:r>
                  <w:rPr>
                    <w:rFonts w:ascii="Cambria Math" w:hAnsi="Cambria Math"/>
                    <w:szCs w:val="21"/>
                  </w:rPr>
                  <m:t>,</m:t>
                </m:r>
                <m:r>
                  <m:rPr>
                    <m:sty m:val="p"/>
                  </m:rPr>
                  <w:rPr>
                    <w:rFonts w:ascii="Cambria Math" w:hAnsi="Cambria Math"/>
                    <w:szCs w:val="21"/>
                  </w:rPr>
                  <m:t>spedi</m:t>
                </m:r>
                <m:sSub>
                  <m:sSubPr>
                    <m:ctrlPr>
                      <w:rPr>
                        <w:rFonts w:ascii="Cambria Math" w:hAnsi="Cambria Math"/>
                        <w:i/>
                        <w:szCs w:val="21"/>
                      </w:rPr>
                    </m:ctrlPr>
                  </m:sSubPr>
                  <m:e>
                    <m:r>
                      <m:rPr>
                        <m:sty m:val="p"/>
                      </m:rPr>
                      <w:rPr>
                        <w:rFonts w:ascii="Cambria Math" w:hAnsi="Cambria Math"/>
                        <w:szCs w:val="21"/>
                      </w:rPr>
                      <m:t>s</m:t>
                    </m:r>
                  </m:e>
                  <m:sub>
                    <m:r>
                      <w:rPr>
                        <w:rFonts w:ascii="Cambria Math" w:hAnsi="Cambria Math"/>
                        <w:szCs w:val="21"/>
                      </w:rPr>
                      <m:t>b,a</m:t>
                    </m:r>
                  </m:sub>
                </m:sSub>
                <m:ctrlPr>
                  <w:rPr>
                    <w:rFonts w:ascii="Cambria Math" w:hAnsi="Cambria Math"/>
                    <w:i/>
                    <w:szCs w:val="21"/>
                  </w:rPr>
                </m:ctrlPr>
              </m:e>
            </m:d>
          </m:e>
        </m:func>
        <m:r>
          <w:rPr>
            <w:rFonts w:ascii="Cambria Math" w:hAnsi="Cambria Math"/>
            <w:szCs w:val="21"/>
          </w:rPr>
          <m:t>≤c</m:t>
        </m:r>
      </m:oMath>
      <w:r w:rsidRPr="002117A9">
        <w:rPr>
          <w:szCs w:val="21"/>
        </w:rPr>
        <w:t xml:space="preserve">, where </w:t>
      </w:r>
      <w:r w:rsidRPr="002117A9">
        <w:rPr>
          <w:i/>
          <w:szCs w:val="21"/>
        </w:rPr>
        <w:t>c</w:t>
      </w:r>
      <w:r w:rsidRPr="002117A9">
        <w:rPr>
          <w:szCs w:val="21"/>
        </w:rPr>
        <w:t xml:space="preserve"> is the linkage cutoff.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F1543"/>
    <w:multiLevelType w:val="hybridMultilevel"/>
    <w:tmpl w:val="9B88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B3707"/>
    <w:multiLevelType w:val="hybridMultilevel"/>
    <w:tmpl w:val="6A3E43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3C05AA"/>
    <w:multiLevelType w:val="hybridMultilevel"/>
    <w:tmpl w:val="A2F293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9010A3"/>
    <w:multiLevelType w:val="hybridMultilevel"/>
    <w:tmpl w:val="C1BA8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F40C5A"/>
    <w:multiLevelType w:val="hybridMultilevel"/>
    <w:tmpl w:val="326E0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AC7B54"/>
    <w:multiLevelType w:val="hybridMultilevel"/>
    <w:tmpl w:val="2EE800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2AF"/>
    <w:rsid w:val="00000131"/>
    <w:rsid w:val="0000065E"/>
    <w:rsid w:val="0000118A"/>
    <w:rsid w:val="0000212B"/>
    <w:rsid w:val="00002285"/>
    <w:rsid w:val="00002F39"/>
    <w:rsid w:val="00003978"/>
    <w:rsid w:val="000046CE"/>
    <w:rsid w:val="00004CB4"/>
    <w:rsid w:val="00005365"/>
    <w:rsid w:val="00005CD9"/>
    <w:rsid w:val="000060F5"/>
    <w:rsid w:val="00006505"/>
    <w:rsid w:val="000068A8"/>
    <w:rsid w:val="00010A3F"/>
    <w:rsid w:val="00010E73"/>
    <w:rsid w:val="00012781"/>
    <w:rsid w:val="00012AEB"/>
    <w:rsid w:val="000132CF"/>
    <w:rsid w:val="0001498F"/>
    <w:rsid w:val="000159CB"/>
    <w:rsid w:val="00015BBE"/>
    <w:rsid w:val="0001606E"/>
    <w:rsid w:val="000163CC"/>
    <w:rsid w:val="0001644C"/>
    <w:rsid w:val="00016B4E"/>
    <w:rsid w:val="00016EA1"/>
    <w:rsid w:val="00016FCD"/>
    <w:rsid w:val="0001711D"/>
    <w:rsid w:val="000175AB"/>
    <w:rsid w:val="00017C5A"/>
    <w:rsid w:val="00017FE0"/>
    <w:rsid w:val="000200C5"/>
    <w:rsid w:val="00020270"/>
    <w:rsid w:val="000202D7"/>
    <w:rsid w:val="00020476"/>
    <w:rsid w:val="0002061C"/>
    <w:rsid w:val="000217D4"/>
    <w:rsid w:val="00021BB5"/>
    <w:rsid w:val="00021F83"/>
    <w:rsid w:val="00022CFE"/>
    <w:rsid w:val="00022EDD"/>
    <w:rsid w:val="0002357F"/>
    <w:rsid w:val="00023B55"/>
    <w:rsid w:val="00024298"/>
    <w:rsid w:val="0002467D"/>
    <w:rsid w:val="000253C0"/>
    <w:rsid w:val="00025596"/>
    <w:rsid w:val="0002644C"/>
    <w:rsid w:val="00031135"/>
    <w:rsid w:val="000315F6"/>
    <w:rsid w:val="000322E5"/>
    <w:rsid w:val="000325ED"/>
    <w:rsid w:val="000330D3"/>
    <w:rsid w:val="00033DA5"/>
    <w:rsid w:val="00033DAC"/>
    <w:rsid w:val="00033DDB"/>
    <w:rsid w:val="00034636"/>
    <w:rsid w:val="0003465E"/>
    <w:rsid w:val="000350C6"/>
    <w:rsid w:val="00035565"/>
    <w:rsid w:val="000356C5"/>
    <w:rsid w:val="00035C06"/>
    <w:rsid w:val="00036203"/>
    <w:rsid w:val="00036410"/>
    <w:rsid w:val="00037424"/>
    <w:rsid w:val="00037560"/>
    <w:rsid w:val="000375B7"/>
    <w:rsid w:val="0003781C"/>
    <w:rsid w:val="00037E01"/>
    <w:rsid w:val="000404A5"/>
    <w:rsid w:val="000415B8"/>
    <w:rsid w:val="0004169B"/>
    <w:rsid w:val="000416B6"/>
    <w:rsid w:val="00041A6B"/>
    <w:rsid w:val="00042C37"/>
    <w:rsid w:val="00043DC4"/>
    <w:rsid w:val="00043E90"/>
    <w:rsid w:val="0004403F"/>
    <w:rsid w:val="0004585A"/>
    <w:rsid w:val="00045DF5"/>
    <w:rsid w:val="00045F22"/>
    <w:rsid w:val="00046463"/>
    <w:rsid w:val="00046909"/>
    <w:rsid w:val="0004699D"/>
    <w:rsid w:val="00047225"/>
    <w:rsid w:val="00047EC9"/>
    <w:rsid w:val="0005137B"/>
    <w:rsid w:val="00051FAD"/>
    <w:rsid w:val="00052B96"/>
    <w:rsid w:val="00053256"/>
    <w:rsid w:val="000538ED"/>
    <w:rsid w:val="00054CF8"/>
    <w:rsid w:val="0005557B"/>
    <w:rsid w:val="000565B1"/>
    <w:rsid w:val="00056A9D"/>
    <w:rsid w:val="00056D5F"/>
    <w:rsid w:val="00057E01"/>
    <w:rsid w:val="0006063B"/>
    <w:rsid w:val="00060E13"/>
    <w:rsid w:val="000610CC"/>
    <w:rsid w:val="000612C2"/>
    <w:rsid w:val="00061AB9"/>
    <w:rsid w:val="00061FF6"/>
    <w:rsid w:val="000626E9"/>
    <w:rsid w:val="00062C9B"/>
    <w:rsid w:val="00063AC7"/>
    <w:rsid w:val="00063F25"/>
    <w:rsid w:val="0006532A"/>
    <w:rsid w:val="000658FC"/>
    <w:rsid w:val="00065C0E"/>
    <w:rsid w:val="00065FB1"/>
    <w:rsid w:val="000663E4"/>
    <w:rsid w:val="00066A1C"/>
    <w:rsid w:val="0006725E"/>
    <w:rsid w:val="00067320"/>
    <w:rsid w:val="00067CD0"/>
    <w:rsid w:val="00070D75"/>
    <w:rsid w:val="00070D86"/>
    <w:rsid w:val="00071063"/>
    <w:rsid w:val="000718F5"/>
    <w:rsid w:val="00071C81"/>
    <w:rsid w:val="0007262B"/>
    <w:rsid w:val="00073537"/>
    <w:rsid w:val="00074935"/>
    <w:rsid w:val="00075093"/>
    <w:rsid w:val="000750DB"/>
    <w:rsid w:val="000757AD"/>
    <w:rsid w:val="000769AD"/>
    <w:rsid w:val="00076B6F"/>
    <w:rsid w:val="000771CE"/>
    <w:rsid w:val="000778C2"/>
    <w:rsid w:val="0008057E"/>
    <w:rsid w:val="00080DC6"/>
    <w:rsid w:val="000810D3"/>
    <w:rsid w:val="0008181B"/>
    <w:rsid w:val="00082E1E"/>
    <w:rsid w:val="00084224"/>
    <w:rsid w:val="00084CCA"/>
    <w:rsid w:val="000854B2"/>
    <w:rsid w:val="000854F0"/>
    <w:rsid w:val="00085628"/>
    <w:rsid w:val="000858C3"/>
    <w:rsid w:val="0008749B"/>
    <w:rsid w:val="0008798E"/>
    <w:rsid w:val="000905E6"/>
    <w:rsid w:val="00090638"/>
    <w:rsid w:val="00090977"/>
    <w:rsid w:val="00091272"/>
    <w:rsid w:val="00091B1E"/>
    <w:rsid w:val="00092435"/>
    <w:rsid w:val="00092FE1"/>
    <w:rsid w:val="00093CF9"/>
    <w:rsid w:val="00094508"/>
    <w:rsid w:val="00094597"/>
    <w:rsid w:val="00094963"/>
    <w:rsid w:val="00094E74"/>
    <w:rsid w:val="00095496"/>
    <w:rsid w:val="0009568E"/>
    <w:rsid w:val="000974A9"/>
    <w:rsid w:val="0009774E"/>
    <w:rsid w:val="000A2779"/>
    <w:rsid w:val="000A3521"/>
    <w:rsid w:val="000A3649"/>
    <w:rsid w:val="000A3DCE"/>
    <w:rsid w:val="000A4AD1"/>
    <w:rsid w:val="000A4D24"/>
    <w:rsid w:val="000A53E9"/>
    <w:rsid w:val="000A5F2C"/>
    <w:rsid w:val="000A68D7"/>
    <w:rsid w:val="000A7687"/>
    <w:rsid w:val="000A770F"/>
    <w:rsid w:val="000A77A0"/>
    <w:rsid w:val="000A7E3C"/>
    <w:rsid w:val="000B2138"/>
    <w:rsid w:val="000B319B"/>
    <w:rsid w:val="000B3328"/>
    <w:rsid w:val="000B3819"/>
    <w:rsid w:val="000B3DC9"/>
    <w:rsid w:val="000B462D"/>
    <w:rsid w:val="000B4657"/>
    <w:rsid w:val="000B4C8A"/>
    <w:rsid w:val="000B5575"/>
    <w:rsid w:val="000B6677"/>
    <w:rsid w:val="000B6E3A"/>
    <w:rsid w:val="000C08AB"/>
    <w:rsid w:val="000C08CA"/>
    <w:rsid w:val="000C09BB"/>
    <w:rsid w:val="000C15D7"/>
    <w:rsid w:val="000C2B83"/>
    <w:rsid w:val="000C33C0"/>
    <w:rsid w:val="000C34AD"/>
    <w:rsid w:val="000C3B40"/>
    <w:rsid w:val="000C41C6"/>
    <w:rsid w:val="000C49CA"/>
    <w:rsid w:val="000C4BCE"/>
    <w:rsid w:val="000C5FCC"/>
    <w:rsid w:val="000C6260"/>
    <w:rsid w:val="000C6F13"/>
    <w:rsid w:val="000C72D5"/>
    <w:rsid w:val="000C7396"/>
    <w:rsid w:val="000C7761"/>
    <w:rsid w:val="000C7DC8"/>
    <w:rsid w:val="000D0ACC"/>
    <w:rsid w:val="000D181E"/>
    <w:rsid w:val="000D1D98"/>
    <w:rsid w:val="000D2445"/>
    <w:rsid w:val="000D2D2D"/>
    <w:rsid w:val="000D3864"/>
    <w:rsid w:val="000D596E"/>
    <w:rsid w:val="000D5E44"/>
    <w:rsid w:val="000D6133"/>
    <w:rsid w:val="000D7393"/>
    <w:rsid w:val="000D77CF"/>
    <w:rsid w:val="000E0062"/>
    <w:rsid w:val="000E0125"/>
    <w:rsid w:val="000E0E64"/>
    <w:rsid w:val="000E104E"/>
    <w:rsid w:val="000E1113"/>
    <w:rsid w:val="000E1304"/>
    <w:rsid w:val="000E1548"/>
    <w:rsid w:val="000E1916"/>
    <w:rsid w:val="000E2133"/>
    <w:rsid w:val="000E32F1"/>
    <w:rsid w:val="000E384E"/>
    <w:rsid w:val="000E479F"/>
    <w:rsid w:val="000E4E8A"/>
    <w:rsid w:val="000E56F4"/>
    <w:rsid w:val="000E5E1B"/>
    <w:rsid w:val="000E6B4B"/>
    <w:rsid w:val="000F16E3"/>
    <w:rsid w:val="000F179B"/>
    <w:rsid w:val="000F1A7C"/>
    <w:rsid w:val="000F2547"/>
    <w:rsid w:val="000F26C5"/>
    <w:rsid w:val="000F2B81"/>
    <w:rsid w:val="000F2F18"/>
    <w:rsid w:val="000F34BA"/>
    <w:rsid w:val="000F36DC"/>
    <w:rsid w:val="000F429E"/>
    <w:rsid w:val="000F55E9"/>
    <w:rsid w:val="000F5B22"/>
    <w:rsid w:val="000F6398"/>
    <w:rsid w:val="000F644B"/>
    <w:rsid w:val="000F6643"/>
    <w:rsid w:val="000F6D8A"/>
    <w:rsid w:val="000F6FFD"/>
    <w:rsid w:val="000F7647"/>
    <w:rsid w:val="0010020A"/>
    <w:rsid w:val="00100857"/>
    <w:rsid w:val="0010179C"/>
    <w:rsid w:val="00102166"/>
    <w:rsid w:val="0010496C"/>
    <w:rsid w:val="00104CE6"/>
    <w:rsid w:val="0010505D"/>
    <w:rsid w:val="001050D9"/>
    <w:rsid w:val="00105372"/>
    <w:rsid w:val="0010597D"/>
    <w:rsid w:val="00105C51"/>
    <w:rsid w:val="001064E5"/>
    <w:rsid w:val="00106E14"/>
    <w:rsid w:val="00110D20"/>
    <w:rsid w:val="0011133B"/>
    <w:rsid w:val="00111623"/>
    <w:rsid w:val="0011178F"/>
    <w:rsid w:val="00111BA3"/>
    <w:rsid w:val="00111BF1"/>
    <w:rsid w:val="00112034"/>
    <w:rsid w:val="00114277"/>
    <w:rsid w:val="00114BC3"/>
    <w:rsid w:val="00115705"/>
    <w:rsid w:val="00115966"/>
    <w:rsid w:val="00115B99"/>
    <w:rsid w:val="00115F81"/>
    <w:rsid w:val="00116E0F"/>
    <w:rsid w:val="00117099"/>
    <w:rsid w:val="001170E7"/>
    <w:rsid w:val="001174FA"/>
    <w:rsid w:val="001176A5"/>
    <w:rsid w:val="00117ADD"/>
    <w:rsid w:val="001209A0"/>
    <w:rsid w:val="00122010"/>
    <w:rsid w:val="0012228F"/>
    <w:rsid w:val="001236AD"/>
    <w:rsid w:val="00124614"/>
    <w:rsid w:val="00125E84"/>
    <w:rsid w:val="0012627B"/>
    <w:rsid w:val="001265F8"/>
    <w:rsid w:val="00126B32"/>
    <w:rsid w:val="00126E93"/>
    <w:rsid w:val="001273FD"/>
    <w:rsid w:val="00127879"/>
    <w:rsid w:val="0013057B"/>
    <w:rsid w:val="001305C4"/>
    <w:rsid w:val="001310D2"/>
    <w:rsid w:val="0013121B"/>
    <w:rsid w:val="00131D61"/>
    <w:rsid w:val="00132631"/>
    <w:rsid w:val="00136F23"/>
    <w:rsid w:val="00137AEC"/>
    <w:rsid w:val="00137C1C"/>
    <w:rsid w:val="00140809"/>
    <w:rsid w:val="00140D0A"/>
    <w:rsid w:val="00141085"/>
    <w:rsid w:val="001421FB"/>
    <w:rsid w:val="001432C1"/>
    <w:rsid w:val="00144781"/>
    <w:rsid w:val="00144F99"/>
    <w:rsid w:val="001453D5"/>
    <w:rsid w:val="0014541D"/>
    <w:rsid w:val="00145581"/>
    <w:rsid w:val="00146309"/>
    <w:rsid w:val="00147737"/>
    <w:rsid w:val="00147774"/>
    <w:rsid w:val="00150A8A"/>
    <w:rsid w:val="00151A53"/>
    <w:rsid w:val="00152100"/>
    <w:rsid w:val="0015342C"/>
    <w:rsid w:val="0015388E"/>
    <w:rsid w:val="00153E7E"/>
    <w:rsid w:val="00154615"/>
    <w:rsid w:val="001547C3"/>
    <w:rsid w:val="00154B20"/>
    <w:rsid w:val="00155D9D"/>
    <w:rsid w:val="00156D42"/>
    <w:rsid w:val="00157896"/>
    <w:rsid w:val="00160220"/>
    <w:rsid w:val="00160292"/>
    <w:rsid w:val="00160D63"/>
    <w:rsid w:val="0016186B"/>
    <w:rsid w:val="00161F22"/>
    <w:rsid w:val="0016235C"/>
    <w:rsid w:val="00162701"/>
    <w:rsid w:val="001628D7"/>
    <w:rsid w:val="0016325C"/>
    <w:rsid w:val="001638F0"/>
    <w:rsid w:val="00163EC1"/>
    <w:rsid w:val="001647E1"/>
    <w:rsid w:val="00165940"/>
    <w:rsid w:val="0016629F"/>
    <w:rsid w:val="001664BE"/>
    <w:rsid w:val="00166E96"/>
    <w:rsid w:val="001672EC"/>
    <w:rsid w:val="00167AC7"/>
    <w:rsid w:val="00170AAA"/>
    <w:rsid w:val="0017156B"/>
    <w:rsid w:val="00172241"/>
    <w:rsid w:val="00173384"/>
    <w:rsid w:val="00173F97"/>
    <w:rsid w:val="00174688"/>
    <w:rsid w:val="00175184"/>
    <w:rsid w:val="001759AF"/>
    <w:rsid w:val="00175E16"/>
    <w:rsid w:val="00176837"/>
    <w:rsid w:val="001770A8"/>
    <w:rsid w:val="00177FAB"/>
    <w:rsid w:val="00180D67"/>
    <w:rsid w:val="00180DC0"/>
    <w:rsid w:val="0018113F"/>
    <w:rsid w:val="00181370"/>
    <w:rsid w:val="00182352"/>
    <w:rsid w:val="001845E0"/>
    <w:rsid w:val="00184A64"/>
    <w:rsid w:val="00184FF5"/>
    <w:rsid w:val="001850B5"/>
    <w:rsid w:val="001857E3"/>
    <w:rsid w:val="001874BE"/>
    <w:rsid w:val="00187640"/>
    <w:rsid w:val="00187C0C"/>
    <w:rsid w:val="0019156D"/>
    <w:rsid w:val="0019172A"/>
    <w:rsid w:val="00191DD5"/>
    <w:rsid w:val="00192205"/>
    <w:rsid w:val="001933E1"/>
    <w:rsid w:val="00194315"/>
    <w:rsid w:val="00194DDD"/>
    <w:rsid w:val="00195008"/>
    <w:rsid w:val="00195353"/>
    <w:rsid w:val="00195C7E"/>
    <w:rsid w:val="001962D5"/>
    <w:rsid w:val="00196CF7"/>
    <w:rsid w:val="001971AD"/>
    <w:rsid w:val="00197B2B"/>
    <w:rsid w:val="001A0286"/>
    <w:rsid w:val="001A042C"/>
    <w:rsid w:val="001A0A5D"/>
    <w:rsid w:val="001A0C63"/>
    <w:rsid w:val="001A0D2E"/>
    <w:rsid w:val="001A1DAE"/>
    <w:rsid w:val="001A3685"/>
    <w:rsid w:val="001A3B85"/>
    <w:rsid w:val="001A3E62"/>
    <w:rsid w:val="001A3E94"/>
    <w:rsid w:val="001A4266"/>
    <w:rsid w:val="001A4FB3"/>
    <w:rsid w:val="001A50E2"/>
    <w:rsid w:val="001A5550"/>
    <w:rsid w:val="001A5B2A"/>
    <w:rsid w:val="001A6F16"/>
    <w:rsid w:val="001B0030"/>
    <w:rsid w:val="001B0323"/>
    <w:rsid w:val="001B0E96"/>
    <w:rsid w:val="001B1A4E"/>
    <w:rsid w:val="001B2A44"/>
    <w:rsid w:val="001B2B18"/>
    <w:rsid w:val="001B2EF1"/>
    <w:rsid w:val="001B3720"/>
    <w:rsid w:val="001B3AF7"/>
    <w:rsid w:val="001B3CC1"/>
    <w:rsid w:val="001B3DBD"/>
    <w:rsid w:val="001B3E66"/>
    <w:rsid w:val="001B47BA"/>
    <w:rsid w:val="001B4BC3"/>
    <w:rsid w:val="001B5293"/>
    <w:rsid w:val="001B5604"/>
    <w:rsid w:val="001B57B3"/>
    <w:rsid w:val="001B5FA4"/>
    <w:rsid w:val="001B6186"/>
    <w:rsid w:val="001B6228"/>
    <w:rsid w:val="001B64B2"/>
    <w:rsid w:val="001B6B8E"/>
    <w:rsid w:val="001B6D8F"/>
    <w:rsid w:val="001B721A"/>
    <w:rsid w:val="001B7390"/>
    <w:rsid w:val="001C1729"/>
    <w:rsid w:val="001C2214"/>
    <w:rsid w:val="001C2594"/>
    <w:rsid w:val="001C2711"/>
    <w:rsid w:val="001C3761"/>
    <w:rsid w:val="001C3C5D"/>
    <w:rsid w:val="001C3F4A"/>
    <w:rsid w:val="001C4B64"/>
    <w:rsid w:val="001C513A"/>
    <w:rsid w:val="001C516A"/>
    <w:rsid w:val="001C5DB2"/>
    <w:rsid w:val="001C5E6C"/>
    <w:rsid w:val="001C64AB"/>
    <w:rsid w:val="001C6909"/>
    <w:rsid w:val="001C6DC1"/>
    <w:rsid w:val="001C710B"/>
    <w:rsid w:val="001C7489"/>
    <w:rsid w:val="001C7665"/>
    <w:rsid w:val="001C77B5"/>
    <w:rsid w:val="001C7FC1"/>
    <w:rsid w:val="001D00DF"/>
    <w:rsid w:val="001D03B1"/>
    <w:rsid w:val="001D043C"/>
    <w:rsid w:val="001D0769"/>
    <w:rsid w:val="001D166F"/>
    <w:rsid w:val="001D1DC5"/>
    <w:rsid w:val="001D2CD3"/>
    <w:rsid w:val="001D2E51"/>
    <w:rsid w:val="001D327F"/>
    <w:rsid w:val="001D3ADA"/>
    <w:rsid w:val="001D54DC"/>
    <w:rsid w:val="001D5610"/>
    <w:rsid w:val="001D5C40"/>
    <w:rsid w:val="001D5CD5"/>
    <w:rsid w:val="001D5DDA"/>
    <w:rsid w:val="001D775E"/>
    <w:rsid w:val="001E0548"/>
    <w:rsid w:val="001E07CD"/>
    <w:rsid w:val="001E1FD3"/>
    <w:rsid w:val="001E1FDD"/>
    <w:rsid w:val="001E2262"/>
    <w:rsid w:val="001E2469"/>
    <w:rsid w:val="001E25A5"/>
    <w:rsid w:val="001E25D1"/>
    <w:rsid w:val="001E2C67"/>
    <w:rsid w:val="001E3529"/>
    <w:rsid w:val="001E3836"/>
    <w:rsid w:val="001E5212"/>
    <w:rsid w:val="001E5B68"/>
    <w:rsid w:val="001E6578"/>
    <w:rsid w:val="001E6728"/>
    <w:rsid w:val="001E691F"/>
    <w:rsid w:val="001E6CB6"/>
    <w:rsid w:val="001E6CFA"/>
    <w:rsid w:val="001E6EEE"/>
    <w:rsid w:val="001E7139"/>
    <w:rsid w:val="001E75CB"/>
    <w:rsid w:val="001E782D"/>
    <w:rsid w:val="001E7B5C"/>
    <w:rsid w:val="001F31D6"/>
    <w:rsid w:val="001F34FD"/>
    <w:rsid w:val="001F414A"/>
    <w:rsid w:val="001F472F"/>
    <w:rsid w:val="001F497F"/>
    <w:rsid w:val="001F49B3"/>
    <w:rsid w:val="001F4B96"/>
    <w:rsid w:val="001F541E"/>
    <w:rsid w:val="001F5A25"/>
    <w:rsid w:val="001F65E7"/>
    <w:rsid w:val="001F736A"/>
    <w:rsid w:val="001F7D53"/>
    <w:rsid w:val="002002F3"/>
    <w:rsid w:val="002003A2"/>
    <w:rsid w:val="0020132B"/>
    <w:rsid w:val="00201AD2"/>
    <w:rsid w:val="0020232E"/>
    <w:rsid w:val="0020321C"/>
    <w:rsid w:val="00205742"/>
    <w:rsid w:val="00205F8A"/>
    <w:rsid w:val="00206866"/>
    <w:rsid w:val="00206D1A"/>
    <w:rsid w:val="00210110"/>
    <w:rsid w:val="00210237"/>
    <w:rsid w:val="002102C6"/>
    <w:rsid w:val="00210467"/>
    <w:rsid w:val="002117A9"/>
    <w:rsid w:val="00211989"/>
    <w:rsid w:val="002122CD"/>
    <w:rsid w:val="00212961"/>
    <w:rsid w:val="00212EC5"/>
    <w:rsid w:val="00213B3F"/>
    <w:rsid w:val="00213E74"/>
    <w:rsid w:val="00214BDF"/>
    <w:rsid w:val="00215F53"/>
    <w:rsid w:val="0021610D"/>
    <w:rsid w:val="00216731"/>
    <w:rsid w:val="002172B7"/>
    <w:rsid w:val="002173F9"/>
    <w:rsid w:val="0022043F"/>
    <w:rsid w:val="00220C59"/>
    <w:rsid w:val="002214C3"/>
    <w:rsid w:val="0022186D"/>
    <w:rsid w:val="00221B70"/>
    <w:rsid w:val="00221BA9"/>
    <w:rsid w:val="0022224C"/>
    <w:rsid w:val="00222854"/>
    <w:rsid w:val="002235A3"/>
    <w:rsid w:val="00223EEC"/>
    <w:rsid w:val="00224060"/>
    <w:rsid w:val="00224535"/>
    <w:rsid w:val="00224ECA"/>
    <w:rsid w:val="0022502C"/>
    <w:rsid w:val="002266CF"/>
    <w:rsid w:val="00226C16"/>
    <w:rsid w:val="00226EFB"/>
    <w:rsid w:val="00226F74"/>
    <w:rsid w:val="00230E5D"/>
    <w:rsid w:val="00231418"/>
    <w:rsid w:val="0023218D"/>
    <w:rsid w:val="00232489"/>
    <w:rsid w:val="00233BCE"/>
    <w:rsid w:val="002340BA"/>
    <w:rsid w:val="002344CC"/>
    <w:rsid w:val="00234669"/>
    <w:rsid w:val="00234E17"/>
    <w:rsid w:val="00235497"/>
    <w:rsid w:val="00236640"/>
    <w:rsid w:val="00237717"/>
    <w:rsid w:val="00237F73"/>
    <w:rsid w:val="002403F8"/>
    <w:rsid w:val="0024124F"/>
    <w:rsid w:val="002426BC"/>
    <w:rsid w:val="00243018"/>
    <w:rsid w:val="00243AF7"/>
    <w:rsid w:val="00243D81"/>
    <w:rsid w:val="00243F44"/>
    <w:rsid w:val="002441A5"/>
    <w:rsid w:val="002442C7"/>
    <w:rsid w:val="00245085"/>
    <w:rsid w:val="002453A8"/>
    <w:rsid w:val="00246CCD"/>
    <w:rsid w:val="00246DFA"/>
    <w:rsid w:val="00246EC5"/>
    <w:rsid w:val="0024712C"/>
    <w:rsid w:val="00247176"/>
    <w:rsid w:val="002471A7"/>
    <w:rsid w:val="00247FB0"/>
    <w:rsid w:val="002545F4"/>
    <w:rsid w:val="00255403"/>
    <w:rsid w:val="0025584F"/>
    <w:rsid w:val="00257034"/>
    <w:rsid w:val="00257325"/>
    <w:rsid w:val="00257C59"/>
    <w:rsid w:val="00261151"/>
    <w:rsid w:val="0026157E"/>
    <w:rsid w:val="00261975"/>
    <w:rsid w:val="00262096"/>
    <w:rsid w:val="00262460"/>
    <w:rsid w:val="0026353A"/>
    <w:rsid w:val="00263D22"/>
    <w:rsid w:val="00264351"/>
    <w:rsid w:val="002643A1"/>
    <w:rsid w:val="002647E1"/>
    <w:rsid w:val="00264963"/>
    <w:rsid w:val="00266106"/>
    <w:rsid w:val="00266400"/>
    <w:rsid w:val="002667EB"/>
    <w:rsid w:val="00267E8B"/>
    <w:rsid w:val="0027064C"/>
    <w:rsid w:val="002717B8"/>
    <w:rsid w:val="00271BDB"/>
    <w:rsid w:val="00271F9C"/>
    <w:rsid w:val="00272048"/>
    <w:rsid w:val="002721AD"/>
    <w:rsid w:val="002724E3"/>
    <w:rsid w:val="002728F2"/>
    <w:rsid w:val="00272A60"/>
    <w:rsid w:val="00273743"/>
    <w:rsid w:val="00273CFE"/>
    <w:rsid w:val="0027402B"/>
    <w:rsid w:val="0027580C"/>
    <w:rsid w:val="00275E69"/>
    <w:rsid w:val="002762F3"/>
    <w:rsid w:val="00276BEF"/>
    <w:rsid w:val="00277A8E"/>
    <w:rsid w:val="00277E9D"/>
    <w:rsid w:val="0028031D"/>
    <w:rsid w:val="00280D4B"/>
    <w:rsid w:val="00281D61"/>
    <w:rsid w:val="002820F7"/>
    <w:rsid w:val="00282929"/>
    <w:rsid w:val="00283D85"/>
    <w:rsid w:val="0028491B"/>
    <w:rsid w:val="00284CB3"/>
    <w:rsid w:val="002851DA"/>
    <w:rsid w:val="002857C5"/>
    <w:rsid w:val="002870DB"/>
    <w:rsid w:val="0028725B"/>
    <w:rsid w:val="00287BD7"/>
    <w:rsid w:val="00287D9C"/>
    <w:rsid w:val="00290A40"/>
    <w:rsid w:val="00290F67"/>
    <w:rsid w:val="00291244"/>
    <w:rsid w:val="00291437"/>
    <w:rsid w:val="00291E16"/>
    <w:rsid w:val="00291F9B"/>
    <w:rsid w:val="00292455"/>
    <w:rsid w:val="002929EC"/>
    <w:rsid w:val="00293328"/>
    <w:rsid w:val="002934F1"/>
    <w:rsid w:val="00293D32"/>
    <w:rsid w:val="00294966"/>
    <w:rsid w:val="00294D4A"/>
    <w:rsid w:val="00296276"/>
    <w:rsid w:val="0029643B"/>
    <w:rsid w:val="002977DA"/>
    <w:rsid w:val="002A0020"/>
    <w:rsid w:val="002A070B"/>
    <w:rsid w:val="002A079F"/>
    <w:rsid w:val="002A0AC8"/>
    <w:rsid w:val="002A0D5B"/>
    <w:rsid w:val="002A0F0E"/>
    <w:rsid w:val="002A1A47"/>
    <w:rsid w:val="002A1FD5"/>
    <w:rsid w:val="002A29B0"/>
    <w:rsid w:val="002A3413"/>
    <w:rsid w:val="002A4315"/>
    <w:rsid w:val="002A44ED"/>
    <w:rsid w:val="002A5749"/>
    <w:rsid w:val="002A65DB"/>
    <w:rsid w:val="002A6A30"/>
    <w:rsid w:val="002A6F8B"/>
    <w:rsid w:val="002A78DF"/>
    <w:rsid w:val="002B0675"/>
    <w:rsid w:val="002B11A1"/>
    <w:rsid w:val="002B150C"/>
    <w:rsid w:val="002B16FE"/>
    <w:rsid w:val="002B2222"/>
    <w:rsid w:val="002B2617"/>
    <w:rsid w:val="002B2FC7"/>
    <w:rsid w:val="002B30F6"/>
    <w:rsid w:val="002B4AE7"/>
    <w:rsid w:val="002B5FF4"/>
    <w:rsid w:val="002B641B"/>
    <w:rsid w:val="002B6B9E"/>
    <w:rsid w:val="002B799D"/>
    <w:rsid w:val="002B7D01"/>
    <w:rsid w:val="002B7F7F"/>
    <w:rsid w:val="002C0ABF"/>
    <w:rsid w:val="002C171B"/>
    <w:rsid w:val="002C1987"/>
    <w:rsid w:val="002C20F7"/>
    <w:rsid w:val="002C2D91"/>
    <w:rsid w:val="002C327A"/>
    <w:rsid w:val="002C34B3"/>
    <w:rsid w:val="002C36D2"/>
    <w:rsid w:val="002C3825"/>
    <w:rsid w:val="002C3A44"/>
    <w:rsid w:val="002C622C"/>
    <w:rsid w:val="002C69D8"/>
    <w:rsid w:val="002C7238"/>
    <w:rsid w:val="002D05DC"/>
    <w:rsid w:val="002D09E6"/>
    <w:rsid w:val="002D0D6A"/>
    <w:rsid w:val="002D1369"/>
    <w:rsid w:val="002D174E"/>
    <w:rsid w:val="002D19C2"/>
    <w:rsid w:val="002D1AFE"/>
    <w:rsid w:val="002D2F72"/>
    <w:rsid w:val="002D3107"/>
    <w:rsid w:val="002D5073"/>
    <w:rsid w:val="002D6DD1"/>
    <w:rsid w:val="002D73ED"/>
    <w:rsid w:val="002D7622"/>
    <w:rsid w:val="002D779C"/>
    <w:rsid w:val="002E1FA0"/>
    <w:rsid w:val="002E21BC"/>
    <w:rsid w:val="002E2CCE"/>
    <w:rsid w:val="002E2ED1"/>
    <w:rsid w:val="002E30E5"/>
    <w:rsid w:val="002E3D0F"/>
    <w:rsid w:val="002E3E3E"/>
    <w:rsid w:val="002E3F95"/>
    <w:rsid w:val="002E42DD"/>
    <w:rsid w:val="002E522C"/>
    <w:rsid w:val="002E6F2E"/>
    <w:rsid w:val="002E761D"/>
    <w:rsid w:val="002E7A57"/>
    <w:rsid w:val="002E7AAC"/>
    <w:rsid w:val="002E7F1D"/>
    <w:rsid w:val="002F0E86"/>
    <w:rsid w:val="002F120E"/>
    <w:rsid w:val="002F1C4E"/>
    <w:rsid w:val="002F1ECE"/>
    <w:rsid w:val="002F2720"/>
    <w:rsid w:val="002F28D6"/>
    <w:rsid w:val="002F2B78"/>
    <w:rsid w:val="002F3D58"/>
    <w:rsid w:val="002F5275"/>
    <w:rsid w:val="002F5900"/>
    <w:rsid w:val="002F66C0"/>
    <w:rsid w:val="002F72C0"/>
    <w:rsid w:val="002F7315"/>
    <w:rsid w:val="002F78AD"/>
    <w:rsid w:val="003003A4"/>
    <w:rsid w:val="003003BE"/>
    <w:rsid w:val="00300A39"/>
    <w:rsid w:val="00301722"/>
    <w:rsid w:val="003029FD"/>
    <w:rsid w:val="0030372E"/>
    <w:rsid w:val="003039F1"/>
    <w:rsid w:val="00303AF3"/>
    <w:rsid w:val="0030412D"/>
    <w:rsid w:val="00304A68"/>
    <w:rsid w:val="00305845"/>
    <w:rsid w:val="00305892"/>
    <w:rsid w:val="0030742F"/>
    <w:rsid w:val="00307738"/>
    <w:rsid w:val="00307AF2"/>
    <w:rsid w:val="00310196"/>
    <w:rsid w:val="003104E2"/>
    <w:rsid w:val="003106E4"/>
    <w:rsid w:val="00310F5A"/>
    <w:rsid w:val="00311751"/>
    <w:rsid w:val="00312EC7"/>
    <w:rsid w:val="00313153"/>
    <w:rsid w:val="0031367C"/>
    <w:rsid w:val="003138FA"/>
    <w:rsid w:val="003139AF"/>
    <w:rsid w:val="003139BF"/>
    <w:rsid w:val="0031424D"/>
    <w:rsid w:val="003148DF"/>
    <w:rsid w:val="00315047"/>
    <w:rsid w:val="00315060"/>
    <w:rsid w:val="0031631C"/>
    <w:rsid w:val="00316412"/>
    <w:rsid w:val="00317269"/>
    <w:rsid w:val="003179D0"/>
    <w:rsid w:val="0032089A"/>
    <w:rsid w:val="0032167C"/>
    <w:rsid w:val="00321F84"/>
    <w:rsid w:val="00322A3C"/>
    <w:rsid w:val="00323440"/>
    <w:rsid w:val="00323E7F"/>
    <w:rsid w:val="0032471C"/>
    <w:rsid w:val="00325F65"/>
    <w:rsid w:val="00326314"/>
    <w:rsid w:val="003269C8"/>
    <w:rsid w:val="0032715F"/>
    <w:rsid w:val="00327BA9"/>
    <w:rsid w:val="003310E7"/>
    <w:rsid w:val="003313DA"/>
    <w:rsid w:val="003319C3"/>
    <w:rsid w:val="00331B40"/>
    <w:rsid w:val="00331E28"/>
    <w:rsid w:val="003321BA"/>
    <w:rsid w:val="003329F2"/>
    <w:rsid w:val="00333185"/>
    <w:rsid w:val="00333302"/>
    <w:rsid w:val="0033342D"/>
    <w:rsid w:val="00334007"/>
    <w:rsid w:val="0033418C"/>
    <w:rsid w:val="003349F7"/>
    <w:rsid w:val="00334E6E"/>
    <w:rsid w:val="00334FA8"/>
    <w:rsid w:val="00334FAD"/>
    <w:rsid w:val="00335530"/>
    <w:rsid w:val="00335858"/>
    <w:rsid w:val="00336261"/>
    <w:rsid w:val="00336625"/>
    <w:rsid w:val="003368C9"/>
    <w:rsid w:val="00336A00"/>
    <w:rsid w:val="00337554"/>
    <w:rsid w:val="00337A83"/>
    <w:rsid w:val="00341D55"/>
    <w:rsid w:val="003421BD"/>
    <w:rsid w:val="00342405"/>
    <w:rsid w:val="003424B2"/>
    <w:rsid w:val="00342753"/>
    <w:rsid w:val="00343546"/>
    <w:rsid w:val="003436F0"/>
    <w:rsid w:val="00344969"/>
    <w:rsid w:val="00344972"/>
    <w:rsid w:val="00344E01"/>
    <w:rsid w:val="00345235"/>
    <w:rsid w:val="00345719"/>
    <w:rsid w:val="0034660C"/>
    <w:rsid w:val="00346818"/>
    <w:rsid w:val="00346FDC"/>
    <w:rsid w:val="00347BF8"/>
    <w:rsid w:val="00350244"/>
    <w:rsid w:val="00350635"/>
    <w:rsid w:val="003507A9"/>
    <w:rsid w:val="003507FD"/>
    <w:rsid w:val="0035121A"/>
    <w:rsid w:val="003513A8"/>
    <w:rsid w:val="00351615"/>
    <w:rsid w:val="003518D4"/>
    <w:rsid w:val="0035193A"/>
    <w:rsid w:val="003519EE"/>
    <w:rsid w:val="00353830"/>
    <w:rsid w:val="00353C06"/>
    <w:rsid w:val="00353CB0"/>
    <w:rsid w:val="003540C1"/>
    <w:rsid w:val="003541D7"/>
    <w:rsid w:val="003550D2"/>
    <w:rsid w:val="00355AA8"/>
    <w:rsid w:val="00356321"/>
    <w:rsid w:val="003566E5"/>
    <w:rsid w:val="00356ADC"/>
    <w:rsid w:val="00356E3E"/>
    <w:rsid w:val="00357227"/>
    <w:rsid w:val="00357AB6"/>
    <w:rsid w:val="00357BBC"/>
    <w:rsid w:val="00360DB3"/>
    <w:rsid w:val="00360FD5"/>
    <w:rsid w:val="00361F10"/>
    <w:rsid w:val="00362E4F"/>
    <w:rsid w:val="0036302F"/>
    <w:rsid w:val="00365466"/>
    <w:rsid w:val="00366510"/>
    <w:rsid w:val="0036664D"/>
    <w:rsid w:val="00367F14"/>
    <w:rsid w:val="0037028F"/>
    <w:rsid w:val="00370CFD"/>
    <w:rsid w:val="0037133F"/>
    <w:rsid w:val="003714CA"/>
    <w:rsid w:val="00371808"/>
    <w:rsid w:val="00372B7F"/>
    <w:rsid w:val="0037307D"/>
    <w:rsid w:val="00373854"/>
    <w:rsid w:val="00373BC7"/>
    <w:rsid w:val="003740CF"/>
    <w:rsid w:val="0037448F"/>
    <w:rsid w:val="00374F6D"/>
    <w:rsid w:val="00375912"/>
    <w:rsid w:val="00376013"/>
    <w:rsid w:val="003763F2"/>
    <w:rsid w:val="0037677B"/>
    <w:rsid w:val="00377637"/>
    <w:rsid w:val="003816B8"/>
    <w:rsid w:val="003826D5"/>
    <w:rsid w:val="00382D0E"/>
    <w:rsid w:val="003830B7"/>
    <w:rsid w:val="00385301"/>
    <w:rsid w:val="003856C8"/>
    <w:rsid w:val="00385C6C"/>
    <w:rsid w:val="00385EA2"/>
    <w:rsid w:val="00385FB8"/>
    <w:rsid w:val="00386EA6"/>
    <w:rsid w:val="00387247"/>
    <w:rsid w:val="00387B9A"/>
    <w:rsid w:val="00387D06"/>
    <w:rsid w:val="00387FE1"/>
    <w:rsid w:val="003902AF"/>
    <w:rsid w:val="0039201F"/>
    <w:rsid w:val="00394F86"/>
    <w:rsid w:val="0039594D"/>
    <w:rsid w:val="00395EF1"/>
    <w:rsid w:val="00396F12"/>
    <w:rsid w:val="00397387"/>
    <w:rsid w:val="003A0AB2"/>
    <w:rsid w:val="003A0FE7"/>
    <w:rsid w:val="003A124B"/>
    <w:rsid w:val="003A1687"/>
    <w:rsid w:val="003A29BB"/>
    <w:rsid w:val="003A3122"/>
    <w:rsid w:val="003A3691"/>
    <w:rsid w:val="003A45AB"/>
    <w:rsid w:val="003A4EB0"/>
    <w:rsid w:val="003A5EF0"/>
    <w:rsid w:val="003A69D5"/>
    <w:rsid w:val="003A7616"/>
    <w:rsid w:val="003A7C87"/>
    <w:rsid w:val="003B11E7"/>
    <w:rsid w:val="003B1521"/>
    <w:rsid w:val="003B15C4"/>
    <w:rsid w:val="003B1656"/>
    <w:rsid w:val="003B199A"/>
    <w:rsid w:val="003B1C9C"/>
    <w:rsid w:val="003B2063"/>
    <w:rsid w:val="003B2262"/>
    <w:rsid w:val="003B25A0"/>
    <w:rsid w:val="003B2B9D"/>
    <w:rsid w:val="003B308B"/>
    <w:rsid w:val="003B3AE7"/>
    <w:rsid w:val="003B40EC"/>
    <w:rsid w:val="003B4DB7"/>
    <w:rsid w:val="003B5A8B"/>
    <w:rsid w:val="003B6433"/>
    <w:rsid w:val="003B65FD"/>
    <w:rsid w:val="003B6AA0"/>
    <w:rsid w:val="003B6F05"/>
    <w:rsid w:val="003B7BFE"/>
    <w:rsid w:val="003C0290"/>
    <w:rsid w:val="003C0B6B"/>
    <w:rsid w:val="003C172B"/>
    <w:rsid w:val="003C1A6B"/>
    <w:rsid w:val="003C2F80"/>
    <w:rsid w:val="003C3082"/>
    <w:rsid w:val="003C3228"/>
    <w:rsid w:val="003C33B7"/>
    <w:rsid w:val="003C36F9"/>
    <w:rsid w:val="003C46FD"/>
    <w:rsid w:val="003C48C1"/>
    <w:rsid w:val="003C51B6"/>
    <w:rsid w:val="003C6193"/>
    <w:rsid w:val="003D172F"/>
    <w:rsid w:val="003D1801"/>
    <w:rsid w:val="003D18DE"/>
    <w:rsid w:val="003D2022"/>
    <w:rsid w:val="003D30F7"/>
    <w:rsid w:val="003D3E08"/>
    <w:rsid w:val="003D3F30"/>
    <w:rsid w:val="003D401F"/>
    <w:rsid w:val="003D49F6"/>
    <w:rsid w:val="003D589C"/>
    <w:rsid w:val="003D58CF"/>
    <w:rsid w:val="003D5F80"/>
    <w:rsid w:val="003D6155"/>
    <w:rsid w:val="003D6A23"/>
    <w:rsid w:val="003D6F26"/>
    <w:rsid w:val="003D6F42"/>
    <w:rsid w:val="003D7055"/>
    <w:rsid w:val="003D751D"/>
    <w:rsid w:val="003E0681"/>
    <w:rsid w:val="003E080E"/>
    <w:rsid w:val="003E0D49"/>
    <w:rsid w:val="003E18C7"/>
    <w:rsid w:val="003E3147"/>
    <w:rsid w:val="003E37CC"/>
    <w:rsid w:val="003E3B68"/>
    <w:rsid w:val="003E5878"/>
    <w:rsid w:val="003E6236"/>
    <w:rsid w:val="003E67CB"/>
    <w:rsid w:val="003E6A8E"/>
    <w:rsid w:val="003E708A"/>
    <w:rsid w:val="003E7F13"/>
    <w:rsid w:val="003E7FAE"/>
    <w:rsid w:val="003F1372"/>
    <w:rsid w:val="003F5127"/>
    <w:rsid w:val="003F5934"/>
    <w:rsid w:val="003F76E1"/>
    <w:rsid w:val="003F7BE7"/>
    <w:rsid w:val="004001FD"/>
    <w:rsid w:val="0040236E"/>
    <w:rsid w:val="00403EEA"/>
    <w:rsid w:val="00404462"/>
    <w:rsid w:val="00404847"/>
    <w:rsid w:val="00404DC7"/>
    <w:rsid w:val="00405AC0"/>
    <w:rsid w:val="004072CC"/>
    <w:rsid w:val="00407AAB"/>
    <w:rsid w:val="00407F74"/>
    <w:rsid w:val="00407FED"/>
    <w:rsid w:val="0041010D"/>
    <w:rsid w:val="00410858"/>
    <w:rsid w:val="00410F1F"/>
    <w:rsid w:val="0041127A"/>
    <w:rsid w:val="004115C8"/>
    <w:rsid w:val="00411ED4"/>
    <w:rsid w:val="004122DE"/>
    <w:rsid w:val="00412656"/>
    <w:rsid w:val="004136F0"/>
    <w:rsid w:val="00413ABF"/>
    <w:rsid w:val="00414800"/>
    <w:rsid w:val="0041652D"/>
    <w:rsid w:val="00416782"/>
    <w:rsid w:val="004169C4"/>
    <w:rsid w:val="0041715E"/>
    <w:rsid w:val="004173A3"/>
    <w:rsid w:val="00422528"/>
    <w:rsid w:val="00422A0D"/>
    <w:rsid w:val="00422B4B"/>
    <w:rsid w:val="00423BA9"/>
    <w:rsid w:val="00423DBA"/>
    <w:rsid w:val="0042448A"/>
    <w:rsid w:val="00424693"/>
    <w:rsid w:val="00425340"/>
    <w:rsid w:val="00425663"/>
    <w:rsid w:val="00425EA2"/>
    <w:rsid w:val="004267B8"/>
    <w:rsid w:val="00427A46"/>
    <w:rsid w:val="00427CDC"/>
    <w:rsid w:val="00430E88"/>
    <w:rsid w:val="0043117D"/>
    <w:rsid w:val="0043151A"/>
    <w:rsid w:val="00431836"/>
    <w:rsid w:val="00431E0E"/>
    <w:rsid w:val="0043227B"/>
    <w:rsid w:val="00432B6C"/>
    <w:rsid w:val="00433336"/>
    <w:rsid w:val="00433557"/>
    <w:rsid w:val="00434005"/>
    <w:rsid w:val="004348B3"/>
    <w:rsid w:val="004356C9"/>
    <w:rsid w:val="004359D3"/>
    <w:rsid w:val="00437D4A"/>
    <w:rsid w:val="0044084B"/>
    <w:rsid w:val="00441411"/>
    <w:rsid w:val="00441866"/>
    <w:rsid w:val="00442204"/>
    <w:rsid w:val="00443A82"/>
    <w:rsid w:val="00443E08"/>
    <w:rsid w:val="00443E21"/>
    <w:rsid w:val="00444925"/>
    <w:rsid w:val="004456D9"/>
    <w:rsid w:val="00446D3C"/>
    <w:rsid w:val="00447530"/>
    <w:rsid w:val="004475FE"/>
    <w:rsid w:val="0045109F"/>
    <w:rsid w:val="004512DB"/>
    <w:rsid w:val="0045179C"/>
    <w:rsid w:val="00451DF9"/>
    <w:rsid w:val="0045269E"/>
    <w:rsid w:val="00452DD4"/>
    <w:rsid w:val="00454DF9"/>
    <w:rsid w:val="0045530D"/>
    <w:rsid w:val="004557C9"/>
    <w:rsid w:val="00455ED1"/>
    <w:rsid w:val="00456388"/>
    <w:rsid w:val="004570C8"/>
    <w:rsid w:val="0045714C"/>
    <w:rsid w:val="00457456"/>
    <w:rsid w:val="004613F1"/>
    <w:rsid w:val="00461C63"/>
    <w:rsid w:val="0046246D"/>
    <w:rsid w:val="00463F0F"/>
    <w:rsid w:val="0046411B"/>
    <w:rsid w:val="00464805"/>
    <w:rsid w:val="00465413"/>
    <w:rsid w:val="00465E93"/>
    <w:rsid w:val="0046770C"/>
    <w:rsid w:val="0047012A"/>
    <w:rsid w:val="00470533"/>
    <w:rsid w:val="00470BAC"/>
    <w:rsid w:val="00470D57"/>
    <w:rsid w:val="00471171"/>
    <w:rsid w:val="00471632"/>
    <w:rsid w:val="00471C9E"/>
    <w:rsid w:val="004720B4"/>
    <w:rsid w:val="004724EE"/>
    <w:rsid w:val="004730BA"/>
    <w:rsid w:val="004742D5"/>
    <w:rsid w:val="00474671"/>
    <w:rsid w:val="00475CC8"/>
    <w:rsid w:val="00476750"/>
    <w:rsid w:val="004769D0"/>
    <w:rsid w:val="00476D08"/>
    <w:rsid w:val="004779E0"/>
    <w:rsid w:val="00480F22"/>
    <w:rsid w:val="00481B34"/>
    <w:rsid w:val="00481D7E"/>
    <w:rsid w:val="00483E77"/>
    <w:rsid w:val="00483E94"/>
    <w:rsid w:val="00484D9C"/>
    <w:rsid w:val="004855FF"/>
    <w:rsid w:val="00485A79"/>
    <w:rsid w:val="00486267"/>
    <w:rsid w:val="00486D73"/>
    <w:rsid w:val="00486D74"/>
    <w:rsid w:val="00486D81"/>
    <w:rsid w:val="00486F78"/>
    <w:rsid w:val="004870B0"/>
    <w:rsid w:val="00487448"/>
    <w:rsid w:val="00487558"/>
    <w:rsid w:val="004875CC"/>
    <w:rsid w:val="00490BC3"/>
    <w:rsid w:val="00491256"/>
    <w:rsid w:val="00495450"/>
    <w:rsid w:val="004956EF"/>
    <w:rsid w:val="0049706C"/>
    <w:rsid w:val="00497276"/>
    <w:rsid w:val="004A03F4"/>
    <w:rsid w:val="004A0404"/>
    <w:rsid w:val="004A0AB6"/>
    <w:rsid w:val="004A16FA"/>
    <w:rsid w:val="004A1F72"/>
    <w:rsid w:val="004A3900"/>
    <w:rsid w:val="004A3D27"/>
    <w:rsid w:val="004A433C"/>
    <w:rsid w:val="004A4A6E"/>
    <w:rsid w:val="004A4FFF"/>
    <w:rsid w:val="004A542C"/>
    <w:rsid w:val="004A56CB"/>
    <w:rsid w:val="004A5D3C"/>
    <w:rsid w:val="004A5E4D"/>
    <w:rsid w:val="004A5FD6"/>
    <w:rsid w:val="004A656D"/>
    <w:rsid w:val="004A6BCC"/>
    <w:rsid w:val="004A7CE4"/>
    <w:rsid w:val="004B0198"/>
    <w:rsid w:val="004B0576"/>
    <w:rsid w:val="004B0618"/>
    <w:rsid w:val="004B067D"/>
    <w:rsid w:val="004B12DB"/>
    <w:rsid w:val="004B1DFC"/>
    <w:rsid w:val="004B1EE7"/>
    <w:rsid w:val="004B2141"/>
    <w:rsid w:val="004B2582"/>
    <w:rsid w:val="004B6168"/>
    <w:rsid w:val="004B7104"/>
    <w:rsid w:val="004C0C8B"/>
    <w:rsid w:val="004C131B"/>
    <w:rsid w:val="004C15AF"/>
    <w:rsid w:val="004C201B"/>
    <w:rsid w:val="004C259A"/>
    <w:rsid w:val="004C2602"/>
    <w:rsid w:val="004C26DA"/>
    <w:rsid w:val="004C3307"/>
    <w:rsid w:val="004C37A0"/>
    <w:rsid w:val="004C4B97"/>
    <w:rsid w:val="004C4C1C"/>
    <w:rsid w:val="004C4C55"/>
    <w:rsid w:val="004C4F20"/>
    <w:rsid w:val="004C554A"/>
    <w:rsid w:val="004C66D7"/>
    <w:rsid w:val="004C6750"/>
    <w:rsid w:val="004C6FA4"/>
    <w:rsid w:val="004C70C9"/>
    <w:rsid w:val="004C7654"/>
    <w:rsid w:val="004D0866"/>
    <w:rsid w:val="004D0A01"/>
    <w:rsid w:val="004D13B0"/>
    <w:rsid w:val="004D1F7B"/>
    <w:rsid w:val="004D4B27"/>
    <w:rsid w:val="004D4EA5"/>
    <w:rsid w:val="004D4F9B"/>
    <w:rsid w:val="004D524A"/>
    <w:rsid w:val="004D67E9"/>
    <w:rsid w:val="004D7151"/>
    <w:rsid w:val="004D7379"/>
    <w:rsid w:val="004E0095"/>
    <w:rsid w:val="004E0413"/>
    <w:rsid w:val="004E0825"/>
    <w:rsid w:val="004E0847"/>
    <w:rsid w:val="004E089D"/>
    <w:rsid w:val="004E11AB"/>
    <w:rsid w:val="004E19B3"/>
    <w:rsid w:val="004E2AEA"/>
    <w:rsid w:val="004E3614"/>
    <w:rsid w:val="004E3E4B"/>
    <w:rsid w:val="004E4632"/>
    <w:rsid w:val="004E4E2F"/>
    <w:rsid w:val="004E5179"/>
    <w:rsid w:val="004E56B1"/>
    <w:rsid w:val="004E5770"/>
    <w:rsid w:val="004E6011"/>
    <w:rsid w:val="004E7B59"/>
    <w:rsid w:val="004F01B7"/>
    <w:rsid w:val="004F115F"/>
    <w:rsid w:val="004F1A9D"/>
    <w:rsid w:val="004F39E9"/>
    <w:rsid w:val="004F3DF2"/>
    <w:rsid w:val="004F42CB"/>
    <w:rsid w:val="004F4425"/>
    <w:rsid w:val="004F480F"/>
    <w:rsid w:val="004F4B1C"/>
    <w:rsid w:val="004F4DCD"/>
    <w:rsid w:val="004F547D"/>
    <w:rsid w:val="004F5494"/>
    <w:rsid w:val="004F59ED"/>
    <w:rsid w:val="004F5CAF"/>
    <w:rsid w:val="004F6139"/>
    <w:rsid w:val="004F6B23"/>
    <w:rsid w:val="004F78BC"/>
    <w:rsid w:val="004F7C1D"/>
    <w:rsid w:val="00500348"/>
    <w:rsid w:val="005010FE"/>
    <w:rsid w:val="00501817"/>
    <w:rsid w:val="00501963"/>
    <w:rsid w:val="005020D2"/>
    <w:rsid w:val="005033C1"/>
    <w:rsid w:val="005036BE"/>
    <w:rsid w:val="00503C74"/>
    <w:rsid w:val="00503C89"/>
    <w:rsid w:val="00503F19"/>
    <w:rsid w:val="005044CE"/>
    <w:rsid w:val="00504672"/>
    <w:rsid w:val="00504989"/>
    <w:rsid w:val="005049B1"/>
    <w:rsid w:val="0050552C"/>
    <w:rsid w:val="005058F3"/>
    <w:rsid w:val="00505ECD"/>
    <w:rsid w:val="00506A70"/>
    <w:rsid w:val="00506D41"/>
    <w:rsid w:val="005072C7"/>
    <w:rsid w:val="00507CAC"/>
    <w:rsid w:val="00507E7C"/>
    <w:rsid w:val="00507EC8"/>
    <w:rsid w:val="005106AF"/>
    <w:rsid w:val="00510928"/>
    <w:rsid w:val="005109E5"/>
    <w:rsid w:val="00510BA4"/>
    <w:rsid w:val="00510F44"/>
    <w:rsid w:val="00510FCD"/>
    <w:rsid w:val="005110C3"/>
    <w:rsid w:val="005110E4"/>
    <w:rsid w:val="00511FE8"/>
    <w:rsid w:val="00513BDC"/>
    <w:rsid w:val="00513C4C"/>
    <w:rsid w:val="0051531C"/>
    <w:rsid w:val="005153FA"/>
    <w:rsid w:val="00515DD3"/>
    <w:rsid w:val="00515E2E"/>
    <w:rsid w:val="00516408"/>
    <w:rsid w:val="005165B3"/>
    <w:rsid w:val="00516A07"/>
    <w:rsid w:val="00516B37"/>
    <w:rsid w:val="00516D27"/>
    <w:rsid w:val="005178F5"/>
    <w:rsid w:val="005179E8"/>
    <w:rsid w:val="00517F9C"/>
    <w:rsid w:val="0052099C"/>
    <w:rsid w:val="00522570"/>
    <w:rsid w:val="005232C0"/>
    <w:rsid w:val="00523821"/>
    <w:rsid w:val="00523BAA"/>
    <w:rsid w:val="005266F6"/>
    <w:rsid w:val="00526F3F"/>
    <w:rsid w:val="00526F5A"/>
    <w:rsid w:val="0052742C"/>
    <w:rsid w:val="0052778F"/>
    <w:rsid w:val="00527D3A"/>
    <w:rsid w:val="0053242F"/>
    <w:rsid w:val="00532A41"/>
    <w:rsid w:val="00532EEF"/>
    <w:rsid w:val="005338B7"/>
    <w:rsid w:val="00533B7B"/>
    <w:rsid w:val="00533E62"/>
    <w:rsid w:val="00533FF5"/>
    <w:rsid w:val="00534150"/>
    <w:rsid w:val="005348B2"/>
    <w:rsid w:val="00536499"/>
    <w:rsid w:val="00537D4E"/>
    <w:rsid w:val="00540A87"/>
    <w:rsid w:val="00542A2F"/>
    <w:rsid w:val="00542A82"/>
    <w:rsid w:val="005431FD"/>
    <w:rsid w:val="00544A5F"/>
    <w:rsid w:val="00544AFD"/>
    <w:rsid w:val="00545F28"/>
    <w:rsid w:val="00546C64"/>
    <w:rsid w:val="00547244"/>
    <w:rsid w:val="00547499"/>
    <w:rsid w:val="00547613"/>
    <w:rsid w:val="005501DF"/>
    <w:rsid w:val="00551078"/>
    <w:rsid w:val="00551133"/>
    <w:rsid w:val="005511C7"/>
    <w:rsid w:val="00551A7F"/>
    <w:rsid w:val="00552784"/>
    <w:rsid w:val="00553195"/>
    <w:rsid w:val="00553CB2"/>
    <w:rsid w:val="0055453E"/>
    <w:rsid w:val="00554673"/>
    <w:rsid w:val="00560603"/>
    <w:rsid w:val="005611B5"/>
    <w:rsid w:val="0056149B"/>
    <w:rsid w:val="005615DB"/>
    <w:rsid w:val="005638CD"/>
    <w:rsid w:val="00563E38"/>
    <w:rsid w:val="00564221"/>
    <w:rsid w:val="0056436F"/>
    <w:rsid w:val="00564F62"/>
    <w:rsid w:val="00565B65"/>
    <w:rsid w:val="005660B2"/>
    <w:rsid w:val="005676CF"/>
    <w:rsid w:val="00567AB6"/>
    <w:rsid w:val="00570286"/>
    <w:rsid w:val="00572266"/>
    <w:rsid w:val="005729F4"/>
    <w:rsid w:val="00573A37"/>
    <w:rsid w:val="00573E75"/>
    <w:rsid w:val="005756E8"/>
    <w:rsid w:val="00575CA9"/>
    <w:rsid w:val="00575E8F"/>
    <w:rsid w:val="00575EE8"/>
    <w:rsid w:val="00575F8F"/>
    <w:rsid w:val="00577372"/>
    <w:rsid w:val="005815D7"/>
    <w:rsid w:val="00581814"/>
    <w:rsid w:val="0058188F"/>
    <w:rsid w:val="005818D9"/>
    <w:rsid w:val="00582546"/>
    <w:rsid w:val="0058316A"/>
    <w:rsid w:val="00583572"/>
    <w:rsid w:val="005844B4"/>
    <w:rsid w:val="005845AF"/>
    <w:rsid w:val="0058466E"/>
    <w:rsid w:val="005849D7"/>
    <w:rsid w:val="00584D89"/>
    <w:rsid w:val="0058514E"/>
    <w:rsid w:val="00585B4F"/>
    <w:rsid w:val="00585FB1"/>
    <w:rsid w:val="005867C0"/>
    <w:rsid w:val="00586DCC"/>
    <w:rsid w:val="00590407"/>
    <w:rsid w:val="005905E9"/>
    <w:rsid w:val="005909D7"/>
    <w:rsid w:val="00590F2E"/>
    <w:rsid w:val="00591388"/>
    <w:rsid w:val="005916B2"/>
    <w:rsid w:val="00591CD5"/>
    <w:rsid w:val="005941AE"/>
    <w:rsid w:val="00594470"/>
    <w:rsid w:val="00594937"/>
    <w:rsid w:val="00596F91"/>
    <w:rsid w:val="00597362"/>
    <w:rsid w:val="005A0EA7"/>
    <w:rsid w:val="005A294D"/>
    <w:rsid w:val="005A2CF9"/>
    <w:rsid w:val="005A3151"/>
    <w:rsid w:val="005A358B"/>
    <w:rsid w:val="005A3866"/>
    <w:rsid w:val="005A3ACC"/>
    <w:rsid w:val="005A4ED1"/>
    <w:rsid w:val="005A5575"/>
    <w:rsid w:val="005A5785"/>
    <w:rsid w:val="005A5D5B"/>
    <w:rsid w:val="005A6DCD"/>
    <w:rsid w:val="005A7060"/>
    <w:rsid w:val="005A75EE"/>
    <w:rsid w:val="005A78DE"/>
    <w:rsid w:val="005A7C9F"/>
    <w:rsid w:val="005B1A5B"/>
    <w:rsid w:val="005B1C56"/>
    <w:rsid w:val="005B1D54"/>
    <w:rsid w:val="005B1E21"/>
    <w:rsid w:val="005B213E"/>
    <w:rsid w:val="005B3665"/>
    <w:rsid w:val="005B41CB"/>
    <w:rsid w:val="005B4B28"/>
    <w:rsid w:val="005B4DA6"/>
    <w:rsid w:val="005B5107"/>
    <w:rsid w:val="005B55F5"/>
    <w:rsid w:val="005B5DA9"/>
    <w:rsid w:val="005B65E2"/>
    <w:rsid w:val="005B758E"/>
    <w:rsid w:val="005C20F1"/>
    <w:rsid w:val="005C212A"/>
    <w:rsid w:val="005C225B"/>
    <w:rsid w:val="005C266C"/>
    <w:rsid w:val="005C37BC"/>
    <w:rsid w:val="005C3C5B"/>
    <w:rsid w:val="005C460B"/>
    <w:rsid w:val="005C487B"/>
    <w:rsid w:val="005C551F"/>
    <w:rsid w:val="005C5842"/>
    <w:rsid w:val="005C60E7"/>
    <w:rsid w:val="005C621A"/>
    <w:rsid w:val="005C6901"/>
    <w:rsid w:val="005C79BC"/>
    <w:rsid w:val="005C79E2"/>
    <w:rsid w:val="005C7ECD"/>
    <w:rsid w:val="005C7F8D"/>
    <w:rsid w:val="005D004F"/>
    <w:rsid w:val="005D0BBE"/>
    <w:rsid w:val="005D226E"/>
    <w:rsid w:val="005D2993"/>
    <w:rsid w:val="005D2A26"/>
    <w:rsid w:val="005D3C75"/>
    <w:rsid w:val="005D48E2"/>
    <w:rsid w:val="005D516E"/>
    <w:rsid w:val="005D5AB4"/>
    <w:rsid w:val="005D5B2B"/>
    <w:rsid w:val="005D5BEC"/>
    <w:rsid w:val="005D62E2"/>
    <w:rsid w:val="005D66D6"/>
    <w:rsid w:val="005D69F7"/>
    <w:rsid w:val="005D6A39"/>
    <w:rsid w:val="005D7628"/>
    <w:rsid w:val="005D7A1C"/>
    <w:rsid w:val="005D7A6F"/>
    <w:rsid w:val="005E0098"/>
    <w:rsid w:val="005E0E5E"/>
    <w:rsid w:val="005E0E8D"/>
    <w:rsid w:val="005E1282"/>
    <w:rsid w:val="005E211F"/>
    <w:rsid w:val="005E23E8"/>
    <w:rsid w:val="005E32B1"/>
    <w:rsid w:val="005E4D10"/>
    <w:rsid w:val="005E5BF7"/>
    <w:rsid w:val="005E5C0F"/>
    <w:rsid w:val="005E6C03"/>
    <w:rsid w:val="005E768F"/>
    <w:rsid w:val="005E7B47"/>
    <w:rsid w:val="005F1313"/>
    <w:rsid w:val="005F16C2"/>
    <w:rsid w:val="005F1D07"/>
    <w:rsid w:val="005F2164"/>
    <w:rsid w:val="005F24E3"/>
    <w:rsid w:val="005F378B"/>
    <w:rsid w:val="005F3864"/>
    <w:rsid w:val="005F3C38"/>
    <w:rsid w:val="005F41BD"/>
    <w:rsid w:val="005F53F6"/>
    <w:rsid w:val="005F58D1"/>
    <w:rsid w:val="005F5980"/>
    <w:rsid w:val="005F673A"/>
    <w:rsid w:val="005F67E7"/>
    <w:rsid w:val="005F69BD"/>
    <w:rsid w:val="005F77EE"/>
    <w:rsid w:val="00600263"/>
    <w:rsid w:val="00600A6C"/>
    <w:rsid w:val="00601FE3"/>
    <w:rsid w:val="006030E6"/>
    <w:rsid w:val="0060311E"/>
    <w:rsid w:val="006052B1"/>
    <w:rsid w:val="00605906"/>
    <w:rsid w:val="00605F14"/>
    <w:rsid w:val="0060653F"/>
    <w:rsid w:val="006067F2"/>
    <w:rsid w:val="0060680C"/>
    <w:rsid w:val="00606BE1"/>
    <w:rsid w:val="00607F5F"/>
    <w:rsid w:val="00610093"/>
    <w:rsid w:val="006107A9"/>
    <w:rsid w:val="00610F16"/>
    <w:rsid w:val="006111A9"/>
    <w:rsid w:val="00611211"/>
    <w:rsid w:val="006112AE"/>
    <w:rsid w:val="00611CAF"/>
    <w:rsid w:val="00611D30"/>
    <w:rsid w:val="006130AD"/>
    <w:rsid w:val="00613549"/>
    <w:rsid w:val="00614986"/>
    <w:rsid w:val="0061505D"/>
    <w:rsid w:val="006156D1"/>
    <w:rsid w:val="006159A1"/>
    <w:rsid w:val="00615C03"/>
    <w:rsid w:val="00617221"/>
    <w:rsid w:val="0061752F"/>
    <w:rsid w:val="006175A5"/>
    <w:rsid w:val="006208EC"/>
    <w:rsid w:val="00620F29"/>
    <w:rsid w:val="00621BDC"/>
    <w:rsid w:val="00621BF7"/>
    <w:rsid w:val="00622595"/>
    <w:rsid w:val="006225CB"/>
    <w:rsid w:val="006226FA"/>
    <w:rsid w:val="0062270C"/>
    <w:rsid w:val="00623215"/>
    <w:rsid w:val="00623CD4"/>
    <w:rsid w:val="00623E5A"/>
    <w:rsid w:val="0062426C"/>
    <w:rsid w:val="00624D6B"/>
    <w:rsid w:val="0062586F"/>
    <w:rsid w:val="00625E3F"/>
    <w:rsid w:val="00627BCA"/>
    <w:rsid w:val="006318F2"/>
    <w:rsid w:val="00631DC3"/>
    <w:rsid w:val="006332BE"/>
    <w:rsid w:val="006336A5"/>
    <w:rsid w:val="006341B6"/>
    <w:rsid w:val="006341FF"/>
    <w:rsid w:val="006344EE"/>
    <w:rsid w:val="0063496C"/>
    <w:rsid w:val="00634EFB"/>
    <w:rsid w:val="00635650"/>
    <w:rsid w:val="00636533"/>
    <w:rsid w:val="00636C34"/>
    <w:rsid w:val="006372CF"/>
    <w:rsid w:val="006413F6"/>
    <w:rsid w:val="0064258D"/>
    <w:rsid w:val="006428B5"/>
    <w:rsid w:val="00642B89"/>
    <w:rsid w:val="0064359D"/>
    <w:rsid w:val="00643FDF"/>
    <w:rsid w:val="0064517D"/>
    <w:rsid w:val="00645412"/>
    <w:rsid w:val="00645489"/>
    <w:rsid w:val="0064559E"/>
    <w:rsid w:val="00645729"/>
    <w:rsid w:val="00646A28"/>
    <w:rsid w:val="006471DF"/>
    <w:rsid w:val="006476B3"/>
    <w:rsid w:val="00647AFD"/>
    <w:rsid w:val="00650056"/>
    <w:rsid w:val="006504EE"/>
    <w:rsid w:val="0065129D"/>
    <w:rsid w:val="00652A9E"/>
    <w:rsid w:val="0065313C"/>
    <w:rsid w:val="00653501"/>
    <w:rsid w:val="00653E86"/>
    <w:rsid w:val="006540F2"/>
    <w:rsid w:val="00654B8F"/>
    <w:rsid w:val="00654FBC"/>
    <w:rsid w:val="006558E0"/>
    <w:rsid w:val="00655A0A"/>
    <w:rsid w:val="00656530"/>
    <w:rsid w:val="006566BE"/>
    <w:rsid w:val="0065704A"/>
    <w:rsid w:val="006606B8"/>
    <w:rsid w:val="006608E1"/>
    <w:rsid w:val="00661F45"/>
    <w:rsid w:val="006625EC"/>
    <w:rsid w:val="0066282C"/>
    <w:rsid w:val="006630F9"/>
    <w:rsid w:val="006631E0"/>
    <w:rsid w:val="0066380B"/>
    <w:rsid w:val="006638AD"/>
    <w:rsid w:val="00663B5B"/>
    <w:rsid w:val="00663B8E"/>
    <w:rsid w:val="00663BD7"/>
    <w:rsid w:val="00663C18"/>
    <w:rsid w:val="006640F0"/>
    <w:rsid w:val="00664127"/>
    <w:rsid w:val="006642A2"/>
    <w:rsid w:val="0066460B"/>
    <w:rsid w:val="0066484A"/>
    <w:rsid w:val="0066527F"/>
    <w:rsid w:val="00666311"/>
    <w:rsid w:val="00666A01"/>
    <w:rsid w:val="00666FB9"/>
    <w:rsid w:val="0067056A"/>
    <w:rsid w:val="0067103F"/>
    <w:rsid w:val="006716A6"/>
    <w:rsid w:val="00671935"/>
    <w:rsid w:val="00671C4C"/>
    <w:rsid w:val="0067333B"/>
    <w:rsid w:val="0067353C"/>
    <w:rsid w:val="006739EC"/>
    <w:rsid w:val="00673F2E"/>
    <w:rsid w:val="00673F46"/>
    <w:rsid w:val="00673F6A"/>
    <w:rsid w:val="006741A7"/>
    <w:rsid w:val="00674AA7"/>
    <w:rsid w:val="00674C17"/>
    <w:rsid w:val="0067508A"/>
    <w:rsid w:val="00677192"/>
    <w:rsid w:val="00677A7C"/>
    <w:rsid w:val="00677CC0"/>
    <w:rsid w:val="006803EC"/>
    <w:rsid w:val="00680BF8"/>
    <w:rsid w:val="0068135A"/>
    <w:rsid w:val="0068178E"/>
    <w:rsid w:val="0068315C"/>
    <w:rsid w:val="0068326C"/>
    <w:rsid w:val="00683C67"/>
    <w:rsid w:val="00684844"/>
    <w:rsid w:val="00685F11"/>
    <w:rsid w:val="00686039"/>
    <w:rsid w:val="0068683F"/>
    <w:rsid w:val="00687448"/>
    <w:rsid w:val="0068746F"/>
    <w:rsid w:val="006877F8"/>
    <w:rsid w:val="006902DB"/>
    <w:rsid w:val="006909B0"/>
    <w:rsid w:val="00690B13"/>
    <w:rsid w:val="00691198"/>
    <w:rsid w:val="0069156B"/>
    <w:rsid w:val="0069178F"/>
    <w:rsid w:val="00691C06"/>
    <w:rsid w:val="00691E1B"/>
    <w:rsid w:val="006923D6"/>
    <w:rsid w:val="0069257D"/>
    <w:rsid w:val="006927C7"/>
    <w:rsid w:val="00692B1A"/>
    <w:rsid w:val="006931D7"/>
    <w:rsid w:val="006933C5"/>
    <w:rsid w:val="0069369B"/>
    <w:rsid w:val="00693ADC"/>
    <w:rsid w:val="00693E07"/>
    <w:rsid w:val="00693E97"/>
    <w:rsid w:val="00694166"/>
    <w:rsid w:val="006947A6"/>
    <w:rsid w:val="006949CF"/>
    <w:rsid w:val="00695422"/>
    <w:rsid w:val="00695746"/>
    <w:rsid w:val="00695889"/>
    <w:rsid w:val="00695E22"/>
    <w:rsid w:val="00696812"/>
    <w:rsid w:val="00696DD1"/>
    <w:rsid w:val="00697153"/>
    <w:rsid w:val="00697AB8"/>
    <w:rsid w:val="006A025D"/>
    <w:rsid w:val="006A0635"/>
    <w:rsid w:val="006A1F4F"/>
    <w:rsid w:val="006A23C2"/>
    <w:rsid w:val="006A2D3F"/>
    <w:rsid w:val="006A2E57"/>
    <w:rsid w:val="006A31B9"/>
    <w:rsid w:val="006A4449"/>
    <w:rsid w:val="006A4DC6"/>
    <w:rsid w:val="006A5BC8"/>
    <w:rsid w:val="006A5DDD"/>
    <w:rsid w:val="006A6D8E"/>
    <w:rsid w:val="006B0E28"/>
    <w:rsid w:val="006B184B"/>
    <w:rsid w:val="006B1B4E"/>
    <w:rsid w:val="006B2615"/>
    <w:rsid w:val="006B27AE"/>
    <w:rsid w:val="006B289B"/>
    <w:rsid w:val="006B3BA3"/>
    <w:rsid w:val="006B3D15"/>
    <w:rsid w:val="006B4A23"/>
    <w:rsid w:val="006B50A9"/>
    <w:rsid w:val="006B5D50"/>
    <w:rsid w:val="006B6575"/>
    <w:rsid w:val="006B717E"/>
    <w:rsid w:val="006B7AD0"/>
    <w:rsid w:val="006C0839"/>
    <w:rsid w:val="006C0910"/>
    <w:rsid w:val="006C117C"/>
    <w:rsid w:val="006C1800"/>
    <w:rsid w:val="006C1C6D"/>
    <w:rsid w:val="006C2D4F"/>
    <w:rsid w:val="006C33C6"/>
    <w:rsid w:val="006C34F9"/>
    <w:rsid w:val="006C416B"/>
    <w:rsid w:val="006C416F"/>
    <w:rsid w:val="006C4E90"/>
    <w:rsid w:val="006C55A1"/>
    <w:rsid w:val="006C6D40"/>
    <w:rsid w:val="006C7F32"/>
    <w:rsid w:val="006C7F3E"/>
    <w:rsid w:val="006D0051"/>
    <w:rsid w:val="006D0232"/>
    <w:rsid w:val="006D0806"/>
    <w:rsid w:val="006D187B"/>
    <w:rsid w:val="006D2041"/>
    <w:rsid w:val="006D2404"/>
    <w:rsid w:val="006D2678"/>
    <w:rsid w:val="006D2B29"/>
    <w:rsid w:val="006D3417"/>
    <w:rsid w:val="006D34AA"/>
    <w:rsid w:val="006D6199"/>
    <w:rsid w:val="006D6770"/>
    <w:rsid w:val="006D7C75"/>
    <w:rsid w:val="006E0A9B"/>
    <w:rsid w:val="006E28FD"/>
    <w:rsid w:val="006E306F"/>
    <w:rsid w:val="006E3607"/>
    <w:rsid w:val="006E44B1"/>
    <w:rsid w:val="006E4C8A"/>
    <w:rsid w:val="006F0CC7"/>
    <w:rsid w:val="006F10C7"/>
    <w:rsid w:val="006F16E5"/>
    <w:rsid w:val="006F1E4A"/>
    <w:rsid w:val="006F3026"/>
    <w:rsid w:val="006F468E"/>
    <w:rsid w:val="006F5944"/>
    <w:rsid w:val="006F6B03"/>
    <w:rsid w:val="006F6D6C"/>
    <w:rsid w:val="006F7D8C"/>
    <w:rsid w:val="00700BD1"/>
    <w:rsid w:val="0070135F"/>
    <w:rsid w:val="00702489"/>
    <w:rsid w:val="00704129"/>
    <w:rsid w:val="0070584B"/>
    <w:rsid w:val="0071016B"/>
    <w:rsid w:val="00710AAD"/>
    <w:rsid w:val="00710F03"/>
    <w:rsid w:val="0071199A"/>
    <w:rsid w:val="0071279D"/>
    <w:rsid w:val="00712AB0"/>
    <w:rsid w:val="00713A92"/>
    <w:rsid w:val="00713BEF"/>
    <w:rsid w:val="007144D2"/>
    <w:rsid w:val="00715363"/>
    <w:rsid w:val="0071576B"/>
    <w:rsid w:val="00715979"/>
    <w:rsid w:val="00715F53"/>
    <w:rsid w:val="00716007"/>
    <w:rsid w:val="00717462"/>
    <w:rsid w:val="007203B3"/>
    <w:rsid w:val="00720659"/>
    <w:rsid w:val="007215FA"/>
    <w:rsid w:val="00721908"/>
    <w:rsid w:val="007227D9"/>
    <w:rsid w:val="007228D5"/>
    <w:rsid w:val="0072299B"/>
    <w:rsid w:val="00724470"/>
    <w:rsid w:val="00724648"/>
    <w:rsid w:val="00724D4A"/>
    <w:rsid w:val="00726D42"/>
    <w:rsid w:val="00727854"/>
    <w:rsid w:val="0073038E"/>
    <w:rsid w:val="007305FF"/>
    <w:rsid w:val="007309E9"/>
    <w:rsid w:val="00731202"/>
    <w:rsid w:val="00732E30"/>
    <w:rsid w:val="00734B52"/>
    <w:rsid w:val="00736D96"/>
    <w:rsid w:val="00736F49"/>
    <w:rsid w:val="007370FD"/>
    <w:rsid w:val="00737236"/>
    <w:rsid w:val="007377A7"/>
    <w:rsid w:val="00737D43"/>
    <w:rsid w:val="00737D69"/>
    <w:rsid w:val="0074064E"/>
    <w:rsid w:val="007408CF"/>
    <w:rsid w:val="0074091D"/>
    <w:rsid w:val="00740CD0"/>
    <w:rsid w:val="00741648"/>
    <w:rsid w:val="0074192A"/>
    <w:rsid w:val="00741F10"/>
    <w:rsid w:val="00742A14"/>
    <w:rsid w:val="00743A3A"/>
    <w:rsid w:val="00744CB6"/>
    <w:rsid w:val="007453E6"/>
    <w:rsid w:val="007457F2"/>
    <w:rsid w:val="00746239"/>
    <w:rsid w:val="007465D9"/>
    <w:rsid w:val="00746A25"/>
    <w:rsid w:val="007472D6"/>
    <w:rsid w:val="00747357"/>
    <w:rsid w:val="0074757B"/>
    <w:rsid w:val="00747C73"/>
    <w:rsid w:val="007513B4"/>
    <w:rsid w:val="00752A8B"/>
    <w:rsid w:val="00752C1F"/>
    <w:rsid w:val="007532BE"/>
    <w:rsid w:val="007535C1"/>
    <w:rsid w:val="007535C7"/>
    <w:rsid w:val="007536C2"/>
    <w:rsid w:val="00754BC9"/>
    <w:rsid w:val="007558FC"/>
    <w:rsid w:val="007559E1"/>
    <w:rsid w:val="00755CF4"/>
    <w:rsid w:val="00756064"/>
    <w:rsid w:val="00756EEE"/>
    <w:rsid w:val="007572E1"/>
    <w:rsid w:val="00761619"/>
    <w:rsid w:val="00761A72"/>
    <w:rsid w:val="007626B7"/>
    <w:rsid w:val="007629E4"/>
    <w:rsid w:val="007629F2"/>
    <w:rsid w:val="00762C15"/>
    <w:rsid w:val="00763056"/>
    <w:rsid w:val="00764786"/>
    <w:rsid w:val="00764BB9"/>
    <w:rsid w:val="0076538A"/>
    <w:rsid w:val="0076564C"/>
    <w:rsid w:val="00765EBF"/>
    <w:rsid w:val="007660E6"/>
    <w:rsid w:val="00766AA5"/>
    <w:rsid w:val="00770B2D"/>
    <w:rsid w:val="00770E90"/>
    <w:rsid w:val="007716D7"/>
    <w:rsid w:val="00771C13"/>
    <w:rsid w:val="00772708"/>
    <w:rsid w:val="00772897"/>
    <w:rsid w:val="00772EF9"/>
    <w:rsid w:val="00773EFA"/>
    <w:rsid w:val="00774C63"/>
    <w:rsid w:val="007752B3"/>
    <w:rsid w:val="00775E77"/>
    <w:rsid w:val="00776DDC"/>
    <w:rsid w:val="00776E1C"/>
    <w:rsid w:val="00777698"/>
    <w:rsid w:val="0078016A"/>
    <w:rsid w:val="00780486"/>
    <w:rsid w:val="00780722"/>
    <w:rsid w:val="007808E9"/>
    <w:rsid w:val="00781964"/>
    <w:rsid w:val="00782BB8"/>
    <w:rsid w:val="00783F09"/>
    <w:rsid w:val="00784A8E"/>
    <w:rsid w:val="00785891"/>
    <w:rsid w:val="007860AE"/>
    <w:rsid w:val="00786946"/>
    <w:rsid w:val="007869F6"/>
    <w:rsid w:val="00786CEB"/>
    <w:rsid w:val="00787244"/>
    <w:rsid w:val="00787297"/>
    <w:rsid w:val="007876B9"/>
    <w:rsid w:val="00787DE0"/>
    <w:rsid w:val="007902D2"/>
    <w:rsid w:val="007902EB"/>
    <w:rsid w:val="00790ED0"/>
    <w:rsid w:val="007919B9"/>
    <w:rsid w:val="00791F53"/>
    <w:rsid w:val="00792A1A"/>
    <w:rsid w:val="0079372C"/>
    <w:rsid w:val="00793848"/>
    <w:rsid w:val="00793967"/>
    <w:rsid w:val="00793E89"/>
    <w:rsid w:val="00794325"/>
    <w:rsid w:val="0079454A"/>
    <w:rsid w:val="00794BFA"/>
    <w:rsid w:val="00794EE5"/>
    <w:rsid w:val="0079650E"/>
    <w:rsid w:val="007966CD"/>
    <w:rsid w:val="00797AC0"/>
    <w:rsid w:val="00797ECC"/>
    <w:rsid w:val="007A0239"/>
    <w:rsid w:val="007A05F9"/>
    <w:rsid w:val="007A087E"/>
    <w:rsid w:val="007A0B60"/>
    <w:rsid w:val="007A111B"/>
    <w:rsid w:val="007A14EA"/>
    <w:rsid w:val="007A29EB"/>
    <w:rsid w:val="007A2B6D"/>
    <w:rsid w:val="007A3A70"/>
    <w:rsid w:val="007A3B01"/>
    <w:rsid w:val="007A4C88"/>
    <w:rsid w:val="007A4E2C"/>
    <w:rsid w:val="007A4EB6"/>
    <w:rsid w:val="007A4EFE"/>
    <w:rsid w:val="007A69B9"/>
    <w:rsid w:val="007A6BAE"/>
    <w:rsid w:val="007A6C64"/>
    <w:rsid w:val="007A6D59"/>
    <w:rsid w:val="007A70E7"/>
    <w:rsid w:val="007A7FF0"/>
    <w:rsid w:val="007B157E"/>
    <w:rsid w:val="007B178C"/>
    <w:rsid w:val="007B1A73"/>
    <w:rsid w:val="007B1D06"/>
    <w:rsid w:val="007B2049"/>
    <w:rsid w:val="007B3782"/>
    <w:rsid w:val="007B4E3B"/>
    <w:rsid w:val="007B7D05"/>
    <w:rsid w:val="007C0464"/>
    <w:rsid w:val="007C12BE"/>
    <w:rsid w:val="007C146B"/>
    <w:rsid w:val="007C2192"/>
    <w:rsid w:val="007C2B5B"/>
    <w:rsid w:val="007C2ED3"/>
    <w:rsid w:val="007C41D6"/>
    <w:rsid w:val="007C44FA"/>
    <w:rsid w:val="007C49D0"/>
    <w:rsid w:val="007C4F54"/>
    <w:rsid w:val="007C5136"/>
    <w:rsid w:val="007C67C2"/>
    <w:rsid w:val="007C729A"/>
    <w:rsid w:val="007C7508"/>
    <w:rsid w:val="007C7F10"/>
    <w:rsid w:val="007D06CA"/>
    <w:rsid w:val="007D1A96"/>
    <w:rsid w:val="007D1DC0"/>
    <w:rsid w:val="007D26A9"/>
    <w:rsid w:val="007D3159"/>
    <w:rsid w:val="007D32F0"/>
    <w:rsid w:val="007D36B7"/>
    <w:rsid w:val="007D3E91"/>
    <w:rsid w:val="007D3ED4"/>
    <w:rsid w:val="007D4121"/>
    <w:rsid w:val="007D4E03"/>
    <w:rsid w:val="007D50CE"/>
    <w:rsid w:val="007D5FF3"/>
    <w:rsid w:val="007D6696"/>
    <w:rsid w:val="007D6819"/>
    <w:rsid w:val="007D6FDE"/>
    <w:rsid w:val="007D75F5"/>
    <w:rsid w:val="007E06AE"/>
    <w:rsid w:val="007E1C8C"/>
    <w:rsid w:val="007E234C"/>
    <w:rsid w:val="007E4129"/>
    <w:rsid w:val="007E4AEB"/>
    <w:rsid w:val="007E4EF9"/>
    <w:rsid w:val="007E639A"/>
    <w:rsid w:val="007E6B86"/>
    <w:rsid w:val="007E6F3A"/>
    <w:rsid w:val="007E71FE"/>
    <w:rsid w:val="007E7ADB"/>
    <w:rsid w:val="007F1087"/>
    <w:rsid w:val="007F1326"/>
    <w:rsid w:val="007F1F47"/>
    <w:rsid w:val="007F204F"/>
    <w:rsid w:val="007F2158"/>
    <w:rsid w:val="007F2AC7"/>
    <w:rsid w:val="007F2E2A"/>
    <w:rsid w:val="007F2F74"/>
    <w:rsid w:val="007F3BBD"/>
    <w:rsid w:val="007F41CC"/>
    <w:rsid w:val="007F4B9B"/>
    <w:rsid w:val="007F4C1A"/>
    <w:rsid w:val="007F4DDB"/>
    <w:rsid w:val="007F6A6B"/>
    <w:rsid w:val="007F6A99"/>
    <w:rsid w:val="007F7510"/>
    <w:rsid w:val="00800BE1"/>
    <w:rsid w:val="00800C97"/>
    <w:rsid w:val="00802FE9"/>
    <w:rsid w:val="00803100"/>
    <w:rsid w:val="00804869"/>
    <w:rsid w:val="0080549B"/>
    <w:rsid w:val="008055F4"/>
    <w:rsid w:val="0080598A"/>
    <w:rsid w:val="00806471"/>
    <w:rsid w:val="0080681A"/>
    <w:rsid w:val="00806EEE"/>
    <w:rsid w:val="00807B9D"/>
    <w:rsid w:val="00810E42"/>
    <w:rsid w:val="00811306"/>
    <w:rsid w:val="008130F9"/>
    <w:rsid w:val="00813630"/>
    <w:rsid w:val="00814611"/>
    <w:rsid w:val="008153D7"/>
    <w:rsid w:val="00816329"/>
    <w:rsid w:val="00816562"/>
    <w:rsid w:val="0081711C"/>
    <w:rsid w:val="00817A4D"/>
    <w:rsid w:val="00817D63"/>
    <w:rsid w:val="008228F0"/>
    <w:rsid w:val="00823485"/>
    <w:rsid w:val="008238A0"/>
    <w:rsid w:val="00823B80"/>
    <w:rsid w:val="00824CE3"/>
    <w:rsid w:val="00825B25"/>
    <w:rsid w:val="008261A6"/>
    <w:rsid w:val="0082661E"/>
    <w:rsid w:val="00826695"/>
    <w:rsid w:val="0082713E"/>
    <w:rsid w:val="0082799B"/>
    <w:rsid w:val="0083068F"/>
    <w:rsid w:val="00830888"/>
    <w:rsid w:val="00830A3E"/>
    <w:rsid w:val="008315EC"/>
    <w:rsid w:val="00833FDF"/>
    <w:rsid w:val="00834C24"/>
    <w:rsid w:val="008358B3"/>
    <w:rsid w:val="00837747"/>
    <w:rsid w:val="008378E2"/>
    <w:rsid w:val="0084037D"/>
    <w:rsid w:val="0084123B"/>
    <w:rsid w:val="008422D7"/>
    <w:rsid w:val="008426D4"/>
    <w:rsid w:val="00842B5B"/>
    <w:rsid w:val="00842D58"/>
    <w:rsid w:val="00843481"/>
    <w:rsid w:val="00843726"/>
    <w:rsid w:val="0084414F"/>
    <w:rsid w:val="00844A35"/>
    <w:rsid w:val="00844E6F"/>
    <w:rsid w:val="00845BC2"/>
    <w:rsid w:val="008466AB"/>
    <w:rsid w:val="00846B0C"/>
    <w:rsid w:val="00846DDC"/>
    <w:rsid w:val="00847B56"/>
    <w:rsid w:val="00850457"/>
    <w:rsid w:val="0085283D"/>
    <w:rsid w:val="0085333F"/>
    <w:rsid w:val="0085398C"/>
    <w:rsid w:val="00853A36"/>
    <w:rsid w:val="0085512B"/>
    <w:rsid w:val="008555EA"/>
    <w:rsid w:val="00856058"/>
    <w:rsid w:val="00856F2C"/>
    <w:rsid w:val="008608DF"/>
    <w:rsid w:val="008609D3"/>
    <w:rsid w:val="0086174F"/>
    <w:rsid w:val="00862737"/>
    <w:rsid w:val="00862DBA"/>
    <w:rsid w:val="00863555"/>
    <w:rsid w:val="00864213"/>
    <w:rsid w:val="008643A9"/>
    <w:rsid w:val="00864B76"/>
    <w:rsid w:val="00864C42"/>
    <w:rsid w:val="00864E86"/>
    <w:rsid w:val="00865AA2"/>
    <w:rsid w:val="00865CAD"/>
    <w:rsid w:val="00865E05"/>
    <w:rsid w:val="0086758E"/>
    <w:rsid w:val="008678C2"/>
    <w:rsid w:val="00867998"/>
    <w:rsid w:val="00867B3F"/>
    <w:rsid w:val="00867DE0"/>
    <w:rsid w:val="008702FD"/>
    <w:rsid w:val="00870A64"/>
    <w:rsid w:val="00870F50"/>
    <w:rsid w:val="008710B5"/>
    <w:rsid w:val="008716DE"/>
    <w:rsid w:val="0087228D"/>
    <w:rsid w:val="008728D1"/>
    <w:rsid w:val="00875049"/>
    <w:rsid w:val="0087607D"/>
    <w:rsid w:val="00876D19"/>
    <w:rsid w:val="00877F49"/>
    <w:rsid w:val="00880E44"/>
    <w:rsid w:val="00881158"/>
    <w:rsid w:val="00883032"/>
    <w:rsid w:val="00883F5C"/>
    <w:rsid w:val="0088496A"/>
    <w:rsid w:val="00884E78"/>
    <w:rsid w:val="008859D2"/>
    <w:rsid w:val="00885C40"/>
    <w:rsid w:val="00885CC1"/>
    <w:rsid w:val="0088617B"/>
    <w:rsid w:val="00886191"/>
    <w:rsid w:val="008863CF"/>
    <w:rsid w:val="00886835"/>
    <w:rsid w:val="00887788"/>
    <w:rsid w:val="00887A8E"/>
    <w:rsid w:val="00887B36"/>
    <w:rsid w:val="00892450"/>
    <w:rsid w:val="00892686"/>
    <w:rsid w:val="00892B31"/>
    <w:rsid w:val="00892F38"/>
    <w:rsid w:val="0089342B"/>
    <w:rsid w:val="00894033"/>
    <w:rsid w:val="00894AAF"/>
    <w:rsid w:val="008957D9"/>
    <w:rsid w:val="00895890"/>
    <w:rsid w:val="00895951"/>
    <w:rsid w:val="008963A0"/>
    <w:rsid w:val="0089723A"/>
    <w:rsid w:val="008976B3"/>
    <w:rsid w:val="008A04B5"/>
    <w:rsid w:val="008A134F"/>
    <w:rsid w:val="008A1BD4"/>
    <w:rsid w:val="008A303D"/>
    <w:rsid w:val="008A344F"/>
    <w:rsid w:val="008A3905"/>
    <w:rsid w:val="008A4F56"/>
    <w:rsid w:val="008A5108"/>
    <w:rsid w:val="008A54E3"/>
    <w:rsid w:val="008A6093"/>
    <w:rsid w:val="008A63AC"/>
    <w:rsid w:val="008B093A"/>
    <w:rsid w:val="008B1AAB"/>
    <w:rsid w:val="008B2E70"/>
    <w:rsid w:val="008B307A"/>
    <w:rsid w:val="008B40DD"/>
    <w:rsid w:val="008B4E68"/>
    <w:rsid w:val="008B4EDD"/>
    <w:rsid w:val="008B5DFA"/>
    <w:rsid w:val="008B5EAC"/>
    <w:rsid w:val="008B66D2"/>
    <w:rsid w:val="008B6B97"/>
    <w:rsid w:val="008B6E3E"/>
    <w:rsid w:val="008B71E4"/>
    <w:rsid w:val="008B7EC8"/>
    <w:rsid w:val="008C008B"/>
    <w:rsid w:val="008C03E1"/>
    <w:rsid w:val="008C05FF"/>
    <w:rsid w:val="008C069D"/>
    <w:rsid w:val="008C0F3B"/>
    <w:rsid w:val="008C13AC"/>
    <w:rsid w:val="008C19D8"/>
    <w:rsid w:val="008C1C4E"/>
    <w:rsid w:val="008C2C4C"/>
    <w:rsid w:val="008C3CB2"/>
    <w:rsid w:val="008C3D1A"/>
    <w:rsid w:val="008C446C"/>
    <w:rsid w:val="008C47D5"/>
    <w:rsid w:val="008C49AF"/>
    <w:rsid w:val="008C4B08"/>
    <w:rsid w:val="008C5273"/>
    <w:rsid w:val="008C5B6E"/>
    <w:rsid w:val="008C6260"/>
    <w:rsid w:val="008C63B0"/>
    <w:rsid w:val="008C7BDB"/>
    <w:rsid w:val="008D101F"/>
    <w:rsid w:val="008D2962"/>
    <w:rsid w:val="008D2FB4"/>
    <w:rsid w:val="008D4065"/>
    <w:rsid w:val="008D419D"/>
    <w:rsid w:val="008D427A"/>
    <w:rsid w:val="008D45FB"/>
    <w:rsid w:val="008D4C8D"/>
    <w:rsid w:val="008D5136"/>
    <w:rsid w:val="008D5291"/>
    <w:rsid w:val="008D54CA"/>
    <w:rsid w:val="008D650F"/>
    <w:rsid w:val="008D7570"/>
    <w:rsid w:val="008D75DC"/>
    <w:rsid w:val="008D7CA3"/>
    <w:rsid w:val="008E0302"/>
    <w:rsid w:val="008E0600"/>
    <w:rsid w:val="008E0BE9"/>
    <w:rsid w:val="008E11AA"/>
    <w:rsid w:val="008E1360"/>
    <w:rsid w:val="008E1BBF"/>
    <w:rsid w:val="008E1E8A"/>
    <w:rsid w:val="008E2388"/>
    <w:rsid w:val="008E2E36"/>
    <w:rsid w:val="008E2FB4"/>
    <w:rsid w:val="008E319E"/>
    <w:rsid w:val="008E3D3A"/>
    <w:rsid w:val="008E41C8"/>
    <w:rsid w:val="008E427B"/>
    <w:rsid w:val="008E4982"/>
    <w:rsid w:val="008E5618"/>
    <w:rsid w:val="008E5B24"/>
    <w:rsid w:val="008E65BB"/>
    <w:rsid w:val="008E6A63"/>
    <w:rsid w:val="008E6A9A"/>
    <w:rsid w:val="008E7BD6"/>
    <w:rsid w:val="008F0DDA"/>
    <w:rsid w:val="008F1294"/>
    <w:rsid w:val="008F13AF"/>
    <w:rsid w:val="008F151B"/>
    <w:rsid w:val="008F1575"/>
    <w:rsid w:val="008F17EE"/>
    <w:rsid w:val="008F2F8D"/>
    <w:rsid w:val="008F312C"/>
    <w:rsid w:val="008F32E1"/>
    <w:rsid w:val="008F5933"/>
    <w:rsid w:val="008F5C42"/>
    <w:rsid w:val="008F7B75"/>
    <w:rsid w:val="009009EE"/>
    <w:rsid w:val="00900B11"/>
    <w:rsid w:val="00901082"/>
    <w:rsid w:val="00901DDA"/>
    <w:rsid w:val="00902FBB"/>
    <w:rsid w:val="009037C8"/>
    <w:rsid w:val="00903824"/>
    <w:rsid w:val="00903844"/>
    <w:rsid w:val="009039A6"/>
    <w:rsid w:val="00904C59"/>
    <w:rsid w:val="009052F2"/>
    <w:rsid w:val="00905817"/>
    <w:rsid w:val="00907879"/>
    <w:rsid w:val="00907A3F"/>
    <w:rsid w:val="00907FD6"/>
    <w:rsid w:val="0091009C"/>
    <w:rsid w:val="00910934"/>
    <w:rsid w:val="00911FE6"/>
    <w:rsid w:val="00912466"/>
    <w:rsid w:val="0091246D"/>
    <w:rsid w:val="0091275E"/>
    <w:rsid w:val="00913184"/>
    <w:rsid w:val="00913742"/>
    <w:rsid w:val="0091384E"/>
    <w:rsid w:val="0091532D"/>
    <w:rsid w:val="009170E2"/>
    <w:rsid w:val="00917342"/>
    <w:rsid w:val="00917709"/>
    <w:rsid w:val="00917786"/>
    <w:rsid w:val="00917A79"/>
    <w:rsid w:val="0092149D"/>
    <w:rsid w:val="00921899"/>
    <w:rsid w:val="00921AFA"/>
    <w:rsid w:val="00922F78"/>
    <w:rsid w:val="0092303C"/>
    <w:rsid w:val="009230D6"/>
    <w:rsid w:val="00923250"/>
    <w:rsid w:val="0092391E"/>
    <w:rsid w:val="00923E9C"/>
    <w:rsid w:val="009245C6"/>
    <w:rsid w:val="00924C22"/>
    <w:rsid w:val="00924FEA"/>
    <w:rsid w:val="009250C2"/>
    <w:rsid w:val="0092533A"/>
    <w:rsid w:val="00925E6C"/>
    <w:rsid w:val="00925ECA"/>
    <w:rsid w:val="00926D73"/>
    <w:rsid w:val="00927621"/>
    <w:rsid w:val="00927E3A"/>
    <w:rsid w:val="00931735"/>
    <w:rsid w:val="009327E8"/>
    <w:rsid w:val="00934A12"/>
    <w:rsid w:val="00934B29"/>
    <w:rsid w:val="00935AF1"/>
    <w:rsid w:val="00937519"/>
    <w:rsid w:val="00940520"/>
    <w:rsid w:val="0094094A"/>
    <w:rsid w:val="00940EC5"/>
    <w:rsid w:val="00941A03"/>
    <w:rsid w:val="00941A0F"/>
    <w:rsid w:val="0094298B"/>
    <w:rsid w:val="0094355D"/>
    <w:rsid w:val="0094373A"/>
    <w:rsid w:val="00944F83"/>
    <w:rsid w:val="0094513C"/>
    <w:rsid w:val="0094513E"/>
    <w:rsid w:val="00945BF1"/>
    <w:rsid w:val="00946562"/>
    <w:rsid w:val="00946DB9"/>
    <w:rsid w:val="00947F7B"/>
    <w:rsid w:val="00951704"/>
    <w:rsid w:val="0095224E"/>
    <w:rsid w:val="0095251D"/>
    <w:rsid w:val="0095393C"/>
    <w:rsid w:val="00954D85"/>
    <w:rsid w:val="00955B9D"/>
    <w:rsid w:val="00955E23"/>
    <w:rsid w:val="00956595"/>
    <w:rsid w:val="00956854"/>
    <w:rsid w:val="00956EF4"/>
    <w:rsid w:val="00960A65"/>
    <w:rsid w:val="00960A79"/>
    <w:rsid w:val="0096268F"/>
    <w:rsid w:val="0096293A"/>
    <w:rsid w:val="00962C03"/>
    <w:rsid w:val="00964357"/>
    <w:rsid w:val="00966518"/>
    <w:rsid w:val="009678B2"/>
    <w:rsid w:val="00967C8F"/>
    <w:rsid w:val="00967F50"/>
    <w:rsid w:val="00970B1C"/>
    <w:rsid w:val="00970C84"/>
    <w:rsid w:val="00971158"/>
    <w:rsid w:val="0097117A"/>
    <w:rsid w:val="009715D9"/>
    <w:rsid w:val="009723BE"/>
    <w:rsid w:val="0097244D"/>
    <w:rsid w:val="009749EC"/>
    <w:rsid w:val="00974B1C"/>
    <w:rsid w:val="009750FA"/>
    <w:rsid w:val="009756A8"/>
    <w:rsid w:val="00975A0C"/>
    <w:rsid w:val="00976719"/>
    <w:rsid w:val="00976947"/>
    <w:rsid w:val="009770C6"/>
    <w:rsid w:val="00977123"/>
    <w:rsid w:val="00977ACB"/>
    <w:rsid w:val="009804E2"/>
    <w:rsid w:val="00980A5B"/>
    <w:rsid w:val="0098129A"/>
    <w:rsid w:val="00981571"/>
    <w:rsid w:val="00981BDC"/>
    <w:rsid w:val="00981D0F"/>
    <w:rsid w:val="0098309E"/>
    <w:rsid w:val="00984588"/>
    <w:rsid w:val="009846CF"/>
    <w:rsid w:val="0098497F"/>
    <w:rsid w:val="00984E34"/>
    <w:rsid w:val="00985563"/>
    <w:rsid w:val="00985737"/>
    <w:rsid w:val="0098676A"/>
    <w:rsid w:val="00986829"/>
    <w:rsid w:val="00990CF3"/>
    <w:rsid w:val="0099131D"/>
    <w:rsid w:val="00991F13"/>
    <w:rsid w:val="0099217D"/>
    <w:rsid w:val="0099238D"/>
    <w:rsid w:val="0099292D"/>
    <w:rsid w:val="00992FC2"/>
    <w:rsid w:val="00993DFD"/>
    <w:rsid w:val="00994778"/>
    <w:rsid w:val="0099562C"/>
    <w:rsid w:val="009957E4"/>
    <w:rsid w:val="00995893"/>
    <w:rsid w:val="009963BA"/>
    <w:rsid w:val="0099644E"/>
    <w:rsid w:val="00996BAB"/>
    <w:rsid w:val="009A0D3D"/>
    <w:rsid w:val="009A1FE8"/>
    <w:rsid w:val="009A2322"/>
    <w:rsid w:val="009A56A3"/>
    <w:rsid w:val="009A609B"/>
    <w:rsid w:val="009A6635"/>
    <w:rsid w:val="009A6A38"/>
    <w:rsid w:val="009A77F0"/>
    <w:rsid w:val="009B0494"/>
    <w:rsid w:val="009B122A"/>
    <w:rsid w:val="009B12F8"/>
    <w:rsid w:val="009B1C6F"/>
    <w:rsid w:val="009B318B"/>
    <w:rsid w:val="009B31E4"/>
    <w:rsid w:val="009B3334"/>
    <w:rsid w:val="009B333A"/>
    <w:rsid w:val="009B335D"/>
    <w:rsid w:val="009B37EC"/>
    <w:rsid w:val="009B3B6C"/>
    <w:rsid w:val="009B4A5F"/>
    <w:rsid w:val="009B4A6E"/>
    <w:rsid w:val="009B4E1E"/>
    <w:rsid w:val="009B50A2"/>
    <w:rsid w:val="009B6497"/>
    <w:rsid w:val="009B652A"/>
    <w:rsid w:val="009B78A7"/>
    <w:rsid w:val="009B7CCA"/>
    <w:rsid w:val="009B7D86"/>
    <w:rsid w:val="009C022B"/>
    <w:rsid w:val="009C029B"/>
    <w:rsid w:val="009C06D3"/>
    <w:rsid w:val="009C0C03"/>
    <w:rsid w:val="009C1438"/>
    <w:rsid w:val="009C18E0"/>
    <w:rsid w:val="009C2B9D"/>
    <w:rsid w:val="009C35FA"/>
    <w:rsid w:val="009C36AC"/>
    <w:rsid w:val="009C384F"/>
    <w:rsid w:val="009C42FF"/>
    <w:rsid w:val="009C618C"/>
    <w:rsid w:val="009C65B2"/>
    <w:rsid w:val="009C70D6"/>
    <w:rsid w:val="009C76B5"/>
    <w:rsid w:val="009C7D75"/>
    <w:rsid w:val="009D13FD"/>
    <w:rsid w:val="009D1654"/>
    <w:rsid w:val="009D1A1B"/>
    <w:rsid w:val="009D1B9A"/>
    <w:rsid w:val="009D1DA9"/>
    <w:rsid w:val="009D1F6F"/>
    <w:rsid w:val="009D2353"/>
    <w:rsid w:val="009D2B96"/>
    <w:rsid w:val="009D3FFF"/>
    <w:rsid w:val="009D4362"/>
    <w:rsid w:val="009D4B9F"/>
    <w:rsid w:val="009D4C8E"/>
    <w:rsid w:val="009D667E"/>
    <w:rsid w:val="009D6A38"/>
    <w:rsid w:val="009D7071"/>
    <w:rsid w:val="009D71D9"/>
    <w:rsid w:val="009D74DB"/>
    <w:rsid w:val="009D76E2"/>
    <w:rsid w:val="009E0A53"/>
    <w:rsid w:val="009E107D"/>
    <w:rsid w:val="009E19D1"/>
    <w:rsid w:val="009E1A1E"/>
    <w:rsid w:val="009E1EC3"/>
    <w:rsid w:val="009E240C"/>
    <w:rsid w:val="009E282C"/>
    <w:rsid w:val="009E4664"/>
    <w:rsid w:val="009E4BA7"/>
    <w:rsid w:val="009E4E81"/>
    <w:rsid w:val="009E52A6"/>
    <w:rsid w:val="009E7C93"/>
    <w:rsid w:val="009F060E"/>
    <w:rsid w:val="009F2D9D"/>
    <w:rsid w:val="009F4FFF"/>
    <w:rsid w:val="009F51A9"/>
    <w:rsid w:val="009F51E6"/>
    <w:rsid w:val="009F54C8"/>
    <w:rsid w:val="009F5B65"/>
    <w:rsid w:val="009F6856"/>
    <w:rsid w:val="009F6A7D"/>
    <w:rsid w:val="009F6B00"/>
    <w:rsid w:val="009F6B52"/>
    <w:rsid w:val="009F7957"/>
    <w:rsid w:val="009F797C"/>
    <w:rsid w:val="00A006D7"/>
    <w:rsid w:val="00A02A3C"/>
    <w:rsid w:val="00A03076"/>
    <w:rsid w:val="00A04D65"/>
    <w:rsid w:val="00A05D4A"/>
    <w:rsid w:val="00A05DE0"/>
    <w:rsid w:val="00A06059"/>
    <w:rsid w:val="00A0739A"/>
    <w:rsid w:val="00A0793B"/>
    <w:rsid w:val="00A1034A"/>
    <w:rsid w:val="00A1042C"/>
    <w:rsid w:val="00A1054E"/>
    <w:rsid w:val="00A12211"/>
    <w:rsid w:val="00A1281C"/>
    <w:rsid w:val="00A12A6D"/>
    <w:rsid w:val="00A13502"/>
    <w:rsid w:val="00A147AA"/>
    <w:rsid w:val="00A148CF"/>
    <w:rsid w:val="00A14BDF"/>
    <w:rsid w:val="00A17256"/>
    <w:rsid w:val="00A17A1B"/>
    <w:rsid w:val="00A2034D"/>
    <w:rsid w:val="00A205D0"/>
    <w:rsid w:val="00A21226"/>
    <w:rsid w:val="00A22781"/>
    <w:rsid w:val="00A2463D"/>
    <w:rsid w:val="00A24CBB"/>
    <w:rsid w:val="00A24F93"/>
    <w:rsid w:val="00A25A05"/>
    <w:rsid w:val="00A25A7A"/>
    <w:rsid w:val="00A25FF5"/>
    <w:rsid w:val="00A30842"/>
    <w:rsid w:val="00A30E4E"/>
    <w:rsid w:val="00A31208"/>
    <w:rsid w:val="00A313F2"/>
    <w:rsid w:val="00A31D4B"/>
    <w:rsid w:val="00A33AF4"/>
    <w:rsid w:val="00A340B7"/>
    <w:rsid w:val="00A34890"/>
    <w:rsid w:val="00A34DFA"/>
    <w:rsid w:val="00A35485"/>
    <w:rsid w:val="00A35697"/>
    <w:rsid w:val="00A35980"/>
    <w:rsid w:val="00A371D2"/>
    <w:rsid w:val="00A378F4"/>
    <w:rsid w:val="00A37A53"/>
    <w:rsid w:val="00A4053F"/>
    <w:rsid w:val="00A4057F"/>
    <w:rsid w:val="00A427EF"/>
    <w:rsid w:val="00A42F5E"/>
    <w:rsid w:val="00A4340A"/>
    <w:rsid w:val="00A43691"/>
    <w:rsid w:val="00A439BB"/>
    <w:rsid w:val="00A44190"/>
    <w:rsid w:val="00A444F8"/>
    <w:rsid w:val="00A446D4"/>
    <w:rsid w:val="00A44FEE"/>
    <w:rsid w:val="00A4532B"/>
    <w:rsid w:val="00A45E65"/>
    <w:rsid w:val="00A46716"/>
    <w:rsid w:val="00A46BBA"/>
    <w:rsid w:val="00A47483"/>
    <w:rsid w:val="00A47ABB"/>
    <w:rsid w:val="00A47DF6"/>
    <w:rsid w:val="00A500CA"/>
    <w:rsid w:val="00A50935"/>
    <w:rsid w:val="00A51BDB"/>
    <w:rsid w:val="00A51F2E"/>
    <w:rsid w:val="00A51FA8"/>
    <w:rsid w:val="00A53FEA"/>
    <w:rsid w:val="00A5543A"/>
    <w:rsid w:val="00A56AEC"/>
    <w:rsid w:val="00A57293"/>
    <w:rsid w:val="00A57E75"/>
    <w:rsid w:val="00A60665"/>
    <w:rsid w:val="00A61587"/>
    <w:rsid w:val="00A6179C"/>
    <w:rsid w:val="00A61A54"/>
    <w:rsid w:val="00A6203E"/>
    <w:rsid w:val="00A62145"/>
    <w:rsid w:val="00A6246D"/>
    <w:rsid w:val="00A63709"/>
    <w:rsid w:val="00A63DB3"/>
    <w:rsid w:val="00A64173"/>
    <w:rsid w:val="00A64583"/>
    <w:rsid w:val="00A65417"/>
    <w:rsid w:val="00A707D0"/>
    <w:rsid w:val="00A7099B"/>
    <w:rsid w:val="00A70EFB"/>
    <w:rsid w:val="00A71679"/>
    <w:rsid w:val="00A7190D"/>
    <w:rsid w:val="00A71BED"/>
    <w:rsid w:val="00A71CE0"/>
    <w:rsid w:val="00A7302F"/>
    <w:rsid w:val="00A73082"/>
    <w:rsid w:val="00A746E6"/>
    <w:rsid w:val="00A748BE"/>
    <w:rsid w:val="00A74A92"/>
    <w:rsid w:val="00A74E69"/>
    <w:rsid w:val="00A74E77"/>
    <w:rsid w:val="00A75097"/>
    <w:rsid w:val="00A7532B"/>
    <w:rsid w:val="00A754B6"/>
    <w:rsid w:val="00A7597D"/>
    <w:rsid w:val="00A75C1C"/>
    <w:rsid w:val="00A760A7"/>
    <w:rsid w:val="00A76EB8"/>
    <w:rsid w:val="00A76F1D"/>
    <w:rsid w:val="00A77C0D"/>
    <w:rsid w:val="00A805C1"/>
    <w:rsid w:val="00A80DB6"/>
    <w:rsid w:val="00A80DE4"/>
    <w:rsid w:val="00A80FC4"/>
    <w:rsid w:val="00A820D7"/>
    <w:rsid w:val="00A82648"/>
    <w:rsid w:val="00A829E8"/>
    <w:rsid w:val="00A831B2"/>
    <w:rsid w:val="00A83A94"/>
    <w:rsid w:val="00A8426A"/>
    <w:rsid w:val="00A84993"/>
    <w:rsid w:val="00A855D8"/>
    <w:rsid w:val="00A85CF0"/>
    <w:rsid w:val="00A86128"/>
    <w:rsid w:val="00A861C4"/>
    <w:rsid w:val="00A86AF9"/>
    <w:rsid w:val="00A86F37"/>
    <w:rsid w:val="00A8750D"/>
    <w:rsid w:val="00A875E5"/>
    <w:rsid w:val="00A87DA1"/>
    <w:rsid w:val="00A915E4"/>
    <w:rsid w:val="00A9184A"/>
    <w:rsid w:val="00A918EE"/>
    <w:rsid w:val="00A91AE8"/>
    <w:rsid w:val="00A92428"/>
    <w:rsid w:val="00A932A7"/>
    <w:rsid w:val="00A935A0"/>
    <w:rsid w:val="00A93FDD"/>
    <w:rsid w:val="00A9454F"/>
    <w:rsid w:val="00A955F3"/>
    <w:rsid w:val="00A97FB3"/>
    <w:rsid w:val="00AA06AB"/>
    <w:rsid w:val="00AA0A98"/>
    <w:rsid w:val="00AA15AD"/>
    <w:rsid w:val="00AA1DF8"/>
    <w:rsid w:val="00AA2134"/>
    <w:rsid w:val="00AA244B"/>
    <w:rsid w:val="00AA3264"/>
    <w:rsid w:val="00AA401C"/>
    <w:rsid w:val="00AA4442"/>
    <w:rsid w:val="00AA53E7"/>
    <w:rsid w:val="00AA5F8B"/>
    <w:rsid w:val="00AA6274"/>
    <w:rsid w:val="00AA64B6"/>
    <w:rsid w:val="00AA7078"/>
    <w:rsid w:val="00AA7539"/>
    <w:rsid w:val="00AB1A0A"/>
    <w:rsid w:val="00AB2C08"/>
    <w:rsid w:val="00AB2EE6"/>
    <w:rsid w:val="00AB3972"/>
    <w:rsid w:val="00AB4664"/>
    <w:rsid w:val="00AB4678"/>
    <w:rsid w:val="00AB46DC"/>
    <w:rsid w:val="00AB47CB"/>
    <w:rsid w:val="00AB4ADC"/>
    <w:rsid w:val="00AB52F1"/>
    <w:rsid w:val="00AB5E20"/>
    <w:rsid w:val="00AB650F"/>
    <w:rsid w:val="00AB674A"/>
    <w:rsid w:val="00AB684F"/>
    <w:rsid w:val="00AB68E9"/>
    <w:rsid w:val="00AB733C"/>
    <w:rsid w:val="00AB7883"/>
    <w:rsid w:val="00AC053F"/>
    <w:rsid w:val="00AC1513"/>
    <w:rsid w:val="00AC156C"/>
    <w:rsid w:val="00AC176C"/>
    <w:rsid w:val="00AC1981"/>
    <w:rsid w:val="00AC2482"/>
    <w:rsid w:val="00AC2F07"/>
    <w:rsid w:val="00AC2FBA"/>
    <w:rsid w:val="00AC3E05"/>
    <w:rsid w:val="00AC4126"/>
    <w:rsid w:val="00AC5198"/>
    <w:rsid w:val="00AC525C"/>
    <w:rsid w:val="00AC63A8"/>
    <w:rsid w:val="00AC7419"/>
    <w:rsid w:val="00AC75AE"/>
    <w:rsid w:val="00AC7777"/>
    <w:rsid w:val="00AD18CB"/>
    <w:rsid w:val="00AD19E2"/>
    <w:rsid w:val="00AD2D8D"/>
    <w:rsid w:val="00AD32A4"/>
    <w:rsid w:val="00AD4093"/>
    <w:rsid w:val="00AD4553"/>
    <w:rsid w:val="00AD5378"/>
    <w:rsid w:val="00AD54C5"/>
    <w:rsid w:val="00AD54D4"/>
    <w:rsid w:val="00AD58B1"/>
    <w:rsid w:val="00AD7235"/>
    <w:rsid w:val="00AD7E65"/>
    <w:rsid w:val="00AE034D"/>
    <w:rsid w:val="00AE16D3"/>
    <w:rsid w:val="00AE16E4"/>
    <w:rsid w:val="00AE1F8C"/>
    <w:rsid w:val="00AE2CB1"/>
    <w:rsid w:val="00AE31D6"/>
    <w:rsid w:val="00AE4282"/>
    <w:rsid w:val="00AE475F"/>
    <w:rsid w:val="00AE4ABC"/>
    <w:rsid w:val="00AE52A4"/>
    <w:rsid w:val="00AE56C0"/>
    <w:rsid w:val="00AE5D3F"/>
    <w:rsid w:val="00AE5F15"/>
    <w:rsid w:val="00AE6527"/>
    <w:rsid w:val="00AE6A86"/>
    <w:rsid w:val="00AE7DC5"/>
    <w:rsid w:val="00AE7F6F"/>
    <w:rsid w:val="00AF10FC"/>
    <w:rsid w:val="00AF2D2D"/>
    <w:rsid w:val="00AF4711"/>
    <w:rsid w:val="00AF5263"/>
    <w:rsid w:val="00AF5647"/>
    <w:rsid w:val="00AF576B"/>
    <w:rsid w:val="00AF6743"/>
    <w:rsid w:val="00AF6C2A"/>
    <w:rsid w:val="00AF781A"/>
    <w:rsid w:val="00B0055E"/>
    <w:rsid w:val="00B008AA"/>
    <w:rsid w:val="00B00900"/>
    <w:rsid w:val="00B01DCF"/>
    <w:rsid w:val="00B01DE4"/>
    <w:rsid w:val="00B02F66"/>
    <w:rsid w:val="00B03800"/>
    <w:rsid w:val="00B03E79"/>
    <w:rsid w:val="00B0535D"/>
    <w:rsid w:val="00B069B6"/>
    <w:rsid w:val="00B06BE9"/>
    <w:rsid w:val="00B07532"/>
    <w:rsid w:val="00B07D71"/>
    <w:rsid w:val="00B1028A"/>
    <w:rsid w:val="00B11F39"/>
    <w:rsid w:val="00B12176"/>
    <w:rsid w:val="00B128B3"/>
    <w:rsid w:val="00B1324F"/>
    <w:rsid w:val="00B142DD"/>
    <w:rsid w:val="00B14B4B"/>
    <w:rsid w:val="00B156FE"/>
    <w:rsid w:val="00B16F0C"/>
    <w:rsid w:val="00B20CA1"/>
    <w:rsid w:val="00B216CF"/>
    <w:rsid w:val="00B21BF3"/>
    <w:rsid w:val="00B21DC7"/>
    <w:rsid w:val="00B226DD"/>
    <w:rsid w:val="00B22D01"/>
    <w:rsid w:val="00B2333B"/>
    <w:rsid w:val="00B2335F"/>
    <w:rsid w:val="00B2429C"/>
    <w:rsid w:val="00B24412"/>
    <w:rsid w:val="00B24FE5"/>
    <w:rsid w:val="00B25457"/>
    <w:rsid w:val="00B30C8A"/>
    <w:rsid w:val="00B31027"/>
    <w:rsid w:val="00B31165"/>
    <w:rsid w:val="00B31240"/>
    <w:rsid w:val="00B31312"/>
    <w:rsid w:val="00B31B9F"/>
    <w:rsid w:val="00B32BF9"/>
    <w:rsid w:val="00B32D21"/>
    <w:rsid w:val="00B3354E"/>
    <w:rsid w:val="00B34CDD"/>
    <w:rsid w:val="00B34CF0"/>
    <w:rsid w:val="00B359C7"/>
    <w:rsid w:val="00B36055"/>
    <w:rsid w:val="00B3654D"/>
    <w:rsid w:val="00B367FA"/>
    <w:rsid w:val="00B36A1A"/>
    <w:rsid w:val="00B36C5C"/>
    <w:rsid w:val="00B3728F"/>
    <w:rsid w:val="00B372BB"/>
    <w:rsid w:val="00B372E4"/>
    <w:rsid w:val="00B37CF3"/>
    <w:rsid w:val="00B4015C"/>
    <w:rsid w:val="00B408DC"/>
    <w:rsid w:val="00B40B34"/>
    <w:rsid w:val="00B40C2E"/>
    <w:rsid w:val="00B40FAA"/>
    <w:rsid w:val="00B41A6A"/>
    <w:rsid w:val="00B41D79"/>
    <w:rsid w:val="00B42115"/>
    <w:rsid w:val="00B43587"/>
    <w:rsid w:val="00B436A3"/>
    <w:rsid w:val="00B45139"/>
    <w:rsid w:val="00B4528C"/>
    <w:rsid w:val="00B4590E"/>
    <w:rsid w:val="00B470FA"/>
    <w:rsid w:val="00B4749D"/>
    <w:rsid w:val="00B47C6B"/>
    <w:rsid w:val="00B5058B"/>
    <w:rsid w:val="00B508C6"/>
    <w:rsid w:val="00B51EA6"/>
    <w:rsid w:val="00B526DE"/>
    <w:rsid w:val="00B52BF0"/>
    <w:rsid w:val="00B536E4"/>
    <w:rsid w:val="00B53B68"/>
    <w:rsid w:val="00B53CB8"/>
    <w:rsid w:val="00B55668"/>
    <w:rsid w:val="00B55AE7"/>
    <w:rsid w:val="00B55F38"/>
    <w:rsid w:val="00B56500"/>
    <w:rsid w:val="00B56E7F"/>
    <w:rsid w:val="00B57505"/>
    <w:rsid w:val="00B60152"/>
    <w:rsid w:val="00B6027D"/>
    <w:rsid w:val="00B60309"/>
    <w:rsid w:val="00B615C1"/>
    <w:rsid w:val="00B61B3A"/>
    <w:rsid w:val="00B61F2B"/>
    <w:rsid w:val="00B626A8"/>
    <w:rsid w:val="00B62DE4"/>
    <w:rsid w:val="00B63073"/>
    <w:rsid w:val="00B6376E"/>
    <w:rsid w:val="00B63B63"/>
    <w:rsid w:val="00B63BFF"/>
    <w:rsid w:val="00B63FA1"/>
    <w:rsid w:val="00B63FCF"/>
    <w:rsid w:val="00B64098"/>
    <w:rsid w:val="00B643B4"/>
    <w:rsid w:val="00B645C1"/>
    <w:rsid w:val="00B650BD"/>
    <w:rsid w:val="00B656ED"/>
    <w:rsid w:val="00B6697B"/>
    <w:rsid w:val="00B676D3"/>
    <w:rsid w:val="00B72090"/>
    <w:rsid w:val="00B72CDC"/>
    <w:rsid w:val="00B72F01"/>
    <w:rsid w:val="00B730B1"/>
    <w:rsid w:val="00B746B4"/>
    <w:rsid w:val="00B74C15"/>
    <w:rsid w:val="00B75674"/>
    <w:rsid w:val="00B75E11"/>
    <w:rsid w:val="00B7675E"/>
    <w:rsid w:val="00B76A16"/>
    <w:rsid w:val="00B76FB3"/>
    <w:rsid w:val="00B7750E"/>
    <w:rsid w:val="00B77B8F"/>
    <w:rsid w:val="00B77E10"/>
    <w:rsid w:val="00B77EF5"/>
    <w:rsid w:val="00B802EC"/>
    <w:rsid w:val="00B805AB"/>
    <w:rsid w:val="00B80A04"/>
    <w:rsid w:val="00B8115D"/>
    <w:rsid w:val="00B81F82"/>
    <w:rsid w:val="00B81FBD"/>
    <w:rsid w:val="00B82E72"/>
    <w:rsid w:val="00B82EA0"/>
    <w:rsid w:val="00B82F8F"/>
    <w:rsid w:val="00B82FC9"/>
    <w:rsid w:val="00B83444"/>
    <w:rsid w:val="00B8366D"/>
    <w:rsid w:val="00B83D3E"/>
    <w:rsid w:val="00B845E1"/>
    <w:rsid w:val="00B84778"/>
    <w:rsid w:val="00B866B7"/>
    <w:rsid w:val="00B908AE"/>
    <w:rsid w:val="00B91C99"/>
    <w:rsid w:val="00B92725"/>
    <w:rsid w:val="00B94689"/>
    <w:rsid w:val="00B94C08"/>
    <w:rsid w:val="00B95036"/>
    <w:rsid w:val="00B956A9"/>
    <w:rsid w:val="00B97B0C"/>
    <w:rsid w:val="00BA00E9"/>
    <w:rsid w:val="00BA0226"/>
    <w:rsid w:val="00BA062B"/>
    <w:rsid w:val="00BA0954"/>
    <w:rsid w:val="00BA0987"/>
    <w:rsid w:val="00BA0DF1"/>
    <w:rsid w:val="00BA1A7A"/>
    <w:rsid w:val="00BA2280"/>
    <w:rsid w:val="00BA2BA8"/>
    <w:rsid w:val="00BA3144"/>
    <w:rsid w:val="00BA320D"/>
    <w:rsid w:val="00BA3AD1"/>
    <w:rsid w:val="00BA4A0B"/>
    <w:rsid w:val="00BA52CB"/>
    <w:rsid w:val="00BA5D26"/>
    <w:rsid w:val="00BA5E1B"/>
    <w:rsid w:val="00BA619D"/>
    <w:rsid w:val="00BA70C7"/>
    <w:rsid w:val="00BA73EE"/>
    <w:rsid w:val="00BB07D3"/>
    <w:rsid w:val="00BB091F"/>
    <w:rsid w:val="00BB0AC0"/>
    <w:rsid w:val="00BB0B4F"/>
    <w:rsid w:val="00BB0C13"/>
    <w:rsid w:val="00BB11E1"/>
    <w:rsid w:val="00BB28C6"/>
    <w:rsid w:val="00BB2D25"/>
    <w:rsid w:val="00BB3DD8"/>
    <w:rsid w:val="00BB4CBA"/>
    <w:rsid w:val="00BB4CC3"/>
    <w:rsid w:val="00BB4EEB"/>
    <w:rsid w:val="00BB522C"/>
    <w:rsid w:val="00BB587C"/>
    <w:rsid w:val="00BB7233"/>
    <w:rsid w:val="00BB7D24"/>
    <w:rsid w:val="00BC119F"/>
    <w:rsid w:val="00BC188F"/>
    <w:rsid w:val="00BC2AB5"/>
    <w:rsid w:val="00BC32C5"/>
    <w:rsid w:val="00BC4070"/>
    <w:rsid w:val="00BC424C"/>
    <w:rsid w:val="00BC50BB"/>
    <w:rsid w:val="00BD0747"/>
    <w:rsid w:val="00BD0BC5"/>
    <w:rsid w:val="00BD0D50"/>
    <w:rsid w:val="00BD0E4D"/>
    <w:rsid w:val="00BD13CC"/>
    <w:rsid w:val="00BD24AA"/>
    <w:rsid w:val="00BD25BF"/>
    <w:rsid w:val="00BD26B4"/>
    <w:rsid w:val="00BD2F93"/>
    <w:rsid w:val="00BD3063"/>
    <w:rsid w:val="00BD3169"/>
    <w:rsid w:val="00BD319F"/>
    <w:rsid w:val="00BD3A19"/>
    <w:rsid w:val="00BD445C"/>
    <w:rsid w:val="00BD445E"/>
    <w:rsid w:val="00BD456A"/>
    <w:rsid w:val="00BD49AD"/>
    <w:rsid w:val="00BD4DEB"/>
    <w:rsid w:val="00BD4EF0"/>
    <w:rsid w:val="00BD5A6F"/>
    <w:rsid w:val="00BD646E"/>
    <w:rsid w:val="00BD662F"/>
    <w:rsid w:val="00BD723E"/>
    <w:rsid w:val="00BD765C"/>
    <w:rsid w:val="00BD7A6C"/>
    <w:rsid w:val="00BE0380"/>
    <w:rsid w:val="00BE13BC"/>
    <w:rsid w:val="00BE1447"/>
    <w:rsid w:val="00BE166E"/>
    <w:rsid w:val="00BE2649"/>
    <w:rsid w:val="00BE32CC"/>
    <w:rsid w:val="00BE3392"/>
    <w:rsid w:val="00BE3D73"/>
    <w:rsid w:val="00BE3D9F"/>
    <w:rsid w:val="00BE4442"/>
    <w:rsid w:val="00BE6348"/>
    <w:rsid w:val="00BE7400"/>
    <w:rsid w:val="00BE7B1D"/>
    <w:rsid w:val="00BE7C14"/>
    <w:rsid w:val="00BF02A6"/>
    <w:rsid w:val="00BF0E42"/>
    <w:rsid w:val="00BF0F9C"/>
    <w:rsid w:val="00BF1373"/>
    <w:rsid w:val="00BF13A8"/>
    <w:rsid w:val="00BF152C"/>
    <w:rsid w:val="00BF219D"/>
    <w:rsid w:val="00BF244E"/>
    <w:rsid w:val="00BF34DC"/>
    <w:rsid w:val="00BF351A"/>
    <w:rsid w:val="00BF3567"/>
    <w:rsid w:val="00BF3C99"/>
    <w:rsid w:val="00BF3D37"/>
    <w:rsid w:val="00BF3EF7"/>
    <w:rsid w:val="00BF4782"/>
    <w:rsid w:val="00BF4B29"/>
    <w:rsid w:val="00BF4D85"/>
    <w:rsid w:val="00BF5814"/>
    <w:rsid w:val="00BF5C10"/>
    <w:rsid w:val="00BF6693"/>
    <w:rsid w:val="00C0016B"/>
    <w:rsid w:val="00C00E2F"/>
    <w:rsid w:val="00C01155"/>
    <w:rsid w:val="00C01D33"/>
    <w:rsid w:val="00C01F3D"/>
    <w:rsid w:val="00C032FB"/>
    <w:rsid w:val="00C03769"/>
    <w:rsid w:val="00C044A0"/>
    <w:rsid w:val="00C04609"/>
    <w:rsid w:val="00C05345"/>
    <w:rsid w:val="00C05D11"/>
    <w:rsid w:val="00C064BB"/>
    <w:rsid w:val="00C07159"/>
    <w:rsid w:val="00C07252"/>
    <w:rsid w:val="00C07CA5"/>
    <w:rsid w:val="00C07FCD"/>
    <w:rsid w:val="00C1038D"/>
    <w:rsid w:val="00C10DA5"/>
    <w:rsid w:val="00C113B3"/>
    <w:rsid w:val="00C114BC"/>
    <w:rsid w:val="00C12EEF"/>
    <w:rsid w:val="00C15440"/>
    <w:rsid w:val="00C15D0B"/>
    <w:rsid w:val="00C1657A"/>
    <w:rsid w:val="00C16E3D"/>
    <w:rsid w:val="00C171FB"/>
    <w:rsid w:val="00C20120"/>
    <w:rsid w:val="00C20A02"/>
    <w:rsid w:val="00C20B98"/>
    <w:rsid w:val="00C211C3"/>
    <w:rsid w:val="00C21E32"/>
    <w:rsid w:val="00C21E38"/>
    <w:rsid w:val="00C221E1"/>
    <w:rsid w:val="00C224EC"/>
    <w:rsid w:val="00C22780"/>
    <w:rsid w:val="00C24472"/>
    <w:rsid w:val="00C24758"/>
    <w:rsid w:val="00C257F4"/>
    <w:rsid w:val="00C26B2E"/>
    <w:rsid w:val="00C26F5D"/>
    <w:rsid w:val="00C26FFE"/>
    <w:rsid w:val="00C27191"/>
    <w:rsid w:val="00C27B7D"/>
    <w:rsid w:val="00C27D66"/>
    <w:rsid w:val="00C30B4F"/>
    <w:rsid w:val="00C30C04"/>
    <w:rsid w:val="00C30FCF"/>
    <w:rsid w:val="00C31D69"/>
    <w:rsid w:val="00C3204A"/>
    <w:rsid w:val="00C33D20"/>
    <w:rsid w:val="00C3468A"/>
    <w:rsid w:val="00C34D5C"/>
    <w:rsid w:val="00C358CF"/>
    <w:rsid w:val="00C35933"/>
    <w:rsid w:val="00C3629C"/>
    <w:rsid w:val="00C36E6C"/>
    <w:rsid w:val="00C370EE"/>
    <w:rsid w:val="00C37839"/>
    <w:rsid w:val="00C37C2F"/>
    <w:rsid w:val="00C37DE6"/>
    <w:rsid w:val="00C405E8"/>
    <w:rsid w:val="00C408F7"/>
    <w:rsid w:val="00C40AE9"/>
    <w:rsid w:val="00C41FDF"/>
    <w:rsid w:val="00C45009"/>
    <w:rsid w:val="00C45227"/>
    <w:rsid w:val="00C45EF8"/>
    <w:rsid w:val="00C46D30"/>
    <w:rsid w:val="00C46D7A"/>
    <w:rsid w:val="00C46E70"/>
    <w:rsid w:val="00C47596"/>
    <w:rsid w:val="00C5198F"/>
    <w:rsid w:val="00C51BF8"/>
    <w:rsid w:val="00C52748"/>
    <w:rsid w:val="00C52CB7"/>
    <w:rsid w:val="00C53FCD"/>
    <w:rsid w:val="00C54167"/>
    <w:rsid w:val="00C541EB"/>
    <w:rsid w:val="00C547B6"/>
    <w:rsid w:val="00C54A02"/>
    <w:rsid w:val="00C55B32"/>
    <w:rsid w:val="00C562C2"/>
    <w:rsid w:val="00C5672A"/>
    <w:rsid w:val="00C56F7D"/>
    <w:rsid w:val="00C572D6"/>
    <w:rsid w:val="00C57AB0"/>
    <w:rsid w:val="00C61A4C"/>
    <w:rsid w:val="00C62977"/>
    <w:rsid w:val="00C62ABB"/>
    <w:rsid w:val="00C633DC"/>
    <w:rsid w:val="00C635D6"/>
    <w:rsid w:val="00C63E67"/>
    <w:rsid w:val="00C649C7"/>
    <w:rsid w:val="00C649EA"/>
    <w:rsid w:val="00C65B0C"/>
    <w:rsid w:val="00C6632C"/>
    <w:rsid w:val="00C667C9"/>
    <w:rsid w:val="00C670EF"/>
    <w:rsid w:val="00C672C8"/>
    <w:rsid w:val="00C677DD"/>
    <w:rsid w:val="00C67A49"/>
    <w:rsid w:val="00C705F9"/>
    <w:rsid w:val="00C712A3"/>
    <w:rsid w:val="00C71954"/>
    <w:rsid w:val="00C7250C"/>
    <w:rsid w:val="00C72BAE"/>
    <w:rsid w:val="00C73037"/>
    <w:rsid w:val="00C733E7"/>
    <w:rsid w:val="00C73C36"/>
    <w:rsid w:val="00C74868"/>
    <w:rsid w:val="00C74944"/>
    <w:rsid w:val="00C75AF3"/>
    <w:rsid w:val="00C76FC4"/>
    <w:rsid w:val="00C77FAF"/>
    <w:rsid w:val="00C80340"/>
    <w:rsid w:val="00C803E2"/>
    <w:rsid w:val="00C80649"/>
    <w:rsid w:val="00C80995"/>
    <w:rsid w:val="00C81404"/>
    <w:rsid w:val="00C81C91"/>
    <w:rsid w:val="00C84E24"/>
    <w:rsid w:val="00C850B8"/>
    <w:rsid w:val="00C85447"/>
    <w:rsid w:val="00C862FF"/>
    <w:rsid w:val="00C866FA"/>
    <w:rsid w:val="00C86E0E"/>
    <w:rsid w:val="00C87805"/>
    <w:rsid w:val="00C87BB7"/>
    <w:rsid w:val="00C90BC4"/>
    <w:rsid w:val="00C90FFF"/>
    <w:rsid w:val="00C91029"/>
    <w:rsid w:val="00C91CEA"/>
    <w:rsid w:val="00C9256B"/>
    <w:rsid w:val="00C92592"/>
    <w:rsid w:val="00C93105"/>
    <w:rsid w:val="00C9396D"/>
    <w:rsid w:val="00C9448B"/>
    <w:rsid w:val="00C947F7"/>
    <w:rsid w:val="00C94E22"/>
    <w:rsid w:val="00C9599E"/>
    <w:rsid w:val="00C95A5A"/>
    <w:rsid w:val="00C963F9"/>
    <w:rsid w:val="00C9650A"/>
    <w:rsid w:val="00C96B99"/>
    <w:rsid w:val="00C96CD1"/>
    <w:rsid w:val="00C97860"/>
    <w:rsid w:val="00C979FE"/>
    <w:rsid w:val="00CA0911"/>
    <w:rsid w:val="00CA0B6B"/>
    <w:rsid w:val="00CA0E49"/>
    <w:rsid w:val="00CA1498"/>
    <w:rsid w:val="00CA1BA1"/>
    <w:rsid w:val="00CA1CEC"/>
    <w:rsid w:val="00CA3486"/>
    <w:rsid w:val="00CA3F07"/>
    <w:rsid w:val="00CA4258"/>
    <w:rsid w:val="00CA4439"/>
    <w:rsid w:val="00CA4C2C"/>
    <w:rsid w:val="00CA4FD7"/>
    <w:rsid w:val="00CA5031"/>
    <w:rsid w:val="00CA57AE"/>
    <w:rsid w:val="00CA608E"/>
    <w:rsid w:val="00CA6581"/>
    <w:rsid w:val="00CA6A60"/>
    <w:rsid w:val="00CA7372"/>
    <w:rsid w:val="00CA7E23"/>
    <w:rsid w:val="00CB00E1"/>
    <w:rsid w:val="00CB02B2"/>
    <w:rsid w:val="00CB0BD7"/>
    <w:rsid w:val="00CB11E2"/>
    <w:rsid w:val="00CB12F4"/>
    <w:rsid w:val="00CB1BD1"/>
    <w:rsid w:val="00CB2422"/>
    <w:rsid w:val="00CB2D12"/>
    <w:rsid w:val="00CB3024"/>
    <w:rsid w:val="00CB32AF"/>
    <w:rsid w:val="00CB36AD"/>
    <w:rsid w:val="00CB4217"/>
    <w:rsid w:val="00CB4C27"/>
    <w:rsid w:val="00CB732E"/>
    <w:rsid w:val="00CB76FD"/>
    <w:rsid w:val="00CB7BE6"/>
    <w:rsid w:val="00CC0A9B"/>
    <w:rsid w:val="00CC364A"/>
    <w:rsid w:val="00CC3D2F"/>
    <w:rsid w:val="00CC403E"/>
    <w:rsid w:val="00CC4097"/>
    <w:rsid w:val="00CC4FB5"/>
    <w:rsid w:val="00CC5695"/>
    <w:rsid w:val="00CC61C1"/>
    <w:rsid w:val="00CC705B"/>
    <w:rsid w:val="00CC7571"/>
    <w:rsid w:val="00CD031A"/>
    <w:rsid w:val="00CD0BC3"/>
    <w:rsid w:val="00CD0C62"/>
    <w:rsid w:val="00CD2246"/>
    <w:rsid w:val="00CD266C"/>
    <w:rsid w:val="00CD3225"/>
    <w:rsid w:val="00CD34A0"/>
    <w:rsid w:val="00CD4B66"/>
    <w:rsid w:val="00CD4E09"/>
    <w:rsid w:val="00CD5517"/>
    <w:rsid w:val="00CD5F97"/>
    <w:rsid w:val="00CD67AB"/>
    <w:rsid w:val="00CD6C0F"/>
    <w:rsid w:val="00CD6E8B"/>
    <w:rsid w:val="00CD76AF"/>
    <w:rsid w:val="00CD77E3"/>
    <w:rsid w:val="00CD7BE4"/>
    <w:rsid w:val="00CE00E9"/>
    <w:rsid w:val="00CE05E6"/>
    <w:rsid w:val="00CE082B"/>
    <w:rsid w:val="00CE0D9F"/>
    <w:rsid w:val="00CE153D"/>
    <w:rsid w:val="00CE186B"/>
    <w:rsid w:val="00CE1AE1"/>
    <w:rsid w:val="00CE4E5B"/>
    <w:rsid w:val="00CE5158"/>
    <w:rsid w:val="00CE5439"/>
    <w:rsid w:val="00CE576E"/>
    <w:rsid w:val="00CE5EE9"/>
    <w:rsid w:val="00CE70A8"/>
    <w:rsid w:val="00CE70E5"/>
    <w:rsid w:val="00CE7A81"/>
    <w:rsid w:val="00CE7A95"/>
    <w:rsid w:val="00CE7B55"/>
    <w:rsid w:val="00CF0F58"/>
    <w:rsid w:val="00CF17D6"/>
    <w:rsid w:val="00CF3014"/>
    <w:rsid w:val="00CF3E85"/>
    <w:rsid w:val="00CF4438"/>
    <w:rsid w:val="00CF4861"/>
    <w:rsid w:val="00CF5AEC"/>
    <w:rsid w:val="00CF61CA"/>
    <w:rsid w:val="00CF631F"/>
    <w:rsid w:val="00CF63E5"/>
    <w:rsid w:val="00CF6472"/>
    <w:rsid w:val="00CF6509"/>
    <w:rsid w:val="00CF6958"/>
    <w:rsid w:val="00CF6D6E"/>
    <w:rsid w:val="00CF704F"/>
    <w:rsid w:val="00CF7400"/>
    <w:rsid w:val="00D0104E"/>
    <w:rsid w:val="00D011CD"/>
    <w:rsid w:val="00D01361"/>
    <w:rsid w:val="00D02035"/>
    <w:rsid w:val="00D0220E"/>
    <w:rsid w:val="00D0222D"/>
    <w:rsid w:val="00D026D6"/>
    <w:rsid w:val="00D02E04"/>
    <w:rsid w:val="00D02E1F"/>
    <w:rsid w:val="00D0387E"/>
    <w:rsid w:val="00D04F25"/>
    <w:rsid w:val="00D05359"/>
    <w:rsid w:val="00D05947"/>
    <w:rsid w:val="00D05B65"/>
    <w:rsid w:val="00D05EE2"/>
    <w:rsid w:val="00D068CC"/>
    <w:rsid w:val="00D07609"/>
    <w:rsid w:val="00D07B2F"/>
    <w:rsid w:val="00D07B49"/>
    <w:rsid w:val="00D1012E"/>
    <w:rsid w:val="00D11071"/>
    <w:rsid w:val="00D11ED1"/>
    <w:rsid w:val="00D1261F"/>
    <w:rsid w:val="00D13511"/>
    <w:rsid w:val="00D135E4"/>
    <w:rsid w:val="00D138A1"/>
    <w:rsid w:val="00D13C0E"/>
    <w:rsid w:val="00D13C25"/>
    <w:rsid w:val="00D142E7"/>
    <w:rsid w:val="00D1521D"/>
    <w:rsid w:val="00D1560F"/>
    <w:rsid w:val="00D160E2"/>
    <w:rsid w:val="00D1750A"/>
    <w:rsid w:val="00D17E67"/>
    <w:rsid w:val="00D17E70"/>
    <w:rsid w:val="00D2093D"/>
    <w:rsid w:val="00D21101"/>
    <w:rsid w:val="00D2379C"/>
    <w:rsid w:val="00D24090"/>
    <w:rsid w:val="00D245FC"/>
    <w:rsid w:val="00D2493B"/>
    <w:rsid w:val="00D271FC"/>
    <w:rsid w:val="00D306DD"/>
    <w:rsid w:val="00D30800"/>
    <w:rsid w:val="00D319D1"/>
    <w:rsid w:val="00D31C16"/>
    <w:rsid w:val="00D320FE"/>
    <w:rsid w:val="00D32731"/>
    <w:rsid w:val="00D33CC3"/>
    <w:rsid w:val="00D33DD5"/>
    <w:rsid w:val="00D33E78"/>
    <w:rsid w:val="00D346CC"/>
    <w:rsid w:val="00D3535D"/>
    <w:rsid w:val="00D358EF"/>
    <w:rsid w:val="00D359B1"/>
    <w:rsid w:val="00D36554"/>
    <w:rsid w:val="00D374AE"/>
    <w:rsid w:val="00D3772D"/>
    <w:rsid w:val="00D40D99"/>
    <w:rsid w:val="00D41E5F"/>
    <w:rsid w:val="00D41E80"/>
    <w:rsid w:val="00D4236E"/>
    <w:rsid w:val="00D42421"/>
    <w:rsid w:val="00D4303B"/>
    <w:rsid w:val="00D43BFC"/>
    <w:rsid w:val="00D440C0"/>
    <w:rsid w:val="00D44BDD"/>
    <w:rsid w:val="00D47FBC"/>
    <w:rsid w:val="00D504FA"/>
    <w:rsid w:val="00D50873"/>
    <w:rsid w:val="00D5150A"/>
    <w:rsid w:val="00D519D3"/>
    <w:rsid w:val="00D52D42"/>
    <w:rsid w:val="00D53F6B"/>
    <w:rsid w:val="00D5433C"/>
    <w:rsid w:val="00D55CB6"/>
    <w:rsid w:val="00D55FD4"/>
    <w:rsid w:val="00D5662E"/>
    <w:rsid w:val="00D573CE"/>
    <w:rsid w:val="00D578E4"/>
    <w:rsid w:val="00D57C2F"/>
    <w:rsid w:val="00D60702"/>
    <w:rsid w:val="00D609BE"/>
    <w:rsid w:val="00D60A80"/>
    <w:rsid w:val="00D62E83"/>
    <w:rsid w:val="00D63017"/>
    <w:rsid w:val="00D63488"/>
    <w:rsid w:val="00D6548D"/>
    <w:rsid w:val="00D6609D"/>
    <w:rsid w:val="00D661F3"/>
    <w:rsid w:val="00D66975"/>
    <w:rsid w:val="00D6757D"/>
    <w:rsid w:val="00D71C0B"/>
    <w:rsid w:val="00D71E90"/>
    <w:rsid w:val="00D72A78"/>
    <w:rsid w:val="00D73DD0"/>
    <w:rsid w:val="00D76010"/>
    <w:rsid w:val="00D760BF"/>
    <w:rsid w:val="00D763E5"/>
    <w:rsid w:val="00D7671A"/>
    <w:rsid w:val="00D7765D"/>
    <w:rsid w:val="00D8039E"/>
    <w:rsid w:val="00D80768"/>
    <w:rsid w:val="00D80B76"/>
    <w:rsid w:val="00D80C53"/>
    <w:rsid w:val="00D81524"/>
    <w:rsid w:val="00D81A76"/>
    <w:rsid w:val="00D82102"/>
    <w:rsid w:val="00D82F49"/>
    <w:rsid w:val="00D833A9"/>
    <w:rsid w:val="00D83896"/>
    <w:rsid w:val="00D83E43"/>
    <w:rsid w:val="00D8429B"/>
    <w:rsid w:val="00D84B56"/>
    <w:rsid w:val="00D85067"/>
    <w:rsid w:val="00D85926"/>
    <w:rsid w:val="00D859B0"/>
    <w:rsid w:val="00D86580"/>
    <w:rsid w:val="00D868E7"/>
    <w:rsid w:val="00D86FC5"/>
    <w:rsid w:val="00D877A7"/>
    <w:rsid w:val="00D91A28"/>
    <w:rsid w:val="00D91BF6"/>
    <w:rsid w:val="00D92EA5"/>
    <w:rsid w:val="00D93846"/>
    <w:rsid w:val="00D93F68"/>
    <w:rsid w:val="00D940DF"/>
    <w:rsid w:val="00D949AC"/>
    <w:rsid w:val="00D94E40"/>
    <w:rsid w:val="00D95CC0"/>
    <w:rsid w:val="00D962D2"/>
    <w:rsid w:val="00D96904"/>
    <w:rsid w:val="00D96D69"/>
    <w:rsid w:val="00D9703E"/>
    <w:rsid w:val="00D977CD"/>
    <w:rsid w:val="00DA0D44"/>
    <w:rsid w:val="00DA1999"/>
    <w:rsid w:val="00DA1F1F"/>
    <w:rsid w:val="00DA2A23"/>
    <w:rsid w:val="00DA2B02"/>
    <w:rsid w:val="00DA2D6F"/>
    <w:rsid w:val="00DA3221"/>
    <w:rsid w:val="00DA3343"/>
    <w:rsid w:val="00DA3617"/>
    <w:rsid w:val="00DA421D"/>
    <w:rsid w:val="00DA4FEE"/>
    <w:rsid w:val="00DA54AD"/>
    <w:rsid w:val="00DA5843"/>
    <w:rsid w:val="00DA60C8"/>
    <w:rsid w:val="00DA6BD3"/>
    <w:rsid w:val="00DA6C28"/>
    <w:rsid w:val="00DA6D89"/>
    <w:rsid w:val="00DA7B4B"/>
    <w:rsid w:val="00DB04E9"/>
    <w:rsid w:val="00DB093A"/>
    <w:rsid w:val="00DB451E"/>
    <w:rsid w:val="00DB4D4F"/>
    <w:rsid w:val="00DB4DF8"/>
    <w:rsid w:val="00DB4EAB"/>
    <w:rsid w:val="00DB6092"/>
    <w:rsid w:val="00DC0E6E"/>
    <w:rsid w:val="00DC22C3"/>
    <w:rsid w:val="00DC24EB"/>
    <w:rsid w:val="00DC28F1"/>
    <w:rsid w:val="00DC2CAF"/>
    <w:rsid w:val="00DC455F"/>
    <w:rsid w:val="00DC5383"/>
    <w:rsid w:val="00DC5660"/>
    <w:rsid w:val="00DC5E9A"/>
    <w:rsid w:val="00DC6133"/>
    <w:rsid w:val="00DC63AD"/>
    <w:rsid w:val="00DD14D5"/>
    <w:rsid w:val="00DD20FA"/>
    <w:rsid w:val="00DD2438"/>
    <w:rsid w:val="00DD28BD"/>
    <w:rsid w:val="00DD2AC8"/>
    <w:rsid w:val="00DD3420"/>
    <w:rsid w:val="00DD4698"/>
    <w:rsid w:val="00DD4999"/>
    <w:rsid w:val="00DD5356"/>
    <w:rsid w:val="00DD5966"/>
    <w:rsid w:val="00DD5A62"/>
    <w:rsid w:val="00DD5B17"/>
    <w:rsid w:val="00DD5DA7"/>
    <w:rsid w:val="00DD6CD8"/>
    <w:rsid w:val="00DD6DED"/>
    <w:rsid w:val="00DD7343"/>
    <w:rsid w:val="00DD7740"/>
    <w:rsid w:val="00DE0094"/>
    <w:rsid w:val="00DE07F8"/>
    <w:rsid w:val="00DE15FD"/>
    <w:rsid w:val="00DE1891"/>
    <w:rsid w:val="00DE2484"/>
    <w:rsid w:val="00DE2DE8"/>
    <w:rsid w:val="00DE39C5"/>
    <w:rsid w:val="00DE3CBD"/>
    <w:rsid w:val="00DE3CF6"/>
    <w:rsid w:val="00DE3EE2"/>
    <w:rsid w:val="00DE45D7"/>
    <w:rsid w:val="00DE4B0A"/>
    <w:rsid w:val="00DE4D1C"/>
    <w:rsid w:val="00DE58C2"/>
    <w:rsid w:val="00DE5EC1"/>
    <w:rsid w:val="00DE6742"/>
    <w:rsid w:val="00DE7029"/>
    <w:rsid w:val="00DE78C2"/>
    <w:rsid w:val="00DE7D7C"/>
    <w:rsid w:val="00DF0FF1"/>
    <w:rsid w:val="00DF23CA"/>
    <w:rsid w:val="00DF2DC7"/>
    <w:rsid w:val="00DF32E5"/>
    <w:rsid w:val="00DF331E"/>
    <w:rsid w:val="00DF368A"/>
    <w:rsid w:val="00DF3E70"/>
    <w:rsid w:val="00DF3E86"/>
    <w:rsid w:val="00DF4343"/>
    <w:rsid w:val="00DF4C69"/>
    <w:rsid w:val="00DF61DD"/>
    <w:rsid w:val="00DF7003"/>
    <w:rsid w:val="00DF738C"/>
    <w:rsid w:val="00E0027F"/>
    <w:rsid w:val="00E00DB8"/>
    <w:rsid w:val="00E012CC"/>
    <w:rsid w:val="00E0194A"/>
    <w:rsid w:val="00E01B44"/>
    <w:rsid w:val="00E01D6D"/>
    <w:rsid w:val="00E02229"/>
    <w:rsid w:val="00E024F2"/>
    <w:rsid w:val="00E02B74"/>
    <w:rsid w:val="00E02B7D"/>
    <w:rsid w:val="00E02F8F"/>
    <w:rsid w:val="00E043CE"/>
    <w:rsid w:val="00E04755"/>
    <w:rsid w:val="00E05919"/>
    <w:rsid w:val="00E069B0"/>
    <w:rsid w:val="00E06BA7"/>
    <w:rsid w:val="00E0771B"/>
    <w:rsid w:val="00E10810"/>
    <w:rsid w:val="00E10FA7"/>
    <w:rsid w:val="00E11C60"/>
    <w:rsid w:val="00E13845"/>
    <w:rsid w:val="00E138A0"/>
    <w:rsid w:val="00E13D27"/>
    <w:rsid w:val="00E14C07"/>
    <w:rsid w:val="00E153B1"/>
    <w:rsid w:val="00E1777B"/>
    <w:rsid w:val="00E17F23"/>
    <w:rsid w:val="00E17F39"/>
    <w:rsid w:val="00E21C36"/>
    <w:rsid w:val="00E21CB5"/>
    <w:rsid w:val="00E21EA8"/>
    <w:rsid w:val="00E21EB0"/>
    <w:rsid w:val="00E22259"/>
    <w:rsid w:val="00E223B1"/>
    <w:rsid w:val="00E22E35"/>
    <w:rsid w:val="00E22F21"/>
    <w:rsid w:val="00E233FD"/>
    <w:rsid w:val="00E2363E"/>
    <w:rsid w:val="00E23949"/>
    <w:rsid w:val="00E23BA7"/>
    <w:rsid w:val="00E23F4A"/>
    <w:rsid w:val="00E24809"/>
    <w:rsid w:val="00E24A5C"/>
    <w:rsid w:val="00E24E6D"/>
    <w:rsid w:val="00E24E99"/>
    <w:rsid w:val="00E250E6"/>
    <w:rsid w:val="00E2568D"/>
    <w:rsid w:val="00E26A50"/>
    <w:rsid w:val="00E26EAB"/>
    <w:rsid w:val="00E2750E"/>
    <w:rsid w:val="00E30CFD"/>
    <w:rsid w:val="00E30D45"/>
    <w:rsid w:val="00E30DCD"/>
    <w:rsid w:val="00E31832"/>
    <w:rsid w:val="00E32321"/>
    <w:rsid w:val="00E328BD"/>
    <w:rsid w:val="00E32D83"/>
    <w:rsid w:val="00E3300C"/>
    <w:rsid w:val="00E33534"/>
    <w:rsid w:val="00E34754"/>
    <w:rsid w:val="00E35909"/>
    <w:rsid w:val="00E367A5"/>
    <w:rsid w:val="00E36B37"/>
    <w:rsid w:val="00E4129E"/>
    <w:rsid w:val="00E41870"/>
    <w:rsid w:val="00E41BD8"/>
    <w:rsid w:val="00E435FA"/>
    <w:rsid w:val="00E439DC"/>
    <w:rsid w:val="00E4495E"/>
    <w:rsid w:val="00E450BA"/>
    <w:rsid w:val="00E470D9"/>
    <w:rsid w:val="00E47B04"/>
    <w:rsid w:val="00E47F9C"/>
    <w:rsid w:val="00E50223"/>
    <w:rsid w:val="00E5031A"/>
    <w:rsid w:val="00E50DB5"/>
    <w:rsid w:val="00E51AEE"/>
    <w:rsid w:val="00E51AF3"/>
    <w:rsid w:val="00E523D8"/>
    <w:rsid w:val="00E52C82"/>
    <w:rsid w:val="00E52EC9"/>
    <w:rsid w:val="00E5348E"/>
    <w:rsid w:val="00E53869"/>
    <w:rsid w:val="00E540A2"/>
    <w:rsid w:val="00E54EAD"/>
    <w:rsid w:val="00E54F83"/>
    <w:rsid w:val="00E5528D"/>
    <w:rsid w:val="00E56979"/>
    <w:rsid w:val="00E57906"/>
    <w:rsid w:val="00E6102B"/>
    <w:rsid w:val="00E6192A"/>
    <w:rsid w:val="00E63A2B"/>
    <w:rsid w:val="00E63AE2"/>
    <w:rsid w:val="00E64F3F"/>
    <w:rsid w:val="00E65104"/>
    <w:rsid w:val="00E65EFE"/>
    <w:rsid w:val="00E67B6C"/>
    <w:rsid w:val="00E67CCD"/>
    <w:rsid w:val="00E70778"/>
    <w:rsid w:val="00E7194A"/>
    <w:rsid w:val="00E71BD8"/>
    <w:rsid w:val="00E746FA"/>
    <w:rsid w:val="00E74824"/>
    <w:rsid w:val="00E74852"/>
    <w:rsid w:val="00E75098"/>
    <w:rsid w:val="00E7634A"/>
    <w:rsid w:val="00E76F70"/>
    <w:rsid w:val="00E7778E"/>
    <w:rsid w:val="00E800A0"/>
    <w:rsid w:val="00E806FF"/>
    <w:rsid w:val="00E808EE"/>
    <w:rsid w:val="00E81775"/>
    <w:rsid w:val="00E82402"/>
    <w:rsid w:val="00E82AD1"/>
    <w:rsid w:val="00E8361B"/>
    <w:rsid w:val="00E83E7B"/>
    <w:rsid w:val="00E848DC"/>
    <w:rsid w:val="00E84EB9"/>
    <w:rsid w:val="00E85939"/>
    <w:rsid w:val="00E86C3F"/>
    <w:rsid w:val="00E8726D"/>
    <w:rsid w:val="00E87511"/>
    <w:rsid w:val="00E90121"/>
    <w:rsid w:val="00E9033D"/>
    <w:rsid w:val="00E92193"/>
    <w:rsid w:val="00E927D2"/>
    <w:rsid w:val="00E92CD4"/>
    <w:rsid w:val="00E93219"/>
    <w:rsid w:val="00E93489"/>
    <w:rsid w:val="00E94643"/>
    <w:rsid w:val="00E948F9"/>
    <w:rsid w:val="00E949A3"/>
    <w:rsid w:val="00E950B8"/>
    <w:rsid w:val="00E95783"/>
    <w:rsid w:val="00E95867"/>
    <w:rsid w:val="00E95CFA"/>
    <w:rsid w:val="00E96984"/>
    <w:rsid w:val="00E974CB"/>
    <w:rsid w:val="00E97A9C"/>
    <w:rsid w:val="00E97E4D"/>
    <w:rsid w:val="00EA0481"/>
    <w:rsid w:val="00EA04FB"/>
    <w:rsid w:val="00EA0895"/>
    <w:rsid w:val="00EA39D2"/>
    <w:rsid w:val="00EA3E08"/>
    <w:rsid w:val="00EA4682"/>
    <w:rsid w:val="00EA46FD"/>
    <w:rsid w:val="00EA49A6"/>
    <w:rsid w:val="00EA5431"/>
    <w:rsid w:val="00EA600E"/>
    <w:rsid w:val="00EA611E"/>
    <w:rsid w:val="00EA6F8D"/>
    <w:rsid w:val="00EA7155"/>
    <w:rsid w:val="00EA739E"/>
    <w:rsid w:val="00EA7B2D"/>
    <w:rsid w:val="00EB0BEF"/>
    <w:rsid w:val="00EB0D85"/>
    <w:rsid w:val="00EB1D31"/>
    <w:rsid w:val="00EB2C2A"/>
    <w:rsid w:val="00EB2D24"/>
    <w:rsid w:val="00EB3278"/>
    <w:rsid w:val="00EB3DC7"/>
    <w:rsid w:val="00EB4578"/>
    <w:rsid w:val="00EB5A8D"/>
    <w:rsid w:val="00EB5EAB"/>
    <w:rsid w:val="00EB64F5"/>
    <w:rsid w:val="00EB653B"/>
    <w:rsid w:val="00EB657D"/>
    <w:rsid w:val="00EB6E65"/>
    <w:rsid w:val="00EB71A2"/>
    <w:rsid w:val="00EB77F2"/>
    <w:rsid w:val="00EC0562"/>
    <w:rsid w:val="00EC0744"/>
    <w:rsid w:val="00EC0E4B"/>
    <w:rsid w:val="00EC0E4E"/>
    <w:rsid w:val="00EC173A"/>
    <w:rsid w:val="00EC254D"/>
    <w:rsid w:val="00EC289D"/>
    <w:rsid w:val="00EC399D"/>
    <w:rsid w:val="00EC3DD9"/>
    <w:rsid w:val="00EC3FE9"/>
    <w:rsid w:val="00EC508D"/>
    <w:rsid w:val="00EC6410"/>
    <w:rsid w:val="00EC6A80"/>
    <w:rsid w:val="00EC794D"/>
    <w:rsid w:val="00EC7CFD"/>
    <w:rsid w:val="00EC7DBC"/>
    <w:rsid w:val="00EC7DD9"/>
    <w:rsid w:val="00ED04B6"/>
    <w:rsid w:val="00ED084F"/>
    <w:rsid w:val="00ED17F0"/>
    <w:rsid w:val="00ED31DB"/>
    <w:rsid w:val="00ED3EEF"/>
    <w:rsid w:val="00ED4577"/>
    <w:rsid w:val="00ED4F56"/>
    <w:rsid w:val="00ED513E"/>
    <w:rsid w:val="00ED6573"/>
    <w:rsid w:val="00ED6819"/>
    <w:rsid w:val="00ED6E76"/>
    <w:rsid w:val="00ED7152"/>
    <w:rsid w:val="00ED7D05"/>
    <w:rsid w:val="00ED7DB5"/>
    <w:rsid w:val="00EE12E0"/>
    <w:rsid w:val="00EE1459"/>
    <w:rsid w:val="00EE1B66"/>
    <w:rsid w:val="00EE1F83"/>
    <w:rsid w:val="00EE2FEB"/>
    <w:rsid w:val="00EE391D"/>
    <w:rsid w:val="00EE399E"/>
    <w:rsid w:val="00EE3C2E"/>
    <w:rsid w:val="00EE3CE4"/>
    <w:rsid w:val="00EE43E5"/>
    <w:rsid w:val="00EE5851"/>
    <w:rsid w:val="00EE5A7B"/>
    <w:rsid w:val="00EE60DA"/>
    <w:rsid w:val="00EE69BE"/>
    <w:rsid w:val="00EE7715"/>
    <w:rsid w:val="00EE7CC5"/>
    <w:rsid w:val="00EF0301"/>
    <w:rsid w:val="00EF036B"/>
    <w:rsid w:val="00EF0644"/>
    <w:rsid w:val="00EF1E1D"/>
    <w:rsid w:val="00EF213D"/>
    <w:rsid w:val="00EF290B"/>
    <w:rsid w:val="00EF3B50"/>
    <w:rsid w:val="00EF3C2F"/>
    <w:rsid w:val="00EF4255"/>
    <w:rsid w:val="00EF43F1"/>
    <w:rsid w:val="00EF473D"/>
    <w:rsid w:val="00EF5079"/>
    <w:rsid w:val="00EF523D"/>
    <w:rsid w:val="00EF589F"/>
    <w:rsid w:val="00EF6188"/>
    <w:rsid w:val="00EF7F1D"/>
    <w:rsid w:val="00F0054A"/>
    <w:rsid w:val="00F014C1"/>
    <w:rsid w:val="00F02251"/>
    <w:rsid w:val="00F023E3"/>
    <w:rsid w:val="00F0348A"/>
    <w:rsid w:val="00F038F5"/>
    <w:rsid w:val="00F03CA2"/>
    <w:rsid w:val="00F04045"/>
    <w:rsid w:val="00F042A0"/>
    <w:rsid w:val="00F04BD1"/>
    <w:rsid w:val="00F060A6"/>
    <w:rsid w:val="00F06169"/>
    <w:rsid w:val="00F0672E"/>
    <w:rsid w:val="00F07E17"/>
    <w:rsid w:val="00F10A63"/>
    <w:rsid w:val="00F10AE0"/>
    <w:rsid w:val="00F11605"/>
    <w:rsid w:val="00F11F99"/>
    <w:rsid w:val="00F12686"/>
    <w:rsid w:val="00F1276A"/>
    <w:rsid w:val="00F129A3"/>
    <w:rsid w:val="00F12A62"/>
    <w:rsid w:val="00F12B39"/>
    <w:rsid w:val="00F130EB"/>
    <w:rsid w:val="00F1369C"/>
    <w:rsid w:val="00F13B1D"/>
    <w:rsid w:val="00F14BDA"/>
    <w:rsid w:val="00F157A8"/>
    <w:rsid w:val="00F15C63"/>
    <w:rsid w:val="00F15CED"/>
    <w:rsid w:val="00F16FB7"/>
    <w:rsid w:val="00F17B63"/>
    <w:rsid w:val="00F17BFD"/>
    <w:rsid w:val="00F21559"/>
    <w:rsid w:val="00F21D43"/>
    <w:rsid w:val="00F21EF2"/>
    <w:rsid w:val="00F22227"/>
    <w:rsid w:val="00F22FA1"/>
    <w:rsid w:val="00F230C0"/>
    <w:rsid w:val="00F23892"/>
    <w:rsid w:val="00F23B32"/>
    <w:rsid w:val="00F247C4"/>
    <w:rsid w:val="00F25EBC"/>
    <w:rsid w:val="00F25EC8"/>
    <w:rsid w:val="00F25F48"/>
    <w:rsid w:val="00F26039"/>
    <w:rsid w:val="00F261B5"/>
    <w:rsid w:val="00F26844"/>
    <w:rsid w:val="00F26C28"/>
    <w:rsid w:val="00F26EC8"/>
    <w:rsid w:val="00F26F08"/>
    <w:rsid w:val="00F27AE3"/>
    <w:rsid w:val="00F27E9F"/>
    <w:rsid w:val="00F31072"/>
    <w:rsid w:val="00F3211B"/>
    <w:rsid w:val="00F34431"/>
    <w:rsid w:val="00F34EAA"/>
    <w:rsid w:val="00F352EF"/>
    <w:rsid w:val="00F36CA7"/>
    <w:rsid w:val="00F3777B"/>
    <w:rsid w:val="00F379AD"/>
    <w:rsid w:val="00F4079E"/>
    <w:rsid w:val="00F417DB"/>
    <w:rsid w:val="00F41AF8"/>
    <w:rsid w:val="00F43FB4"/>
    <w:rsid w:val="00F4533D"/>
    <w:rsid w:val="00F4543E"/>
    <w:rsid w:val="00F46470"/>
    <w:rsid w:val="00F47110"/>
    <w:rsid w:val="00F478E7"/>
    <w:rsid w:val="00F47D29"/>
    <w:rsid w:val="00F5049E"/>
    <w:rsid w:val="00F504FC"/>
    <w:rsid w:val="00F50545"/>
    <w:rsid w:val="00F508A1"/>
    <w:rsid w:val="00F51F8F"/>
    <w:rsid w:val="00F52856"/>
    <w:rsid w:val="00F53B15"/>
    <w:rsid w:val="00F541E0"/>
    <w:rsid w:val="00F541E5"/>
    <w:rsid w:val="00F543AB"/>
    <w:rsid w:val="00F54770"/>
    <w:rsid w:val="00F55C41"/>
    <w:rsid w:val="00F55E13"/>
    <w:rsid w:val="00F55F20"/>
    <w:rsid w:val="00F57CA0"/>
    <w:rsid w:val="00F60BF3"/>
    <w:rsid w:val="00F61AF9"/>
    <w:rsid w:val="00F61B2D"/>
    <w:rsid w:val="00F62EC3"/>
    <w:rsid w:val="00F63570"/>
    <w:rsid w:val="00F63F94"/>
    <w:rsid w:val="00F64578"/>
    <w:rsid w:val="00F649CE"/>
    <w:rsid w:val="00F64E39"/>
    <w:rsid w:val="00F655F1"/>
    <w:rsid w:val="00F65A25"/>
    <w:rsid w:val="00F65F37"/>
    <w:rsid w:val="00F664CB"/>
    <w:rsid w:val="00F67C5B"/>
    <w:rsid w:val="00F700FD"/>
    <w:rsid w:val="00F704F0"/>
    <w:rsid w:val="00F709AF"/>
    <w:rsid w:val="00F71A30"/>
    <w:rsid w:val="00F71D15"/>
    <w:rsid w:val="00F7258F"/>
    <w:rsid w:val="00F73436"/>
    <w:rsid w:val="00F7343E"/>
    <w:rsid w:val="00F738DB"/>
    <w:rsid w:val="00F7390A"/>
    <w:rsid w:val="00F741C5"/>
    <w:rsid w:val="00F7434C"/>
    <w:rsid w:val="00F74EE9"/>
    <w:rsid w:val="00F74FF4"/>
    <w:rsid w:val="00F755C6"/>
    <w:rsid w:val="00F768C7"/>
    <w:rsid w:val="00F778E3"/>
    <w:rsid w:val="00F77E37"/>
    <w:rsid w:val="00F81004"/>
    <w:rsid w:val="00F815BC"/>
    <w:rsid w:val="00F816E1"/>
    <w:rsid w:val="00F81BED"/>
    <w:rsid w:val="00F82405"/>
    <w:rsid w:val="00F826D8"/>
    <w:rsid w:val="00F846ED"/>
    <w:rsid w:val="00F8484B"/>
    <w:rsid w:val="00F86C32"/>
    <w:rsid w:val="00F86CAB"/>
    <w:rsid w:val="00F87569"/>
    <w:rsid w:val="00F9036A"/>
    <w:rsid w:val="00F90CE0"/>
    <w:rsid w:val="00F90E81"/>
    <w:rsid w:val="00F91C56"/>
    <w:rsid w:val="00F92827"/>
    <w:rsid w:val="00F92C7C"/>
    <w:rsid w:val="00F93D16"/>
    <w:rsid w:val="00F941B4"/>
    <w:rsid w:val="00F9429A"/>
    <w:rsid w:val="00F95291"/>
    <w:rsid w:val="00F96079"/>
    <w:rsid w:val="00F9671E"/>
    <w:rsid w:val="00F976DB"/>
    <w:rsid w:val="00F97A9C"/>
    <w:rsid w:val="00F97C82"/>
    <w:rsid w:val="00FA00D1"/>
    <w:rsid w:val="00FA0DD2"/>
    <w:rsid w:val="00FA162D"/>
    <w:rsid w:val="00FA1DE0"/>
    <w:rsid w:val="00FA20F7"/>
    <w:rsid w:val="00FA31BB"/>
    <w:rsid w:val="00FA35BF"/>
    <w:rsid w:val="00FA428E"/>
    <w:rsid w:val="00FA48F2"/>
    <w:rsid w:val="00FA55B7"/>
    <w:rsid w:val="00FA7226"/>
    <w:rsid w:val="00FA7FB1"/>
    <w:rsid w:val="00FB036A"/>
    <w:rsid w:val="00FB0472"/>
    <w:rsid w:val="00FB04EA"/>
    <w:rsid w:val="00FB0994"/>
    <w:rsid w:val="00FB1845"/>
    <w:rsid w:val="00FB18F2"/>
    <w:rsid w:val="00FB1CBC"/>
    <w:rsid w:val="00FB36E6"/>
    <w:rsid w:val="00FB3EB6"/>
    <w:rsid w:val="00FB3FED"/>
    <w:rsid w:val="00FB477E"/>
    <w:rsid w:val="00FB52B8"/>
    <w:rsid w:val="00FB5537"/>
    <w:rsid w:val="00FB6BCA"/>
    <w:rsid w:val="00FB71DE"/>
    <w:rsid w:val="00FB7363"/>
    <w:rsid w:val="00FB73BA"/>
    <w:rsid w:val="00FB788E"/>
    <w:rsid w:val="00FC0536"/>
    <w:rsid w:val="00FC06AB"/>
    <w:rsid w:val="00FC186C"/>
    <w:rsid w:val="00FC1E8C"/>
    <w:rsid w:val="00FC28ED"/>
    <w:rsid w:val="00FC3DB3"/>
    <w:rsid w:val="00FC4138"/>
    <w:rsid w:val="00FC4691"/>
    <w:rsid w:val="00FC5B1C"/>
    <w:rsid w:val="00FC6B80"/>
    <w:rsid w:val="00FC6B92"/>
    <w:rsid w:val="00FC6D0B"/>
    <w:rsid w:val="00FD078D"/>
    <w:rsid w:val="00FD0C6F"/>
    <w:rsid w:val="00FD10F2"/>
    <w:rsid w:val="00FD1761"/>
    <w:rsid w:val="00FD20DA"/>
    <w:rsid w:val="00FD567D"/>
    <w:rsid w:val="00FD6AF9"/>
    <w:rsid w:val="00FD7196"/>
    <w:rsid w:val="00FD7FEA"/>
    <w:rsid w:val="00FE0450"/>
    <w:rsid w:val="00FE0720"/>
    <w:rsid w:val="00FE0781"/>
    <w:rsid w:val="00FE158C"/>
    <w:rsid w:val="00FE1CE4"/>
    <w:rsid w:val="00FE5115"/>
    <w:rsid w:val="00FE511F"/>
    <w:rsid w:val="00FE5ED7"/>
    <w:rsid w:val="00FE66A7"/>
    <w:rsid w:val="00FE68C3"/>
    <w:rsid w:val="00FE6E5B"/>
    <w:rsid w:val="00FE73E7"/>
    <w:rsid w:val="00FE7686"/>
    <w:rsid w:val="00FF020C"/>
    <w:rsid w:val="00FF0E72"/>
    <w:rsid w:val="00FF14D1"/>
    <w:rsid w:val="00FF20B0"/>
    <w:rsid w:val="00FF31D7"/>
    <w:rsid w:val="00FF3F0E"/>
    <w:rsid w:val="00FF3F87"/>
    <w:rsid w:val="00FF501D"/>
    <w:rsid w:val="00FF5DA6"/>
    <w:rsid w:val="00FF6727"/>
    <w:rsid w:val="00FF71BF"/>
    <w:rsid w:val="00FF72D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C0D0B4"/>
  <w14:defaultImageDpi w14:val="300"/>
  <w15:docId w15:val="{3F48043A-D5BF-8C46-9584-C2566DD2F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3"/>
        <w:szCs w:val="23"/>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B4E3B"/>
    <w:pPr>
      <w:spacing w:line="36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19B3"/>
    <w:rPr>
      <w:color w:val="0000FF" w:themeColor="hyperlink"/>
      <w:u w:val="single"/>
    </w:rPr>
  </w:style>
  <w:style w:type="paragraph" w:styleId="FootnoteText">
    <w:name w:val="footnote text"/>
    <w:basedOn w:val="Normal"/>
    <w:link w:val="FootnoteTextChar"/>
    <w:uiPriority w:val="99"/>
    <w:unhideWhenUsed/>
    <w:rsid w:val="003C6193"/>
    <w:pPr>
      <w:spacing w:line="240" w:lineRule="auto"/>
    </w:pPr>
    <w:rPr>
      <w:sz w:val="21"/>
    </w:rPr>
  </w:style>
  <w:style w:type="character" w:customStyle="1" w:styleId="FootnoteTextChar">
    <w:name w:val="Footnote Text Char"/>
    <w:basedOn w:val="DefaultParagraphFont"/>
    <w:link w:val="FootnoteText"/>
    <w:uiPriority w:val="99"/>
    <w:rsid w:val="003C6193"/>
    <w:rPr>
      <w:sz w:val="21"/>
    </w:rPr>
  </w:style>
  <w:style w:type="character" w:styleId="FootnoteReference">
    <w:name w:val="footnote reference"/>
    <w:basedOn w:val="DefaultParagraphFont"/>
    <w:uiPriority w:val="99"/>
    <w:unhideWhenUsed/>
    <w:rsid w:val="00F247C4"/>
    <w:rPr>
      <w:vertAlign w:val="superscript"/>
    </w:rPr>
  </w:style>
  <w:style w:type="character" w:styleId="CommentReference">
    <w:name w:val="annotation reference"/>
    <w:basedOn w:val="DefaultParagraphFont"/>
    <w:uiPriority w:val="99"/>
    <w:semiHidden/>
    <w:unhideWhenUsed/>
    <w:rsid w:val="00A30E4E"/>
    <w:rPr>
      <w:sz w:val="18"/>
      <w:szCs w:val="18"/>
    </w:rPr>
  </w:style>
  <w:style w:type="paragraph" w:styleId="CommentText">
    <w:name w:val="annotation text"/>
    <w:basedOn w:val="Normal"/>
    <w:link w:val="CommentTextChar"/>
    <w:uiPriority w:val="99"/>
    <w:semiHidden/>
    <w:unhideWhenUsed/>
    <w:rsid w:val="00A30E4E"/>
  </w:style>
  <w:style w:type="character" w:customStyle="1" w:styleId="CommentTextChar">
    <w:name w:val="Comment Text Char"/>
    <w:basedOn w:val="DefaultParagraphFont"/>
    <w:link w:val="CommentText"/>
    <w:uiPriority w:val="99"/>
    <w:semiHidden/>
    <w:rsid w:val="00A30E4E"/>
  </w:style>
  <w:style w:type="paragraph" w:styleId="CommentSubject">
    <w:name w:val="annotation subject"/>
    <w:basedOn w:val="CommentText"/>
    <w:next w:val="CommentText"/>
    <w:link w:val="CommentSubjectChar"/>
    <w:uiPriority w:val="99"/>
    <w:semiHidden/>
    <w:unhideWhenUsed/>
    <w:rsid w:val="00A30E4E"/>
    <w:rPr>
      <w:b/>
      <w:bCs/>
      <w:sz w:val="20"/>
      <w:szCs w:val="20"/>
    </w:rPr>
  </w:style>
  <w:style w:type="character" w:customStyle="1" w:styleId="CommentSubjectChar">
    <w:name w:val="Comment Subject Char"/>
    <w:basedOn w:val="CommentTextChar"/>
    <w:link w:val="CommentSubject"/>
    <w:uiPriority w:val="99"/>
    <w:semiHidden/>
    <w:rsid w:val="00A30E4E"/>
    <w:rPr>
      <w:b/>
      <w:bCs/>
      <w:sz w:val="20"/>
      <w:szCs w:val="20"/>
    </w:rPr>
  </w:style>
  <w:style w:type="paragraph" w:styleId="BalloonText">
    <w:name w:val="Balloon Text"/>
    <w:basedOn w:val="Normal"/>
    <w:link w:val="BalloonTextChar"/>
    <w:uiPriority w:val="99"/>
    <w:semiHidden/>
    <w:unhideWhenUsed/>
    <w:rsid w:val="00A30E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0E4E"/>
    <w:rPr>
      <w:rFonts w:ascii="Lucida Grande" w:hAnsi="Lucida Grande" w:cs="Lucida Grande"/>
      <w:sz w:val="18"/>
      <w:szCs w:val="18"/>
    </w:rPr>
  </w:style>
  <w:style w:type="paragraph" w:styleId="Footer">
    <w:name w:val="footer"/>
    <w:basedOn w:val="Normal"/>
    <w:link w:val="FooterChar"/>
    <w:uiPriority w:val="99"/>
    <w:unhideWhenUsed/>
    <w:rsid w:val="007876B9"/>
    <w:pPr>
      <w:tabs>
        <w:tab w:val="center" w:pos="4320"/>
        <w:tab w:val="right" w:pos="8640"/>
      </w:tabs>
    </w:pPr>
  </w:style>
  <w:style w:type="character" w:customStyle="1" w:styleId="FooterChar">
    <w:name w:val="Footer Char"/>
    <w:basedOn w:val="DefaultParagraphFont"/>
    <w:link w:val="Footer"/>
    <w:uiPriority w:val="99"/>
    <w:rsid w:val="007876B9"/>
  </w:style>
  <w:style w:type="character" w:styleId="PageNumber">
    <w:name w:val="page number"/>
    <w:basedOn w:val="DefaultParagraphFont"/>
    <w:uiPriority w:val="99"/>
    <w:semiHidden/>
    <w:unhideWhenUsed/>
    <w:rsid w:val="007876B9"/>
  </w:style>
  <w:style w:type="paragraph" w:styleId="BodyText">
    <w:name w:val="Body Text"/>
    <w:basedOn w:val="Normal"/>
    <w:link w:val="BodyTextChar"/>
    <w:uiPriority w:val="1"/>
    <w:qFormat/>
    <w:rsid w:val="00F230C0"/>
    <w:pPr>
      <w:widowControl w:val="0"/>
      <w:autoSpaceDE w:val="0"/>
      <w:autoSpaceDN w:val="0"/>
      <w:adjustRightInd w:val="0"/>
      <w:ind w:left="40"/>
    </w:pPr>
    <w:rPr>
      <w:rFonts w:ascii="Arial" w:hAnsi="Arial" w:cs="Arial"/>
      <w:sz w:val="20"/>
      <w:szCs w:val="20"/>
    </w:rPr>
  </w:style>
  <w:style w:type="character" w:customStyle="1" w:styleId="BodyTextChar">
    <w:name w:val="Body Text Char"/>
    <w:basedOn w:val="DefaultParagraphFont"/>
    <w:link w:val="BodyText"/>
    <w:uiPriority w:val="1"/>
    <w:rsid w:val="00F230C0"/>
    <w:rPr>
      <w:rFonts w:ascii="Arial" w:hAnsi="Arial" w:cs="Arial"/>
      <w:sz w:val="20"/>
      <w:szCs w:val="20"/>
    </w:rPr>
  </w:style>
  <w:style w:type="paragraph" w:styleId="ListParagraph">
    <w:name w:val="List Paragraph"/>
    <w:basedOn w:val="Normal"/>
    <w:uiPriority w:val="34"/>
    <w:qFormat/>
    <w:rsid w:val="00F230C0"/>
    <w:pPr>
      <w:widowControl w:val="0"/>
      <w:autoSpaceDE w:val="0"/>
      <w:autoSpaceDN w:val="0"/>
      <w:adjustRightInd w:val="0"/>
    </w:pPr>
    <w:rPr>
      <w:rFonts w:cs="Times New Roman"/>
      <w:sz w:val="24"/>
      <w:szCs w:val="24"/>
    </w:rPr>
  </w:style>
  <w:style w:type="character" w:customStyle="1" w:styleId="apple-converted-space">
    <w:name w:val="apple-converted-space"/>
    <w:basedOn w:val="DefaultParagraphFont"/>
    <w:rsid w:val="002B7D01"/>
  </w:style>
  <w:style w:type="character" w:styleId="PlaceholderText">
    <w:name w:val="Placeholder Text"/>
    <w:basedOn w:val="DefaultParagraphFont"/>
    <w:uiPriority w:val="99"/>
    <w:semiHidden/>
    <w:rsid w:val="00853A36"/>
    <w:rPr>
      <w:color w:val="808080"/>
    </w:rPr>
  </w:style>
  <w:style w:type="paragraph" w:styleId="NormalWeb">
    <w:name w:val="Normal (Web)"/>
    <w:basedOn w:val="Normal"/>
    <w:uiPriority w:val="99"/>
    <w:unhideWhenUsed/>
    <w:rsid w:val="00036410"/>
    <w:pPr>
      <w:spacing w:before="100" w:beforeAutospacing="1" w:after="100" w:afterAutospacing="1" w:line="240" w:lineRule="auto"/>
    </w:pPr>
    <w:rPr>
      <w:rFonts w:eastAsia="Times New Roman" w:cs="Times New Roman"/>
      <w:sz w:val="24"/>
      <w:szCs w:val="24"/>
    </w:rPr>
  </w:style>
  <w:style w:type="paragraph" w:styleId="Revision">
    <w:name w:val="Revision"/>
    <w:hidden/>
    <w:uiPriority w:val="99"/>
    <w:semiHidden/>
    <w:rsid w:val="006E44B1"/>
  </w:style>
  <w:style w:type="character" w:customStyle="1" w:styleId="UnresolvedMention1">
    <w:name w:val="Unresolved Mention1"/>
    <w:basedOn w:val="DefaultParagraphFont"/>
    <w:uiPriority w:val="99"/>
    <w:semiHidden/>
    <w:unhideWhenUsed/>
    <w:rsid w:val="007408CF"/>
    <w:rPr>
      <w:color w:val="605E5C"/>
      <w:shd w:val="clear" w:color="auto" w:fill="E1DFDD"/>
    </w:rPr>
  </w:style>
  <w:style w:type="character" w:styleId="FollowedHyperlink">
    <w:name w:val="FollowedHyperlink"/>
    <w:basedOn w:val="DefaultParagraphFont"/>
    <w:uiPriority w:val="99"/>
    <w:semiHidden/>
    <w:unhideWhenUsed/>
    <w:rsid w:val="000F644B"/>
    <w:rPr>
      <w:color w:val="800080" w:themeColor="followedHyperlink"/>
      <w:u w:val="single"/>
    </w:rPr>
  </w:style>
  <w:style w:type="character" w:customStyle="1" w:styleId="UnresolvedMention2">
    <w:name w:val="Unresolved Mention2"/>
    <w:basedOn w:val="DefaultParagraphFont"/>
    <w:uiPriority w:val="99"/>
    <w:semiHidden/>
    <w:unhideWhenUsed/>
    <w:rsid w:val="00B656ED"/>
    <w:rPr>
      <w:color w:val="605E5C"/>
      <w:shd w:val="clear" w:color="auto" w:fill="E1DFDD"/>
    </w:rPr>
  </w:style>
  <w:style w:type="paragraph" w:styleId="DocumentMap">
    <w:name w:val="Document Map"/>
    <w:basedOn w:val="Normal"/>
    <w:link w:val="DocumentMapChar"/>
    <w:uiPriority w:val="99"/>
    <w:semiHidden/>
    <w:unhideWhenUsed/>
    <w:rsid w:val="00F96079"/>
    <w:pPr>
      <w:spacing w:line="240" w:lineRule="auto"/>
    </w:pPr>
    <w:rPr>
      <w:rFonts w:cs="Times New Roman"/>
      <w:sz w:val="24"/>
      <w:szCs w:val="24"/>
    </w:rPr>
  </w:style>
  <w:style w:type="character" w:customStyle="1" w:styleId="DocumentMapChar">
    <w:name w:val="Document Map Char"/>
    <w:basedOn w:val="DefaultParagraphFont"/>
    <w:link w:val="DocumentMap"/>
    <w:uiPriority w:val="99"/>
    <w:semiHidden/>
    <w:rsid w:val="00F96079"/>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696287">
      <w:bodyDiv w:val="1"/>
      <w:marLeft w:val="0"/>
      <w:marRight w:val="0"/>
      <w:marTop w:val="0"/>
      <w:marBottom w:val="0"/>
      <w:divBdr>
        <w:top w:val="none" w:sz="0" w:space="0" w:color="auto"/>
        <w:left w:val="none" w:sz="0" w:space="0" w:color="auto"/>
        <w:bottom w:val="none" w:sz="0" w:space="0" w:color="auto"/>
        <w:right w:val="none" w:sz="0" w:space="0" w:color="auto"/>
      </w:divBdr>
    </w:div>
    <w:div w:id="918174339">
      <w:bodyDiv w:val="1"/>
      <w:marLeft w:val="0"/>
      <w:marRight w:val="0"/>
      <w:marTop w:val="0"/>
      <w:marBottom w:val="0"/>
      <w:divBdr>
        <w:top w:val="none" w:sz="0" w:space="0" w:color="auto"/>
        <w:left w:val="none" w:sz="0" w:space="0" w:color="auto"/>
        <w:bottom w:val="none" w:sz="0" w:space="0" w:color="auto"/>
        <w:right w:val="none" w:sz="0" w:space="0" w:color="auto"/>
      </w:divBdr>
    </w:div>
    <w:div w:id="1223447942">
      <w:bodyDiv w:val="1"/>
      <w:marLeft w:val="0"/>
      <w:marRight w:val="0"/>
      <w:marTop w:val="0"/>
      <w:marBottom w:val="0"/>
      <w:divBdr>
        <w:top w:val="none" w:sz="0" w:space="0" w:color="auto"/>
        <w:left w:val="none" w:sz="0" w:space="0" w:color="auto"/>
        <w:bottom w:val="none" w:sz="0" w:space="0" w:color="auto"/>
        <w:right w:val="none" w:sz="0" w:space="0" w:color="auto"/>
      </w:divBdr>
      <w:divsChild>
        <w:div w:id="1468085730">
          <w:marLeft w:val="0"/>
          <w:marRight w:val="0"/>
          <w:marTop w:val="0"/>
          <w:marBottom w:val="0"/>
          <w:divBdr>
            <w:top w:val="none" w:sz="0" w:space="0" w:color="auto"/>
            <w:left w:val="none" w:sz="0" w:space="0" w:color="auto"/>
            <w:bottom w:val="none" w:sz="0" w:space="0" w:color="auto"/>
            <w:right w:val="none" w:sz="0" w:space="0" w:color="auto"/>
          </w:divBdr>
          <w:divsChild>
            <w:div w:id="82839515">
              <w:marLeft w:val="0"/>
              <w:marRight w:val="0"/>
              <w:marTop w:val="0"/>
              <w:marBottom w:val="0"/>
              <w:divBdr>
                <w:top w:val="none" w:sz="0" w:space="0" w:color="auto"/>
                <w:left w:val="none" w:sz="0" w:space="0" w:color="auto"/>
                <w:bottom w:val="none" w:sz="0" w:space="0" w:color="auto"/>
                <w:right w:val="none" w:sz="0" w:space="0" w:color="auto"/>
              </w:divBdr>
              <w:divsChild>
                <w:div w:id="1038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43486">
      <w:bodyDiv w:val="1"/>
      <w:marLeft w:val="0"/>
      <w:marRight w:val="0"/>
      <w:marTop w:val="0"/>
      <w:marBottom w:val="0"/>
      <w:divBdr>
        <w:top w:val="none" w:sz="0" w:space="0" w:color="auto"/>
        <w:left w:val="none" w:sz="0" w:space="0" w:color="auto"/>
        <w:bottom w:val="none" w:sz="0" w:space="0" w:color="auto"/>
        <w:right w:val="none" w:sz="0" w:space="0" w:color="auto"/>
      </w:divBdr>
      <w:divsChild>
        <w:div w:id="1481002772">
          <w:marLeft w:val="0"/>
          <w:marRight w:val="0"/>
          <w:marTop w:val="0"/>
          <w:marBottom w:val="0"/>
          <w:divBdr>
            <w:top w:val="none" w:sz="0" w:space="0" w:color="auto"/>
            <w:left w:val="none" w:sz="0" w:space="0" w:color="auto"/>
            <w:bottom w:val="none" w:sz="0" w:space="0" w:color="auto"/>
            <w:right w:val="none" w:sz="0" w:space="0" w:color="auto"/>
          </w:divBdr>
          <w:divsChild>
            <w:div w:id="1551451396">
              <w:marLeft w:val="0"/>
              <w:marRight w:val="0"/>
              <w:marTop w:val="0"/>
              <w:marBottom w:val="0"/>
              <w:divBdr>
                <w:top w:val="none" w:sz="0" w:space="0" w:color="auto"/>
                <w:left w:val="none" w:sz="0" w:space="0" w:color="auto"/>
                <w:bottom w:val="none" w:sz="0" w:space="0" w:color="auto"/>
                <w:right w:val="none" w:sz="0" w:space="0" w:color="auto"/>
              </w:divBdr>
              <w:divsChild>
                <w:div w:id="87473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606905">
      <w:bodyDiv w:val="1"/>
      <w:marLeft w:val="0"/>
      <w:marRight w:val="0"/>
      <w:marTop w:val="0"/>
      <w:marBottom w:val="0"/>
      <w:divBdr>
        <w:top w:val="none" w:sz="0" w:space="0" w:color="auto"/>
        <w:left w:val="none" w:sz="0" w:space="0" w:color="auto"/>
        <w:bottom w:val="none" w:sz="0" w:space="0" w:color="auto"/>
        <w:right w:val="none" w:sz="0" w:space="0" w:color="auto"/>
      </w:divBdr>
      <w:divsChild>
        <w:div w:id="88548337">
          <w:marLeft w:val="0"/>
          <w:marRight w:val="0"/>
          <w:marTop w:val="0"/>
          <w:marBottom w:val="0"/>
          <w:divBdr>
            <w:top w:val="none" w:sz="0" w:space="0" w:color="auto"/>
            <w:left w:val="none" w:sz="0" w:space="0" w:color="auto"/>
            <w:bottom w:val="none" w:sz="0" w:space="0" w:color="auto"/>
            <w:right w:val="none" w:sz="0" w:space="0" w:color="auto"/>
          </w:divBdr>
          <w:divsChild>
            <w:div w:id="744188682">
              <w:marLeft w:val="0"/>
              <w:marRight w:val="0"/>
              <w:marTop w:val="0"/>
              <w:marBottom w:val="0"/>
              <w:divBdr>
                <w:top w:val="none" w:sz="0" w:space="0" w:color="auto"/>
                <w:left w:val="none" w:sz="0" w:space="0" w:color="auto"/>
                <w:bottom w:val="none" w:sz="0" w:space="0" w:color="auto"/>
                <w:right w:val="none" w:sz="0" w:space="0" w:color="auto"/>
              </w:divBdr>
              <w:divsChild>
                <w:div w:id="146777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27875-19FE-4F2C-AD27-B95AD2D20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20EEC103.dotm</Template>
  <TotalTime>0</TotalTime>
  <Pages>6</Pages>
  <Words>13858</Words>
  <Characters>78995</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Vanderbilt University</Company>
  <LinksUpToDate>false</LinksUpToDate>
  <CharactersWithSpaces>92668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Collins</dc:creator>
  <cp:keywords/>
  <dc:description/>
  <cp:lastModifiedBy>Maureen Galbraith</cp:lastModifiedBy>
  <cp:revision>2</cp:revision>
  <cp:lastPrinted>2018-11-13T14:05:00Z</cp:lastPrinted>
  <dcterms:created xsi:type="dcterms:W3CDTF">2019-03-05T07:49:00Z</dcterms:created>
  <dcterms:modified xsi:type="dcterms:W3CDTF">2019-03-05T07:49:00Z</dcterms:modified>
</cp:coreProperties>
</file>